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F4761"/>
          <w:sz w:val="36"/>
        </w:rPr>
        <w:t>PROMUEVE MÁS S.A.S.</w:t>
      </w:r>
    </w:p>
    <w:p>
      <w:pPr>
        <w:jc w:val="center"/>
      </w:pPr>
      <w:r>
        <w:rPr>
          <w:sz w:val="22"/>
        </w:rPr>
        <w:t>NIT 901.403.758-2 · Sociedad de Economía Mixta · Manizales, Caldas</w:t>
      </w:r>
    </w:p>
    <w:p/>
    <w:p/>
    <w:p>
      <w:pPr>
        <w:jc w:val="center"/>
      </w:pPr>
      <w:r>
        <w:rPr>
          <w:b/>
          <w:sz w:val="52"/>
        </w:rPr>
        <w:t>POLÍTICA DE SEGURIDAD</w:t>
        <w:br/>
        <w:t>DE LA INFORMACIÓN</w:t>
      </w:r>
    </w:p>
    <w:p/>
    <w:p>
      <w:pPr>
        <w:jc w:val="center"/>
      </w:pPr>
      <w:r>
        <w:rPr>
          <w:b/>
          <w:sz w:val="22"/>
        </w:rPr>
        <w:t>Código: PSI-GTI-001          Versión: 01          Vigencia: 2026</w:t>
      </w:r>
    </w:p>
    <w:p/>
    <w:p/>
    <w:p/>
    <w:p>
      <w:pPr>
        <w:jc w:val="center"/>
      </w:pPr>
      <w:r>
        <w:rPr>
          <w:i/>
          <w:sz w:val="20"/>
        </w:rPr>
        <w:t>Documento sujeto a adopción, aprobación y divulgación oficial mediante el</w:t>
        <w:br/>
        <w:t>acto administrativo que para tal efecto expida la Gerencia General de Promueve Más S.A.S.</w:t>
      </w:r>
    </w:p>
    <w:p>
      <w:r>
        <w:br w:type="page"/>
      </w:r>
    </w:p>
    <w:p>
      <w:pPr>
        <w:pStyle w:val="Heading1"/>
      </w:pPr>
      <w:r>
        <w:t>CONTROL DE VERSIONES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F4761"/>
          </w:tcPr>
          <w:p>
            <w:r/>
            <w:r>
              <w:rPr>
                <w:b/>
                <w:color w:val="FFFFFF"/>
                <w:sz w:val="18"/>
              </w:rPr>
              <w:t>Versión</w:t>
            </w:r>
          </w:p>
        </w:tc>
        <w:tc>
          <w:tcPr>
            <w:tcW w:type="dxa" w:w="1881"/>
            <w:shd w:val="clear" w:color="auto" w:fill="0F4761"/>
          </w:tcPr>
          <w:p>
            <w:r/>
            <w:r>
              <w:rPr>
                <w:b/>
                <w:color w:val="FFFFFF"/>
                <w:sz w:val="18"/>
              </w:rPr>
              <w:t>Fecha</w:t>
            </w:r>
          </w:p>
        </w:tc>
        <w:tc>
          <w:tcPr>
            <w:tcW w:type="dxa" w:w="1881"/>
            <w:shd w:val="clear" w:color="auto" w:fill="0F4761"/>
          </w:tcPr>
          <w:p>
            <w:r/>
            <w:r>
              <w:rPr>
                <w:b/>
                <w:color w:val="FFFFFF"/>
                <w:sz w:val="18"/>
              </w:rPr>
              <w:t>Descripción del cambio</w:t>
            </w:r>
          </w:p>
        </w:tc>
        <w:tc>
          <w:tcPr>
            <w:tcW w:type="dxa" w:w="1881"/>
            <w:shd w:val="clear" w:color="auto" w:fill="0F4761"/>
          </w:tcPr>
          <w:p>
            <w:r/>
            <w:r>
              <w:rPr>
                <w:b/>
                <w:color w:val="FFFFFF"/>
                <w:sz w:val="18"/>
              </w:rPr>
              <w:t>Elaboró</w:t>
            </w:r>
          </w:p>
        </w:tc>
        <w:tc>
          <w:tcPr>
            <w:tcW w:type="dxa" w:w="1881"/>
            <w:shd w:val="clear" w:color="auto" w:fill="0F4761"/>
          </w:tcPr>
          <w:p>
            <w:r/>
            <w:r>
              <w:rPr>
                <w:b/>
                <w:color w:val="FFFFFF"/>
                <w:sz w:val="18"/>
              </w:rPr>
              <w:t>Aprobó</w:t>
            </w:r>
          </w:p>
        </w:tc>
      </w:tr>
      <w:tr>
        <w:tc>
          <w:tcPr>
            <w:tcW w:type="dxa" w:w="1881"/>
          </w:tcPr>
          <w:p>
            <w:r/>
            <w:r>
              <w:rPr>
                <w:b w:val="0"/>
                <w:sz w:val="18"/>
              </w:rPr>
              <w:t>01</w:t>
            </w:r>
          </w:p>
        </w:tc>
        <w:tc>
          <w:tcPr>
            <w:tcW w:type="dxa" w:w="1881"/>
          </w:tcPr>
          <w:p>
            <w:r/>
            <w:r>
              <w:rPr>
                <w:b w:val="0"/>
                <w:sz w:val="18"/>
              </w:rPr>
              <w:t>2026</w:t>
            </w:r>
          </w:p>
        </w:tc>
        <w:tc>
          <w:tcPr>
            <w:tcW w:type="dxa" w:w="1881"/>
          </w:tcPr>
          <w:p>
            <w:r/>
            <w:r>
              <w:rPr>
                <w:b w:val="0"/>
                <w:sz w:val="18"/>
              </w:rPr>
              <w:t>Emisión inicial del documento</w:t>
            </w:r>
          </w:p>
        </w:tc>
        <w:tc>
          <w:tcPr>
            <w:tcW w:type="dxa" w:w="1881"/>
          </w:tcPr>
          <w:p>
            <w:r/>
            <w:r>
              <w:rPr>
                <w:b w:val="0"/>
                <w:sz w:val="18"/>
              </w:rPr>
              <w:t>Dirección Administrativa y Financiera – Gestión TI</w:t>
            </w:r>
          </w:p>
        </w:tc>
        <w:tc>
          <w:tcPr>
            <w:tcW w:type="dxa" w:w="1881"/>
          </w:tcPr>
          <w:p>
            <w:r/>
            <w:r>
              <w:rPr>
                <w:b w:val="0"/>
                <w:sz w:val="18"/>
              </w:rPr>
              <w:t>Gerencia General (pendiente de acto administrativo de adopción)</w:t>
            </w:r>
          </w:p>
        </w:tc>
      </w:tr>
    </w:tbl>
    <w:p/>
    <w:p>
      <w:pPr>
        <w:pStyle w:val="Heading1"/>
      </w:pPr>
      <w:r>
        <w:t>EQUIPO DE ELABORACIÓN, REVISIÓN Y APROBACIÓN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4761"/>
          </w:tcPr>
          <w:p>
            <w:r/>
            <w:r>
              <w:rPr>
                <w:b/>
                <w:color w:val="FFFFFF"/>
                <w:sz w:val="18"/>
              </w:rPr>
              <w:t>Cargo / Rol</w:t>
            </w:r>
          </w:p>
        </w:tc>
        <w:tc>
          <w:tcPr>
            <w:tcW w:type="dxa" w:w="3135"/>
            <w:shd w:val="clear" w:color="auto" w:fill="0F4761"/>
          </w:tcPr>
          <w:p>
            <w:r/>
            <w:r>
              <w:rPr>
                <w:b/>
                <w:color w:val="FFFFFF"/>
                <w:sz w:val="18"/>
              </w:rPr>
              <w:t>Responsabilidad</w:t>
            </w:r>
          </w:p>
        </w:tc>
        <w:tc>
          <w:tcPr>
            <w:tcW w:type="dxa" w:w="3135"/>
            <w:shd w:val="clear" w:color="auto" w:fill="0F4761"/>
          </w:tcPr>
          <w:p>
            <w:r/>
            <w:r>
              <w:rPr>
                <w:b/>
                <w:color w:val="FFFFFF"/>
                <w:sz w:val="18"/>
              </w:rPr>
              <w:t>Nombre</w:t>
            </w:r>
          </w:p>
        </w:tc>
      </w:tr>
      <w:tr>
        <w:tc>
          <w:tcPr>
            <w:tcW w:type="dxa" w:w="3135"/>
          </w:tcPr>
          <w:p>
            <w:r/>
            <w:r>
              <w:rPr>
                <w:b w:val="0"/>
                <w:sz w:val="18"/>
              </w:rPr>
              <w:t>Dirección Administrativa y Financiera</w:t>
            </w:r>
          </w:p>
        </w:tc>
        <w:tc>
          <w:tcPr>
            <w:tcW w:type="dxa" w:w="3135"/>
          </w:tcPr>
          <w:p>
            <w:r/>
            <w:r>
              <w:rPr>
                <w:b w:val="0"/>
                <w:sz w:val="18"/>
              </w:rPr>
              <w:t>Elaboración del documento</w:t>
            </w:r>
          </w:p>
        </w:tc>
        <w:tc>
          <w:tcPr>
            <w:tcW w:type="dxa" w:w="3135"/>
          </w:tcPr>
          <w:p>
            <w:r/>
            <w:r>
              <w:rPr>
                <w:b w:val="0"/>
                <w:sz w:val="18"/>
              </w:rPr>
              <w:t>________________</w:t>
            </w:r>
          </w:p>
        </w:tc>
      </w:tr>
      <w:tr>
        <w:tc>
          <w:tcPr>
            <w:tcW w:type="dxa" w:w="3135"/>
          </w:tcPr>
          <w:p>
            <w:r/>
            <w:r>
              <w:rPr>
                <w:b w:val="0"/>
                <w:sz w:val="18"/>
              </w:rPr>
              <w:t>Control Interno</w:t>
            </w:r>
          </w:p>
        </w:tc>
        <w:tc>
          <w:tcPr>
            <w:tcW w:type="dxa" w:w="3135"/>
          </w:tcPr>
          <w:p>
            <w:r/>
            <w:r>
              <w:rPr>
                <w:b w:val="0"/>
                <w:sz w:val="18"/>
              </w:rPr>
              <w:t>Revisión y control</w:t>
            </w:r>
          </w:p>
        </w:tc>
        <w:tc>
          <w:tcPr>
            <w:tcW w:type="dxa" w:w="3135"/>
          </w:tcPr>
          <w:p>
            <w:r/>
            <w:r>
              <w:rPr>
                <w:b w:val="0"/>
                <w:sz w:val="18"/>
              </w:rPr>
              <w:t>________________</w:t>
            </w:r>
          </w:p>
        </w:tc>
      </w:tr>
      <w:tr>
        <w:tc>
          <w:tcPr>
            <w:tcW w:type="dxa" w:w="3135"/>
          </w:tcPr>
          <w:p>
            <w:r/>
            <w:r>
              <w:rPr>
                <w:b w:val="0"/>
                <w:sz w:val="18"/>
              </w:rPr>
              <w:t>Gerencia General</w:t>
            </w:r>
          </w:p>
        </w:tc>
        <w:tc>
          <w:tcPr>
            <w:tcW w:type="dxa" w:w="3135"/>
          </w:tcPr>
          <w:p>
            <w:r/>
            <w:r>
              <w:rPr>
                <w:b w:val="0"/>
                <w:sz w:val="18"/>
              </w:rPr>
              <w:t>Aprobación mediante acto administrativo</w:t>
            </w:r>
          </w:p>
        </w:tc>
        <w:tc>
          <w:tcPr>
            <w:tcW w:type="dxa" w:w="3135"/>
          </w:tcPr>
          <w:p>
            <w:r/>
            <w:r>
              <w:rPr>
                <w:b w:val="0"/>
                <w:sz w:val="18"/>
              </w:rPr>
              <w:t>________________</w:t>
            </w:r>
          </w:p>
        </w:tc>
      </w:tr>
    </w:tbl>
    <w:p>
      <w:r>
        <w:br w:type="page"/>
      </w:r>
    </w:p>
    <w:p>
      <w:pPr>
        <w:pStyle w:val="Heading1"/>
      </w:pPr>
      <w:r>
        <w:t>TABLA DE CONTENIDO</w:t>
      </w:r>
    </w:p>
    <w:p>
      <w:pPr>
        <w:spacing w:after="40"/>
      </w:pPr>
      <w:r>
        <w:t>1. INTRODUCCIÓN</w:t>
      </w:r>
    </w:p>
    <w:p>
      <w:pPr>
        <w:spacing w:after="40"/>
      </w:pPr>
      <w:r>
        <w:t>2. OBJETIVO GENERAL</w:t>
      </w:r>
    </w:p>
    <w:p>
      <w:pPr>
        <w:spacing w:after="40"/>
      </w:pPr>
      <w:r>
        <w:t>3. OBJETIVOS ESPECÍFICOS</w:t>
      </w:r>
    </w:p>
    <w:p>
      <w:pPr>
        <w:spacing w:after="40"/>
      </w:pPr>
      <w:r>
        <w:t>4. ALCANCE</w:t>
      </w:r>
    </w:p>
    <w:p>
      <w:pPr>
        <w:spacing w:after="40"/>
      </w:pPr>
      <w:r>
        <w:t>5. MARCO NORMATIVO Y DE REFERENCIA</w:t>
      </w:r>
    </w:p>
    <w:p>
      <w:pPr>
        <w:spacing w:after="40"/>
      </w:pPr>
      <w:r>
        <w:t>6. DEFINICIONES</w:t>
      </w:r>
    </w:p>
    <w:p>
      <w:pPr>
        <w:spacing w:after="40"/>
      </w:pPr>
      <w:r>
        <w:t>7. PRINCIPIOS DE SEGURIDAD DE LA INFORMACIÓN</w:t>
      </w:r>
    </w:p>
    <w:p>
      <w:pPr>
        <w:spacing w:after="40"/>
      </w:pPr>
      <w:r>
        <w:t>8. ESTRUCTURA ORGANIZACIONAL Y ROLES DE SEGURIDAD DE LA INFORMACIÓN</w:t>
      </w:r>
    </w:p>
    <w:p>
      <w:pPr>
        <w:spacing w:after="40"/>
      </w:pPr>
      <w:r>
        <w:t>9. DECLARACIÓN GENERAL DE LA POLÍTICA</w:t>
      </w:r>
    </w:p>
    <w:p>
      <w:pPr>
        <w:spacing w:after="40"/>
      </w:pPr>
      <w:r>
        <w:t>10. CLASIFICACIÓN DE LA INFORMACIÓN</w:t>
      </w:r>
    </w:p>
    <w:p>
      <w:pPr>
        <w:spacing w:after="40"/>
      </w:pPr>
      <w:r>
        <w:t>11. POLÍTICAS ESPECÍFICAS DE SEGURIDAD DE LA INFORMACIÓN</w:t>
      </w:r>
    </w:p>
    <w:p>
      <w:pPr>
        <w:spacing w:after="40"/>
      </w:pPr>
      <w:r>
        <w:t xml:space="preserve">     11.1 Organización de la seguridad de la información</w:t>
      </w:r>
    </w:p>
    <w:p>
      <w:pPr>
        <w:spacing w:after="40"/>
      </w:pPr>
      <w:r>
        <w:t xml:space="preserve">     11.2 Gestión de activos de información</w:t>
      </w:r>
    </w:p>
    <w:p>
      <w:pPr>
        <w:spacing w:after="40"/>
      </w:pPr>
      <w:r>
        <w:t xml:space="preserve">     11.3 Seguridad de los recursos humanos</w:t>
      </w:r>
    </w:p>
    <w:p>
      <w:pPr>
        <w:spacing w:after="40"/>
      </w:pPr>
      <w:r>
        <w:t xml:space="preserve">     11.4 Control de acceso lógico</w:t>
      </w:r>
    </w:p>
    <w:p>
      <w:pPr>
        <w:spacing w:after="40"/>
      </w:pPr>
      <w:r>
        <w:t xml:space="preserve">     11.5 Control de acceso físico y seguridad del entorno</w:t>
      </w:r>
    </w:p>
    <w:p>
      <w:pPr>
        <w:spacing w:after="40"/>
      </w:pPr>
      <w:r>
        <w:t xml:space="preserve">     11.6 Criptografía</w:t>
      </w:r>
    </w:p>
    <w:p>
      <w:pPr>
        <w:spacing w:after="40"/>
      </w:pPr>
      <w:r>
        <w:t xml:space="preserve">     11.7 Seguridad de las operaciones</w:t>
      </w:r>
    </w:p>
    <w:p>
      <w:pPr>
        <w:spacing w:after="40"/>
      </w:pPr>
      <w:r>
        <w:t xml:space="preserve">     11.8 Copias de seguridad (backup)</w:t>
      </w:r>
    </w:p>
    <w:p>
      <w:pPr>
        <w:spacing w:after="40"/>
      </w:pPr>
      <w:r>
        <w:t xml:space="preserve">     11.9 Seguridad de las comunicaciones y redes</w:t>
      </w:r>
    </w:p>
    <w:p>
      <w:pPr>
        <w:spacing w:after="40"/>
      </w:pPr>
      <w:r>
        <w:t xml:space="preserve">     11.10 Adquisición, desarrollo y mantenimiento de sistemas de información</w:t>
      </w:r>
    </w:p>
    <w:p>
      <w:pPr>
        <w:spacing w:after="40"/>
      </w:pPr>
      <w:r>
        <w:t xml:space="preserve">     11.11 Relación con proveedores y terceros</w:t>
      </w:r>
    </w:p>
    <w:p>
      <w:pPr>
        <w:spacing w:after="40"/>
      </w:pPr>
      <w:r>
        <w:t xml:space="preserve">     11.12 Gestión de incidentes de seguridad de la información</w:t>
      </w:r>
    </w:p>
    <w:p>
      <w:pPr>
        <w:spacing w:after="40"/>
      </w:pPr>
      <w:r>
        <w:t xml:space="preserve">     11.13 Continuidad del negocio</w:t>
      </w:r>
    </w:p>
    <w:p>
      <w:pPr>
        <w:spacing w:after="40"/>
      </w:pPr>
      <w:r>
        <w:t xml:space="preserve">     11.14 Cumplimiento legal y normativo</w:t>
      </w:r>
    </w:p>
    <w:p>
      <w:pPr>
        <w:spacing w:after="40"/>
      </w:pPr>
      <w:r>
        <w:t xml:space="preserve">     11.15 Teletrabajo y trabajo remoto</w:t>
      </w:r>
    </w:p>
    <w:p>
      <w:pPr>
        <w:spacing w:after="40"/>
      </w:pPr>
      <w:r>
        <w:t xml:space="preserve">     11.16 Dispositivos móviles y BYOD</w:t>
      </w:r>
    </w:p>
    <w:p>
      <w:pPr>
        <w:spacing w:after="40"/>
      </w:pPr>
      <w:r>
        <w:t xml:space="preserve">     11.17 Uso aceptable de activos, internet y correo electrónico</w:t>
      </w:r>
    </w:p>
    <w:p>
      <w:pPr>
        <w:spacing w:after="40"/>
      </w:pPr>
      <w:r>
        <w:t xml:space="preserve">     11.18 Gestión de contraseñas</w:t>
      </w:r>
    </w:p>
    <w:p>
      <w:pPr>
        <w:spacing w:after="40"/>
      </w:pPr>
      <w:r>
        <w:t xml:space="preserve">     11.19 Protección de datos personales</w:t>
      </w:r>
    </w:p>
    <w:p>
      <w:pPr>
        <w:spacing w:after="40"/>
      </w:pPr>
      <w:r>
        <w:t>12. RÉGIMEN DE CONSECUENCIAS POR INCUMPLIMIENTO</w:t>
      </w:r>
    </w:p>
    <w:p>
      <w:pPr>
        <w:spacing w:after="40"/>
      </w:pPr>
      <w:r>
        <w:t>13. EXCEPCIONES A LA POLÍTICA</w:t>
      </w:r>
    </w:p>
    <w:p>
      <w:pPr>
        <w:spacing w:after="40"/>
      </w:pPr>
      <w:r>
        <w:t>14. DIVULGACIÓN, CAPACITACIÓN Y TOMA DE CONCIENCIA</w:t>
      </w:r>
    </w:p>
    <w:p>
      <w:pPr>
        <w:spacing w:after="40"/>
      </w:pPr>
      <w:r>
        <w:t>15. REVISIÓN Y ACTUALIZACIÓN</w:t>
      </w:r>
    </w:p>
    <w:p>
      <w:pPr>
        <w:spacing w:after="40"/>
      </w:pPr>
      <w:r>
        <w:t>16. VIGENCIA</w:t>
      </w:r>
    </w:p>
    <w:p>
      <w:pPr>
        <w:spacing w:after="40"/>
      </w:pPr>
      <w:r>
        <w:t>17. APROBACIÓN Y ADOPCIÓN</w:t>
      </w:r>
    </w:p>
    <w:p>
      <w:pPr>
        <w:spacing w:after="40"/>
      </w:pPr>
      <w:r>
        <w:t>ANEXOS</w:t>
      </w:r>
    </w:p>
    <w:p>
      <w:r>
        <w:br w:type="page"/>
      </w:r>
    </w:p>
    <w:p>
      <w:pPr>
        <w:pStyle w:val="Heading1"/>
      </w:pPr>
      <w:r>
        <w:t>1. INTRODUCCIÓN</w:t>
      </w:r>
    </w:p>
    <w:p>
      <w:pPr>
        <w:jc w:val="both"/>
      </w:pPr>
      <w:r>
        <w:rPr>
          <w:b w:val="0"/>
          <w:i w:val="0"/>
        </w:rPr>
        <w:t>Promueve Más S.A.S., identificada con NIT 901.403.758-2, es una persona jurídica de derecho privado constituida como Sociedad de Economía Mixta, con participación pública mayoritaria (99.5%), razón por la cual, en virtud de lo establecido en el artículo 461 del Código de Comercio y demás normas concordantes, se rige por las disposiciones aplicables a las entidades públicas en lo relacionado con el control interno, la transparencia, la seguridad digital y la gestión de la información. La entidad presta servicios en el sector de servicios, con domicilio en el municipio de Manizales, departamento de Caldas.</w:t>
      </w:r>
    </w:p>
    <w:p>
      <w:pPr>
        <w:jc w:val="both"/>
      </w:pPr>
      <w:r>
        <w:rPr>
          <w:b w:val="0"/>
          <w:i w:val="0"/>
        </w:rPr>
        <w:t>En el desarrollo de su gestión administrativa, financiera, contable y operativa, Promueve Más S.A.S. genera, procesa, transmite y almacena información de diferente naturaleza y nivel de sensibilidad, incluyendo información financiera, contable, contractual y datos personales de colaboradores, contratistas y terceros. Dicha información constituye uno de los activos más valiosos de la organización, por lo que resulta indispensable establecer lineamientos claros, formales y de obligatorio cumplimiento que permitan preservar su confidencialidad, integridad y disponibilidad.</w:t>
      </w:r>
    </w:p>
    <w:p>
      <w:pPr>
        <w:jc w:val="both"/>
      </w:pPr>
      <w:r>
        <w:rPr>
          <w:b w:val="0"/>
          <w:i w:val="0"/>
        </w:rPr>
        <w:t>La presente Política de Seguridad de la Información se formula como el instrumento marco que orienta las actuaciones de todos los directivos, trabajadores en misión, contratistas, proveedores y terceros que tengan acceso a los activos de información de la entidad, tomando como referencia buenas prácticas internacionalmente reconocidas (familia de normas ISO/IEC 27000) y los lineamientos del Modelo de Seguridad y Privacidad de la Información (MSPI) de MinTIC, ajustados a la realidad operativa, tecnológica y de recursos de la entidad.</w:t>
      </w:r>
    </w:p>
    <w:p>
      <w:pPr>
        <w:pStyle w:val="Heading1"/>
      </w:pPr>
      <w:r>
        <w:t>2. OBJETIVO GENERAL</w:t>
      </w:r>
    </w:p>
    <w:p>
      <w:pPr>
        <w:jc w:val="both"/>
      </w:pPr>
      <w:r>
        <w:rPr>
          <w:b w:val="0"/>
          <w:i w:val="0"/>
        </w:rPr>
        <w:t>Establecer los lineamientos, principios, roles, responsabilidades y controles generales que permitan a Promueve Más S.A.S. proteger la confidencialidad, integridad y disponibilidad de la información y de los activos que la soportan (información, software, hardware, infraestructura de red, personas e instalaciones), minimizando los riesgos de seguridad digital a los que se encuentra expuesta la entidad, en el marco de sus procesos misionales y de apoyo.</w:t>
      </w:r>
    </w:p>
    <w:p>
      <w:pPr>
        <w:pStyle w:val="Heading1"/>
      </w:pPr>
      <w:r>
        <w:t>3. OBJETIVOS ESPECÍFICOS</w:t>
      </w:r>
    </w:p>
    <w:p>
      <w:pPr>
        <w:pStyle w:val="ListParagraph"/>
        <w:spacing w:after="80"/>
        <w:ind w:left="340"/>
      </w:pPr>
      <w:r>
        <w:t>•  Definir los principios y directrices generales de seguridad de la información que deben ser adoptados por todos los niveles de la organización.</w:t>
      </w:r>
    </w:p>
    <w:p>
      <w:pPr>
        <w:pStyle w:val="ListParagraph"/>
        <w:spacing w:after="80"/>
        <w:ind w:left="340"/>
      </w:pPr>
      <w:r>
        <w:t>•  Establecer los roles y responsabilidades en materia de seguridad de la información, aun cuando la entidad no cuente actualmente con un área de TI formalmente constituida ni con un Oficial de Seguridad de la Información dedicado.</w:t>
      </w:r>
    </w:p>
    <w:p>
      <w:pPr>
        <w:pStyle w:val="ListParagraph"/>
        <w:spacing w:after="80"/>
        <w:ind w:left="340"/>
      </w:pPr>
      <w:r>
        <w:t>•  Definir criterios para la clasificación de la información de acuerdo con su nivel de confidencialidad, criticidad y sensibilidad.</w:t>
      </w:r>
    </w:p>
    <w:p>
      <w:pPr>
        <w:pStyle w:val="ListParagraph"/>
        <w:spacing w:after="80"/>
        <w:ind w:left="340"/>
      </w:pPr>
      <w:r>
        <w:t>•  Establecer controles mínimos de acceso lógico y físico a la información y a las instalaciones de la entidad.</w:t>
      </w:r>
    </w:p>
    <w:p>
      <w:pPr>
        <w:pStyle w:val="ListParagraph"/>
        <w:spacing w:after="80"/>
        <w:ind w:left="340"/>
      </w:pPr>
      <w:r>
        <w:t>•  Definir los lineamientos para la generación, custodia y verificación de copias de seguridad (backup) de la información institucional.</w:t>
      </w:r>
    </w:p>
    <w:p>
      <w:pPr>
        <w:pStyle w:val="ListParagraph"/>
        <w:spacing w:after="80"/>
        <w:ind w:left="340"/>
      </w:pPr>
      <w:r>
        <w:t>•  Establecer directrices para el uso adecuado de los equipos de cómputo, impresoras, red inalámbrica, correo electrónico, internet y demás recursos tecnológicos, considerando que dichos equipos son suministrados por un tercero mediante contrato de arrendamiento (renting/leasing operativo).</w:t>
      </w:r>
    </w:p>
    <w:p>
      <w:pPr>
        <w:pStyle w:val="ListParagraph"/>
        <w:spacing w:after="80"/>
        <w:ind w:left="340"/>
      </w:pPr>
      <w:r>
        <w:t>•  Definir lineamientos para la modalidad de teletrabajo y trabajo remoto, en la medida en que la naturaleza de las funciones lo permita.</w:t>
      </w:r>
    </w:p>
    <w:p>
      <w:pPr>
        <w:pStyle w:val="ListParagraph"/>
        <w:spacing w:after="80"/>
        <w:ind w:left="340"/>
      </w:pPr>
      <w:r>
        <w:t>•  Establecer controles para el uso de dispositivos móviles personales que se conecten a la red institucional (BYOD).</w:t>
      </w:r>
    </w:p>
    <w:p>
      <w:pPr>
        <w:pStyle w:val="ListParagraph"/>
        <w:spacing w:after="80"/>
        <w:ind w:left="340"/>
      </w:pPr>
      <w:r>
        <w:t>•  Definir el procedimiento general para la gestión y reporte de incidentes de seguridad de la información.</w:t>
      </w:r>
    </w:p>
    <w:p>
      <w:pPr>
        <w:pStyle w:val="ListParagraph"/>
        <w:spacing w:after="80"/>
        <w:ind w:left="340"/>
      </w:pPr>
      <w:r>
        <w:t>•  Establecer los lineamientos generales para la protección de datos personales conforme a la Ley 1581 de 2012 y sus decretos reglamentarios.</w:t>
      </w:r>
    </w:p>
    <w:p>
      <w:pPr>
        <w:pStyle w:val="ListParagraph"/>
        <w:spacing w:after="80"/>
        <w:ind w:left="340"/>
      </w:pPr>
      <w:r>
        <w:t>•  Definir el régimen de consecuencias aplicable frente al incumplimiento de la presente política.</w:t>
      </w:r>
    </w:p>
    <w:p>
      <w:pPr>
        <w:pStyle w:val="Heading1"/>
      </w:pPr>
      <w:r>
        <w:t>4. ALCANCE</w:t>
      </w:r>
    </w:p>
    <w:p>
      <w:pPr>
        <w:jc w:val="both"/>
      </w:pPr>
      <w:r>
        <w:rPr>
          <w:b w:val="0"/>
          <w:i w:val="0"/>
        </w:rPr>
        <w:t>La presente política aplica a todos los niveles de la organización y es de obligatorio cumplimiento para:</w:t>
      </w:r>
    </w:p>
    <w:p>
      <w:pPr>
        <w:pStyle w:val="ListParagraph"/>
        <w:spacing w:after="80"/>
        <w:ind w:left="340"/>
      </w:pPr>
      <w:r>
        <w:t>•  El personal directivo de la entidad (Gerencia General, Control Interno, Dirección Administrativa y Financiera y Dirección de Proyectos).</w:t>
      </w:r>
    </w:p>
    <w:p>
      <w:pPr>
        <w:pStyle w:val="ListParagraph"/>
        <w:spacing w:after="80"/>
        <w:ind w:left="340"/>
      </w:pPr>
      <w:r>
        <w:t>•  Los contratistas de prestación de servicios vinculados a la entidad.</w:t>
      </w:r>
    </w:p>
    <w:p>
      <w:pPr>
        <w:pStyle w:val="ListParagraph"/>
        <w:spacing w:after="80"/>
        <w:ind w:left="340"/>
      </w:pPr>
      <w:r>
        <w:t>•  Los trabajadores en misión suministrados a través de la empresa de servicios temporales que desarrollan sus funciones en las instalaciones de Promueve Más S.A.S. o de manera remota, en representación de la entidad.</w:t>
      </w:r>
    </w:p>
    <w:p>
      <w:pPr>
        <w:pStyle w:val="ListParagraph"/>
        <w:spacing w:after="80"/>
        <w:ind w:left="340"/>
      </w:pPr>
      <w:r>
        <w:t>•  Los proveedores y terceros que, en virtud de una relación contractual, tengan acceso a los sistemas de información, a la infraestructura tecnológica, a las instalaciones físicas o a información de propiedad de la entidad (incluido el proveedor del hosting, el proveedor de la red WiFi dedicada, el proveedor de equipos en arrendamiento y el proveedor del sistema de facturación).</w:t>
      </w:r>
    </w:p>
    <w:p>
      <w:pPr>
        <w:jc w:val="both"/>
      </w:pPr>
      <w:r>
        <w:rPr>
          <w:b w:val="0"/>
          <w:i w:val="0"/>
        </w:rPr>
        <w:t>Esta política aplica a toda la información que se genere, procese, transmita o almacene por cualquier medio (físico, digital, verbal) en el desarrollo de las actividades de la entidad, incluyendo, entre otros: el sistema integrado de facturación “Solution System”, el sitio web institucional (www.promuevemas.com), el correo electrónico corporativo e institucional, la red WiFi empresarial, el circuito cerrado de televisión (CCTV) y los equipos de cómputo e impresión suministrados por el proveedor de arrendamiento tecnológico.</w:t>
      </w:r>
    </w:p>
    <w:p>
      <w:pPr>
        <w:jc w:val="both"/>
      </w:pPr>
      <w:r>
        <w:rPr>
          <w:b w:val="0"/>
          <w:i w:val="0"/>
        </w:rPr>
        <w:t>Dado que Promueve Más S.A.S. no cuenta actualmente con un área de Tecnologías de la Información formalmente constituida, las funciones asociadas a la gestión de seguridad de la información recaerán, hasta tanto se disponga lo contrario, en la Dirección Administrativa y Financiera, con el apoyo del rol de Gestión de TI, sin perjuicio de las responsabilidades que le asisten a cada directivo, colaborador y contratista frente al uso adecuado de la información.</w:t>
      </w:r>
    </w:p>
    <w:p>
      <w:pPr>
        <w:pStyle w:val="Heading1"/>
      </w:pPr>
      <w:r>
        <w:t>5. MARCO NORMATIVO Y DE REFERENCIA</w:t>
      </w:r>
    </w:p>
    <w:p>
      <w:pPr>
        <w:jc w:val="both"/>
      </w:pPr>
      <w:r>
        <w:rPr>
          <w:b w:val="0"/>
          <w:i w:val="0"/>
        </w:rPr>
        <w:t>La presente política se fundamenta en el siguiente marco normativo y de referencia, sin perjuicio de las demás normas que lo modifiquen, adicionen o sustituyan:</w:t>
      </w:r>
    </w:p>
    <w:p>
      <w:pPr>
        <w:pStyle w:val="ListParagraph"/>
        <w:spacing w:after="80"/>
        <w:ind w:left="340"/>
      </w:pPr>
      <w:r>
        <w:t>•  Constitución Política de Colombia, artículos 15 y 20 (derecho a la intimidad, hábeas data y libertad de información).</w:t>
      </w:r>
    </w:p>
    <w:p>
      <w:pPr>
        <w:pStyle w:val="ListParagraph"/>
        <w:spacing w:after="80"/>
        <w:ind w:left="340"/>
      </w:pPr>
      <w:r>
        <w:t>•  Ley 527 de 1999, por medio de la cual se define y reglamenta el acceso y uso de los mensajes de datos, del comercio electrónico y de las firmas digitales.</w:t>
      </w:r>
    </w:p>
    <w:p>
      <w:pPr>
        <w:pStyle w:val="ListParagraph"/>
        <w:spacing w:after="80"/>
        <w:ind w:left="340"/>
      </w:pPr>
      <w:r>
        <w:t>•  Ley 594 de 2000 (Ley General de Archivos) y demás normas reglamentarias sobre gestión documental, en cuanto resulten aplicables a la información en medio electrónico.</w:t>
      </w:r>
    </w:p>
    <w:p>
      <w:pPr>
        <w:pStyle w:val="ListParagraph"/>
        <w:spacing w:after="80"/>
        <w:ind w:left="340"/>
      </w:pPr>
      <w:r>
        <w:t>•  Ley 1273 de 2009, por la cual se modifica el Código Penal y se crea un nuevo bien jurídico tutelado denominado “de la protección de la información y de los datos”, tipificando delitos informáticos como el acceso abusivo a sistemas informáticos, la violación de datos personales y el hurto por medios informáticos.</w:t>
      </w:r>
    </w:p>
    <w:p>
      <w:pPr>
        <w:pStyle w:val="ListParagraph"/>
        <w:spacing w:after="80"/>
        <w:ind w:left="340"/>
      </w:pPr>
      <w:r>
        <w:t>•  Ley 1581 de 2012 y Decreto 1377 de 2013 (compilado en el Decreto 1074 de 2015), sobre protección de datos personales.</w:t>
      </w:r>
    </w:p>
    <w:p>
      <w:pPr>
        <w:pStyle w:val="ListParagraph"/>
        <w:spacing w:after="80"/>
        <w:ind w:left="340"/>
      </w:pPr>
      <w:r>
        <w:t>•  Ley 1712 de 2014 (Ley de Transparencia y del Derecho de Acceso a la Información Pública Nacional), aplicable a Promueve Más S.A.S. en su condición de sociedad de economía mixta con participación pública mayoritaria.</w:t>
      </w:r>
    </w:p>
    <w:p>
      <w:pPr>
        <w:pStyle w:val="ListParagraph"/>
        <w:spacing w:after="80"/>
        <w:ind w:left="340"/>
      </w:pPr>
      <w:r>
        <w:t>•  Ley 2195 de 2022, por medio de la cual se adoptan medidas en materia de transparencia, prevención y lucha contra la corrupción.</w:t>
      </w:r>
    </w:p>
    <w:p>
      <w:pPr>
        <w:pStyle w:val="ListParagraph"/>
        <w:spacing w:after="80"/>
        <w:ind w:left="340"/>
      </w:pPr>
      <w:r>
        <w:t>•  CONPES 3854 de 2016 (Política Nacional de Seguridad Digital) y CONPES 3995 de 2020 (Política Nacional de Confianza y Seguridad Digital).</w:t>
      </w:r>
    </w:p>
    <w:p>
      <w:pPr>
        <w:pStyle w:val="ListParagraph"/>
        <w:spacing w:after="80"/>
        <w:ind w:left="340"/>
      </w:pPr>
      <w:r>
        <w:t>•  Modelo de Seguridad y Privacidad de la Información (MSPI) del Ministerio de Tecnologías de la Información y las Comunicaciones – MinTIC, en el marco de la Política de Gobierno Digital.</w:t>
      </w:r>
    </w:p>
    <w:p>
      <w:pPr>
        <w:pStyle w:val="ListParagraph"/>
        <w:spacing w:after="80"/>
        <w:ind w:left="340"/>
      </w:pPr>
      <w:r>
        <w:t>•  Norma técnica NTC-ISO/IEC 27001 (Sistemas de Gestión de Seguridad de la Información) y NTC-ISO/IEC 27002 (Código de práctica para los controles de seguridad de la información), utilizadas como referencia de buenas prácticas internacionales.</w:t>
      </w:r>
    </w:p>
    <w:p>
      <w:pPr>
        <w:pStyle w:val="ListParagraph"/>
        <w:spacing w:after="80"/>
        <w:ind w:left="340"/>
      </w:pPr>
      <w:r>
        <w:t>•  Estatutos sociales y acta de constitución de Promueve Más S.A.S., y demás normas y procedimientos internos vigentes.</w:t>
      </w:r>
    </w:p>
    <w:p>
      <w:pPr>
        <w:pStyle w:val="Heading1"/>
      </w:pPr>
      <w:r>
        <w:t>6. DEFINICIONES</w:t>
      </w:r>
    </w:p>
    <w:p>
      <w:pPr>
        <w:spacing w:after="80"/>
      </w:pPr>
      <w:r>
        <w:rPr>
          <w:b/>
        </w:rPr>
        <w:t xml:space="preserve">Activo de información: </w:t>
      </w:r>
      <w:r>
        <w:t>Todo elemento que tiene valor para la organización y que, por lo tanto, requiere protección. Incluye información en cualquier formato, software, hardware, servicios, infraestructura y personas.</w:t>
      </w:r>
    </w:p>
    <w:p>
      <w:pPr>
        <w:spacing w:after="80"/>
      </w:pPr>
      <w:r>
        <w:rPr>
          <w:b/>
        </w:rPr>
        <w:t xml:space="preserve">Amenaza: </w:t>
      </w:r>
      <w:r>
        <w:t>Causa potencial de un incidente no deseado que puede provocar daño a un sistema, activo o a la organización.</w:t>
      </w:r>
    </w:p>
    <w:p>
      <w:pPr>
        <w:spacing w:after="80"/>
      </w:pPr>
      <w:r>
        <w:rPr>
          <w:b/>
        </w:rPr>
        <w:t xml:space="preserve">Autenticación: </w:t>
      </w:r>
      <w:r>
        <w:t>Proceso mediante el cual se verifica la identidad de un usuario, dispositivo o sistema antes de otorgar acceso a un recurso.</w:t>
      </w:r>
    </w:p>
    <w:p>
      <w:pPr>
        <w:spacing w:after="80"/>
      </w:pPr>
      <w:r>
        <w:rPr>
          <w:b/>
        </w:rPr>
        <w:t xml:space="preserve">BYOD (Bring Your Own Device): </w:t>
      </w:r>
      <w:r>
        <w:t>Modalidad en la cual los usuarios utilizan sus dispositivos móviles personales (celulares, tabletas, portátiles) para conectarse a la red o a los recursos tecnológicos de la entidad.</w:t>
      </w:r>
    </w:p>
    <w:p>
      <w:pPr>
        <w:spacing w:after="80"/>
      </w:pPr>
      <w:r>
        <w:rPr>
          <w:b/>
        </w:rPr>
        <w:t xml:space="preserve">Confidencialidad: </w:t>
      </w:r>
      <w:r>
        <w:t>Propiedad de la información de no ser divulgada a personas, entidades o procesos no autorizados.</w:t>
      </w:r>
    </w:p>
    <w:p>
      <w:pPr>
        <w:spacing w:after="80"/>
      </w:pPr>
      <w:r>
        <w:rPr>
          <w:b/>
        </w:rPr>
        <w:t xml:space="preserve">Control: </w:t>
      </w:r>
      <w:r>
        <w:t>Medida que modifica el riesgo, incluyendo políticas, procedimientos, prácticas, estructuras organizacionales o disposiciones técnicas.</w:t>
      </w:r>
    </w:p>
    <w:p>
      <w:pPr>
        <w:spacing w:after="80"/>
      </w:pPr>
      <w:r>
        <w:rPr>
          <w:b/>
        </w:rPr>
        <w:t xml:space="preserve">Copia de seguridad (backup): </w:t>
      </w:r>
      <w:r>
        <w:t>Reproducción de la información contenida en los sistemas o equipos de la entidad, almacenada en un medio distinto, con el fin de garantizar su recuperación ante pérdida, daño o alteración.</w:t>
      </w:r>
    </w:p>
    <w:p>
      <w:pPr>
        <w:spacing w:after="80"/>
      </w:pPr>
      <w:r>
        <w:rPr>
          <w:b/>
        </w:rPr>
        <w:t xml:space="preserve">Disponibilidad: </w:t>
      </w:r>
      <w:r>
        <w:t>Propiedad de la información de estar accesible y utilizable cuando lo requiera una persona o proceso autorizado.</w:t>
      </w:r>
    </w:p>
    <w:p>
      <w:pPr>
        <w:spacing w:after="80"/>
      </w:pPr>
      <w:r>
        <w:rPr>
          <w:b/>
        </w:rPr>
        <w:t xml:space="preserve">Incidente de seguridad de la información: </w:t>
      </w:r>
      <w:r>
        <w:t>Evento único o serie de eventos de seguridad de la información, no deseados o inesperados, que tienen una probabilidad significativa de comprometer las operaciones de la entidad y de amenazar la seguridad de la información.</w:t>
      </w:r>
    </w:p>
    <w:p>
      <w:pPr>
        <w:spacing w:after="80"/>
      </w:pPr>
      <w:r>
        <w:rPr>
          <w:b/>
        </w:rPr>
        <w:t xml:space="preserve">Integridad: </w:t>
      </w:r>
      <w:r>
        <w:t>Propiedad de la información relativa a su exactitud y completitud, garantizando que no ha sido alterada de manera no autorizada.</w:t>
      </w:r>
    </w:p>
    <w:p>
      <w:pPr>
        <w:spacing w:after="80"/>
      </w:pPr>
      <w:r>
        <w:rPr>
          <w:b/>
        </w:rPr>
        <w:t xml:space="preserve">Riesgo de seguridad digital: </w:t>
      </w:r>
      <w:r>
        <w:t>Combinación de la probabilidad de que ocurra una amenaza y las consecuencias que ésta pueda generar sobre las actividades y activos de la entidad en el entorno digital.</w:t>
      </w:r>
    </w:p>
    <w:p>
      <w:pPr>
        <w:spacing w:after="80"/>
      </w:pPr>
      <w:r>
        <w:rPr>
          <w:b/>
        </w:rPr>
        <w:t xml:space="preserve">Teletrabajo / trabajo remoto: </w:t>
      </w:r>
      <w:r>
        <w:t>Modalidad de organización laboral en la que las funciones del cargo se desarrollan, total o parcialmente, fuera de las instalaciones físicas de la entidad, haciendo uso de tecnologías de la información y las comunicaciones.</w:t>
      </w:r>
    </w:p>
    <w:p>
      <w:pPr>
        <w:spacing w:after="80"/>
      </w:pPr>
      <w:r>
        <w:rPr>
          <w:b/>
        </w:rPr>
        <w:t xml:space="preserve">Tercero: </w:t>
      </w:r>
      <w:r>
        <w:t>Persona natural o jurídica distinta de la entidad, que en virtud de una relación contractual o comercial tiene acceso, procesa o custodia información o activos tecnológicos de Promueve Más S.A.S.</w:t>
      </w:r>
    </w:p>
    <w:p>
      <w:pPr>
        <w:spacing w:after="80"/>
      </w:pPr>
      <w:r>
        <w:rPr>
          <w:b/>
        </w:rPr>
        <w:t xml:space="preserve">Usuario: </w:t>
      </w:r>
      <w:r>
        <w:t>Directivo, contratista, trabajador en misión o tercero autorizado que hace uso de los activos de información y de la infraestructura tecnológica de la entidad.</w:t>
      </w:r>
    </w:p>
    <w:p>
      <w:r>
        <w:br w:type="page"/>
      </w:r>
    </w:p>
    <w:p>
      <w:pPr>
        <w:pStyle w:val="Heading1"/>
      </w:pPr>
      <w:r>
        <w:t>7. PRINCIPIOS DE SEGURIDAD DE LA INFORMACIÓN</w:t>
      </w:r>
    </w:p>
    <w:p>
      <w:pPr>
        <w:jc w:val="both"/>
      </w:pPr>
      <w:r>
        <w:rPr>
          <w:b w:val="0"/>
          <w:i w:val="0"/>
        </w:rPr>
        <w:t>Promueve Más S.A.S. adopta los siguientes principios rectores para la gestión de la seguridad de la información:</w:t>
      </w:r>
    </w:p>
    <w:p>
      <w:pPr>
        <w:pStyle w:val="ListParagraph"/>
        <w:spacing w:after="80"/>
        <w:ind w:left="340"/>
      </w:pPr>
      <w:r>
        <w:t xml:space="preserve">•  </w:t>
      </w:r>
      <w:r>
        <w:rPr>
          <w:b/>
        </w:rPr>
        <w:t xml:space="preserve">Confidencialidad: </w:t>
      </w:r>
      <w:r>
        <w:t>la información será accedida únicamente por las personas, procesos o sistemas debidamente autorizados.</w:t>
      </w:r>
    </w:p>
    <w:p>
      <w:pPr>
        <w:pStyle w:val="ListParagraph"/>
        <w:spacing w:after="80"/>
        <w:ind w:left="340"/>
      </w:pPr>
      <w:r>
        <w:t xml:space="preserve">•  </w:t>
      </w:r>
      <w:r>
        <w:rPr>
          <w:b/>
        </w:rPr>
        <w:t xml:space="preserve">Integridad: </w:t>
      </w:r>
      <w:r>
        <w:t>la información se mantendrá exacta, completa y libre de alteraciones no autorizadas.</w:t>
      </w:r>
    </w:p>
    <w:p>
      <w:pPr>
        <w:pStyle w:val="ListParagraph"/>
        <w:spacing w:after="80"/>
        <w:ind w:left="340"/>
      </w:pPr>
      <w:r>
        <w:t xml:space="preserve">•  </w:t>
      </w:r>
      <w:r>
        <w:rPr>
          <w:b/>
        </w:rPr>
        <w:t xml:space="preserve">Disponibilidad: </w:t>
      </w:r>
      <w:r>
        <w:t>la información y los recursos tecnológicos que la soportan estarán disponibles para los usuarios autorizados cuando estos lo requieran.</w:t>
      </w:r>
    </w:p>
    <w:p>
      <w:pPr>
        <w:pStyle w:val="ListParagraph"/>
        <w:spacing w:after="80"/>
        <w:ind w:left="340"/>
      </w:pPr>
      <w:r>
        <w:t xml:space="preserve">•  </w:t>
      </w:r>
      <w:r>
        <w:rPr>
          <w:b/>
        </w:rPr>
        <w:t xml:space="preserve">Legalidad: </w:t>
      </w:r>
      <w:r>
        <w:t>el tratamiento de la información se realizará con estricto apego a la Constitución, la ley y las normas que regulan la materia.</w:t>
      </w:r>
    </w:p>
    <w:p>
      <w:pPr>
        <w:pStyle w:val="ListParagraph"/>
        <w:spacing w:after="80"/>
        <w:ind w:left="340"/>
      </w:pPr>
      <w:r>
        <w:t xml:space="preserve">•  </w:t>
      </w:r>
      <w:r>
        <w:rPr>
          <w:b/>
        </w:rPr>
        <w:t xml:space="preserve">Responsabilidad: </w:t>
      </w:r>
      <w:r>
        <w:t>todo usuario que tenga acceso a información o activos tecnológicos de la entidad es responsable por el uso adecuado que haga de estos.</w:t>
      </w:r>
    </w:p>
    <w:p>
      <w:pPr>
        <w:pStyle w:val="ListParagraph"/>
        <w:spacing w:after="80"/>
        <w:ind w:left="340"/>
      </w:pPr>
      <w:r>
        <w:t xml:space="preserve">•  </w:t>
      </w:r>
      <w:r>
        <w:rPr>
          <w:b/>
        </w:rPr>
        <w:t xml:space="preserve">Proporcionalidad: </w:t>
      </w:r>
      <w:r>
        <w:t>los controles de seguridad que se implementen serán proporcionales al nivel de riesgo, a la criticidad de la información y a la capacidad operativa y presupuestal real de la entidad.</w:t>
      </w:r>
    </w:p>
    <w:p>
      <w:pPr>
        <w:pStyle w:val="ListParagraph"/>
        <w:spacing w:after="80"/>
        <w:ind w:left="340"/>
      </w:pPr>
      <w:r>
        <w:t xml:space="preserve">•  </w:t>
      </w:r>
      <w:r>
        <w:rPr>
          <w:b/>
        </w:rPr>
        <w:t xml:space="preserve">Mejora continua: </w:t>
      </w:r>
      <w:r>
        <w:t>la gestión de la seguridad de la información será objeto de revisión y actualización periódica, conforme evolucionen los riesgos, la tecnología y las capacidades de la entidad.</w:t>
      </w:r>
    </w:p>
    <w:p>
      <w:pPr>
        <w:pStyle w:val="Heading1"/>
      </w:pPr>
      <w:r>
        <w:t>8. ESTRUCTURA ORGANIZACIONAL Y ROLES DE SEGURIDAD DE LA INFORMACIÓN</w:t>
      </w:r>
    </w:p>
    <w:p>
      <w:pPr>
        <w:jc w:val="both"/>
      </w:pPr>
      <w:r>
        <w:rPr>
          <w:b w:val="0"/>
          <w:i w:val="0"/>
        </w:rPr>
        <w:t>Promueve Más S.A.S. no cuenta actualmente con un área de Tecnologías de la Información formalmente constituida ni con un Comité de Seguridad de la Información. En consecuencia, y mientras la entidad no disponga la creación de dichas instancias, las responsabilidades en materia de seguridad de la información se distribuyen de la siguiente manera:</w:t>
      </w:r>
    </w:p>
    <w:tbl>
      <w:tblPr>
        <w:tblStyle w:val="TableGrid"/>
        <w:tblW w:type="auto" w:w="0"/>
        <w:tblLook w:firstColumn="1" w:firstRow="1" w:lastColumn="0" w:lastRow="0" w:noHBand="0" w:noVBand="1" w:val="04A0"/>
      </w:tblPr>
      <w:tblGrid>
        <w:gridCol w:w="4703"/>
        <w:gridCol w:w="4703"/>
      </w:tblGrid>
      <w:tr>
        <w:tc>
          <w:tcPr>
            <w:tcW w:type="dxa" w:w="4703"/>
            <w:shd w:val="clear" w:color="auto" w:fill="0F4761"/>
          </w:tcPr>
          <w:p>
            <w:r/>
            <w:r>
              <w:rPr>
                <w:b/>
                <w:color w:val="FFFFFF"/>
                <w:sz w:val="20"/>
              </w:rPr>
              <w:t>Rol</w:t>
            </w:r>
          </w:p>
        </w:tc>
        <w:tc>
          <w:tcPr>
            <w:tcW w:type="dxa" w:w="4703"/>
            <w:shd w:val="clear" w:color="auto" w:fill="0F4761"/>
          </w:tcPr>
          <w:p>
            <w:r/>
            <w:r>
              <w:rPr>
                <w:b/>
                <w:color w:val="FFFFFF"/>
                <w:sz w:val="20"/>
              </w:rPr>
              <w:t>Responsabilidades principales</w:t>
            </w:r>
          </w:p>
        </w:tc>
      </w:tr>
      <w:tr>
        <w:tc>
          <w:tcPr>
            <w:tcW w:type="dxa" w:w="4703"/>
          </w:tcPr>
          <w:p>
            <w:r/>
            <w:r>
              <w:rPr>
                <w:b/>
                <w:sz w:val="20"/>
              </w:rPr>
              <w:t>Gerencia General</w:t>
            </w:r>
          </w:p>
        </w:tc>
        <w:tc>
          <w:tcPr>
            <w:tcW w:type="dxa" w:w="4703"/>
          </w:tcPr>
          <w:p>
            <w:r/>
            <w:r>
              <w:rPr>
                <w:b w:val="0"/>
                <w:sz w:val="20"/>
              </w:rPr>
              <w:t>Aprobar y adoptar formalmente la presente política mediante el acto administrativo correspondiente. Asignar los recursos necesarios para su implementación. Servir como instancia final de decisión frente a incidentes de seguridad de alto impacto.</w:t>
            </w:r>
          </w:p>
        </w:tc>
      </w:tr>
      <w:tr>
        <w:tc>
          <w:tcPr>
            <w:tcW w:type="dxa" w:w="4703"/>
          </w:tcPr>
          <w:p>
            <w:r/>
            <w:r>
              <w:rPr>
                <w:b/>
                <w:sz w:val="20"/>
              </w:rPr>
              <w:t>Control Interno</w:t>
            </w:r>
          </w:p>
        </w:tc>
        <w:tc>
          <w:tcPr>
            <w:tcW w:type="dxa" w:w="4703"/>
          </w:tcPr>
          <w:p>
            <w:r/>
            <w:r>
              <w:rPr>
                <w:b w:val="0"/>
                <w:sz w:val="20"/>
              </w:rPr>
              <w:t>Efectuar seguimiento y evaluación independiente al cumplimiento de la presente política y de los planes asociados (Plan de Tratamiento de Riesgos, Plan de Seguridad y Privacidad de la Información). Reportar hallazgos a la Gerencia General.</w:t>
            </w:r>
          </w:p>
        </w:tc>
      </w:tr>
      <w:tr>
        <w:tc>
          <w:tcPr>
            <w:tcW w:type="dxa" w:w="4703"/>
          </w:tcPr>
          <w:p>
            <w:r/>
            <w:r>
              <w:rPr>
                <w:b/>
                <w:sz w:val="20"/>
              </w:rPr>
              <w:t>Dirección Administrativa y Financiera (Gestión de TI)</w:t>
            </w:r>
          </w:p>
        </w:tc>
        <w:tc>
          <w:tcPr>
            <w:tcW w:type="dxa" w:w="4703"/>
          </w:tcPr>
          <w:p>
            <w:r/>
            <w:r>
              <w:rPr>
                <w:b w:val="0"/>
                <w:sz w:val="20"/>
              </w:rPr>
              <w:t>Actuar como responsable funcional de la seguridad de la información, en ausencia de un área de TI formalmente constituida. Administrar los correos institucionales, el hosting, la página web, la red WiFi empresarial, el CCTV y los equipos en arrendamiento. Coordinar la ejecución de copias de seguridad, el control de accesos lógicos y la respuesta a incidentes de seguridad. Proponer a la Gerencia la actualización de la presente política.</w:t>
            </w:r>
          </w:p>
        </w:tc>
      </w:tr>
      <w:tr>
        <w:tc>
          <w:tcPr>
            <w:tcW w:type="dxa" w:w="4703"/>
          </w:tcPr>
          <w:p>
            <w:r/>
            <w:r>
              <w:rPr>
                <w:b/>
                <w:sz w:val="20"/>
              </w:rPr>
              <w:t>Dirección de Proyectos</w:t>
            </w:r>
          </w:p>
        </w:tc>
        <w:tc>
          <w:tcPr>
            <w:tcW w:type="dxa" w:w="4703"/>
          </w:tcPr>
          <w:p>
            <w:r/>
            <w:r>
              <w:rPr>
                <w:b w:val="0"/>
                <w:sz w:val="20"/>
              </w:rPr>
              <w:t>Garantizar que los proyectos que se ejecuten incorporen los lineamientos de seguridad de la información aquí definidos, en particular frente al manejo de información de terceros y de entidades cooperantes o contratantes.</w:t>
            </w:r>
          </w:p>
        </w:tc>
      </w:tr>
      <w:tr>
        <w:tc>
          <w:tcPr>
            <w:tcW w:type="dxa" w:w="4703"/>
          </w:tcPr>
          <w:p>
            <w:r/>
            <w:r>
              <w:rPr>
                <w:b/>
                <w:sz w:val="20"/>
              </w:rPr>
              <w:t>Área Contable / Financiera</w:t>
            </w:r>
          </w:p>
        </w:tc>
        <w:tc>
          <w:tcPr>
            <w:tcW w:type="dxa" w:w="4703"/>
          </w:tcPr>
          <w:p>
            <w:r/>
            <w:r>
              <w:rPr>
                <w:b w:val="0"/>
                <w:sz w:val="20"/>
              </w:rPr>
              <w:t>Aplicar controles reforzados de confidencialidad y trazabilidad sobre la información financiera, contable y de tesorería, dado su alto nivel de criticidad para la entidad.</w:t>
            </w:r>
          </w:p>
        </w:tc>
      </w:tr>
      <w:tr>
        <w:tc>
          <w:tcPr>
            <w:tcW w:type="dxa" w:w="4703"/>
          </w:tcPr>
          <w:p>
            <w:r/>
            <w:r>
              <w:rPr>
                <w:b/>
                <w:sz w:val="20"/>
              </w:rPr>
              <w:t>Directivos, contratistas y trabajadores en misión (usuarios en general)</w:t>
            </w:r>
          </w:p>
        </w:tc>
        <w:tc>
          <w:tcPr>
            <w:tcW w:type="dxa" w:w="4703"/>
          </w:tcPr>
          <w:p>
            <w:r/>
            <w:r>
              <w:rPr>
                <w:b w:val="0"/>
                <w:sz w:val="20"/>
              </w:rPr>
              <w:t>Cumplir la presente política, hacer uso adecuado de los activos de información y tecnológicos asignados, y reportar oportunamente cualquier incidente o sospecha de incidente de seguridad de la información.</w:t>
            </w:r>
          </w:p>
        </w:tc>
      </w:tr>
    </w:tbl>
    <w:p>
      <w:pPr>
        <w:jc w:val="both"/>
      </w:pPr>
      <w:r>
        <w:rPr>
          <w:b w:val="0"/>
          <w:i w:val="0"/>
        </w:rPr>
        <w:t>Promueve Más S.A.S. contempla, dentro de su proceso de mejora continua, la evaluación de la conformación de un Comité de Seguridad de la Información y la designación formal de un Oficial de Seguridad de la Información y de un Oficial de Protección de Datos Personales, en la medida en que las condiciones de la entidad lo permitan.</w:t>
      </w:r>
    </w:p>
    <w:p>
      <w:pPr>
        <w:pStyle w:val="Heading1"/>
      </w:pPr>
      <w:r>
        <w:t>9. DECLARACIÓN GENERAL DE LA POLÍTICA</w:t>
      </w:r>
    </w:p>
    <w:p>
      <w:pPr>
        <w:jc w:val="both"/>
      </w:pPr>
      <w:r>
        <w:rPr>
          <w:b w:val="0"/>
          <w:i w:val="0"/>
        </w:rPr>
        <w:t>La Gerencia General de Promueve Más S.A.S. declara su compromiso con la protección de la información como activo estratégico de la organización y, en consecuencia, se compromete a:</w:t>
      </w:r>
    </w:p>
    <w:p>
      <w:pPr>
        <w:pStyle w:val="ListParagraph"/>
        <w:spacing w:after="80"/>
        <w:ind w:left="340"/>
      </w:pPr>
      <w:r>
        <w:t>•  Proteger la información institucional frente a amenazas internas y externas, sean estas accidentales o deliberadas.</w:t>
      </w:r>
    </w:p>
    <w:p>
      <w:pPr>
        <w:pStyle w:val="ListParagraph"/>
        <w:spacing w:after="80"/>
        <w:ind w:left="340"/>
      </w:pPr>
      <w:r>
        <w:t>•  Garantizar que los sistemas de información, la red institucional y los equipos tecnológicos, aun cuando sean suministrados por terceros mediante arrendamiento, sean utilizados de forma segura y responsable.</w:t>
      </w:r>
    </w:p>
    <w:p>
      <w:pPr>
        <w:pStyle w:val="ListParagraph"/>
        <w:spacing w:after="80"/>
        <w:ind w:left="340"/>
      </w:pPr>
      <w:r>
        <w:t>•  Cumplir con la normatividad legal vigente en materia de protección de datos personales, seguridad digital y transparencia.</w:t>
      </w:r>
    </w:p>
    <w:p>
      <w:pPr>
        <w:pStyle w:val="ListParagraph"/>
        <w:spacing w:after="80"/>
        <w:ind w:left="340"/>
      </w:pPr>
      <w:r>
        <w:t>•  Asignar los roles y responsabilidades necesarios para la gestión de la seguridad de la información, conforme a la capacidad y estructura actual de la entidad.</w:t>
      </w:r>
    </w:p>
    <w:p>
      <w:pPr>
        <w:pStyle w:val="ListParagraph"/>
        <w:spacing w:after="80"/>
        <w:ind w:left="340"/>
      </w:pPr>
      <w:r>
        <w:t>•  Promover una cultura organizacional de autocuidado de la información entre directivos, contratistas y trabajadores en misión.</w:t>
      </w:r>
    </w:p>
    <w:p>
      <w:pPr>
        <w:pStyle w:val="ListParagraph"/>
        <w:spacing w:after="80"/>
        <w:ind w:left="340"/>
      </w:pPr>
      <w:r>
        <w:t>•  Adoptar de manera progresiva controles técnicos adicionales (tales como antivirus corporativo, firewall perimetral y soluciones de respaldo automatizado) conforme la disponibilidad presupuestal de la entidad lo permita.</w:t>
      </w:r>
    </w:p>
    <w:p>
      <w:pPr>
        <w:pStyle w:val="ListParagraph"/>
        <w:spacing w:after="80"/>
        <w:ind w:left="340"/>
      </w:pPr>
      <w:r>
        <w:t>•  Investigar y dar tratamiento a los incidentes de seguridad de la información que se presenten, adoptando las medidas correctivas y preventivas correspondientes.</w:t>
      </w:r>
    </w:p>
    <w:p>
      <w:pPr>
        <w:jc w:val="both"/>
      </w:pPr>
      <w:r>
        <w:rPr>
          <w:b w:val="0"/>
          <w:i w:val="0"/>
        </w:rPr>
        <w:t>Esta declaración de política deberá ser divulgada a todo el personal directivo, contratistas y trabajadores en misión, y su cumplimiento es de carácter obligatorio.</w:t>
      </w:r>
    </w:p>
    <w:p>
      <w:pPr>
        <w:pStyle w:val="Heading1"/>
      </w:pPr>
      <w:r>
        <w:t>10. CLASIFICACIÓN DE LA INFORMACIÓN</w:t>
      </w:r>
    </w:p>
    <w:p>
      <w:pPr>
        <w:jc w:val="both"/>
      </w:pPr>
      <w:r>
        <w:rPr>
          <w:b w:val="0"/>
          <w:i w:val="0"/>
        </w:rPr>
        <w:t>Con el fin de establecer niveles de protección diferenciados y proporcionales al riesgo, toda la información generada, procesada o custodiada por Promueve Más S.A.S. se clasifica en los siguientes niveles: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4761"/>
          </w:tcPr>
          <w:p>
            <w:r/>
            <w:r>
              <w:rPr>
                <w:b/>
                <w:color w:val="FFFFFF"/>
                <w:sz w:val="20"/>
              </w:rPr>
              <w:t>Nivel</w:t>
            </w:r>
          </w:p>
        </w:tc>
        <w:tc>
          <w:tcPr>
            <w:tcW w:type="dxa" w:w="3135"/>
            <w:shd w:val="clear" w:color="auto" w:fill="0F4761"/>
          </w:tcPr>
          <w:p>
            <w:r/>
            <w:r>
              <w:rPr>
                <w:b/>
                <w:color w:val="FFFFFF"/>
                <w:sz w:val="20"/>
              </w:rPr>
              <w:t>Descripción</w:t>
            </w:r>
          </w:p>
        </w:tc>
        <w:tc>
          <w:tcPr>
            <w:tcW w:type="dxa" w:w="3135"/>
            <w:shd w:val="clear" w:color="auto" w:fill="0F4761"/>
          </w:tcPr>
          <w:p>
            <w:r/>
            <w:r>
              <w:rPr>
                <w:b/>
                <w:color w:val="FFFFFF"/>
                <w:sz w:val="20"/>
              </w:rPr>
              <w:t>Ejemplos en Promueve Más S.A.S.</w:t>
            </w:r>
          </w:p>
        </w:tc>
      </w:tr>
      <w:tr>
        <w:tc>
          <w:tcPr>
            <w:tcW w:type="dxa" w:w="3135"/>
          </w:tcPr>
          <w:p>
            <w:r/>
            <w:r>
              <w:rPr>
                <w:b/>
                <w:sz w:val="20"/>
              </w:rPr>
              <w:t>Pública</w:t>
            </w:r>
          </w:p>
        </w:tc>
        <w:tc>
          <w:tcPr>
            <w:tcW w:type="dxa" w:w="3135"/>
          </w:tcPr>
          <w:p>
            <w:r/>
            <w:r>
              <w:rPr>
                <w:b w:val="0"/>
                <w:sz w:val="20"/>
              </w:rPr>
              <w:t>Información que puede ser entregada o publicada sin restricción alguna, sin que ello genere riesgo para la entidad, sus colaboradores o terceros.</w:t>
            </w:r>
          </w:p>
        </w:tc>
        <w:tc>
          <w:tcPr>
            <w:tcW w:type="dxa" w:w="3135"/>
          </w:tcPr>
          <w:p>
            <w:r/>
            <w:r>
              <w:rPr>
                <w:b w:val="0"/>
                <w:sz w:val="20"/>
              </w:rPr>
              <w:t>Contenidos del sitio web institucional, información de contacto, información publicada en cumplimiento de la Ley de Transparencia.</w:t>
            </w:r>
          </w:p>
        </w:tc>
      </w:tr>
      <w:tr>
        <w:tc>
          <w:tcPr>
            <w:tcW w:type="dxa" w:w="3135"/>
          </w:tcPr>
          <w:p>
            <w:r/>
            <w:r>
              <w:rPr>
                <w:b/>
                <w:sz w:val="20"/>
              </w:rPr>
              <w:t>Uso interno</w:t>
            </w:r>
          </w:p>
        </w:tc>
        <w:tc>
          <w:tcPr>
            <w:tcW w:type="dxa" w:w="3135"/>
          </w:tcPr>
          <w:p>
            <w:r/>
            <w:r>
              <w:rPr>
                <w:b w:val="0"/>
                <w:sz w:val="20"/>
              </w:rPr>
              <w:t>Información de circulación restringida al interior de la entidad, cuya divulgación no autorizada podría generar un impacto moderado.</w:t>
            </w:r>
          </w:p>
        </w:tc>
        <w:tc>
          <w:tcPr>
            <w:tcW w:type="dxa" w:w="3135"/>
          </w:tcPr>
          <w:p>
            <w:r/>
            <w:r>
              <w:rPr>
                <w:b w:val="0"/>
                <w:sz w:val="20"/>
              </w:rPr>
              <w:t>Comunicaciones internas, actas de reunión, procedimientos internos, manuales operativos.</w:t>
            </w:r>
          </w:p>
        </w:tc>
      </w:tr>
      <w:tr>
        <w:tc>
          <w:tcPr>
            <w:tcW w:type="dxa" w:w="3135"/>
          </w:tcPr>
          <w:p>
            <w:r/>
            <w:r>
              <w:rPr>
                <w:b/>
                <w:sz w:val="20"/>
              </w:rPr>
              <w:t>Confidencial</w:t>
            </w:r>
          </w:p>
        </w:tc>
        <w:tc>
          <w:tcPr>
            <w:tcW w:type="dxa" w:w="3135"/>
          </w:tcPr>
          <w:p>
            <w:r/>
            <w:r>
              <w:rPr>
                <w:b w:val="0"/>
                <w:sz w:val="20"/>
              </w:rPr>
              <w:t>Información cuya divulgación no autorizada podría causar un impacto significativo a la entidad, a sus colaboradores o a terceros.</w:t>
            </w:r>
          </w:p>
        </w:tc>
        <w:tc>
          <w:tcPr>
            <w:tcW w:type="dxa" w:w="3135"/>
          </w:tcPr>
          <w:p>
            <w:r/>
            <w:r>
              <w:rPr>
                <w:b w:val="0"/>
                <w:sz w:val="20"/>
              </w:rPr>
              <w:t>Información financiera y contable (incluidas las cuentas bancarias y saldos de la entidad), información contractual, datos personales de colaboradores y usuarios, contraseñas y credenciales de acceso a los sistemas de información.</w:t>
            </w:r>
          </w:p>
        </w:tc>
      </w:tr>
      <w:tr>
        <w:tc>
          <w:tcPr>
            <w:tcW w:type="dxa" w:w="3135"/>
          </w:tcPr>
          <w:p>
            <w:r/>
            <w:r>
              <w:rPr>
                <w:b/>
                <w:sz w:val="20"/>
              </w:rPr>
              <w:t>Crítica / Reservada</w:t>
            </w:r>
          </w:p>
        </w:tc>
        <w:tc>
          <w:tcPr>
            <w:tcW w:type="dxa" w:w="3135"/>
          </w:tcPr>
          <w:p>
            <w:r/>
            <w:r>
              <w:rPr>
                <w:b w:val="0"/>
                <w:sz w:val="20"/>
              </w:rPr>
              <w:t>Información cuya alteración, pérdida o divulgación no autorizada podría comprometer de manera grave la operación, la reputación o la estabilidad financiera de la entidad.</w:t>
            </w:r>
          </w:p>
        </w:tc>
        <w:tc>
          <w:tcPr>
            <w:tcW w:type="dxa" w:w="3135"/>
          </w:tcPr>
          <w:p>
            <w:r/>
            <w:r>
              <w:rPr>
                <w:b w:val="0"/>
                <w:sz w:val="20"/>
              </w:rPr>
              <w:t>Credenciales de administración de la red, del hosting, del sistema de facturación Solution System y de las cuentas bancarias; información objeto de reserva legal expresa.</w:t>
            </w:r>
          </w:p>
        </w:tc>
      </w:tr>
    </w:tbl>
    <w:p>
      <w:pPr>
        <w:jc w:val="both"/>
      </w:pPr>
      <w:r>
        <w:rPr>
          <w:b w:val="0"/>
          <w:i w:val="0"/>
        </w:rPr>
        <w:t>Todo directivo, contratista o trabajador en misión que administre o tenga acceso a información clasificada como confidencial o crítica/reservada deberá dar aplicación a los controles de acceso, custodia y confidencialidad reforzada que se establecen en la presente política, absteniéndose de divulgarla a personas no autorizadas, de compartirla por canales no seguros (por ejemplo, mensajería instantánea o correo electrónico personal) o de almacenarla en dispositivos o servicios no autorizados por la entidad.</w:t>
      </w:r>
    </w:p>
    <w:p>
      <w:r>
        <w:br w:type="page"/>
      </w:r>
    </w:p>
    <w:p>
      <w:pPr>
        <w:pStyle w:val="Heading1"/>
      </w:pPr>
      <w:r>
        <w:t>11. POLÍTICAS ESPECÍFICAS DE SEGURIDAD DE LA INFORMACIÓN</w:t>
      </w:r>
    </w:p>
    <w:p>
      <w:pPr>
        <w:jc w:val="both"/>
      </w:pPr>
      <w:r>
        <w:rPr>
          <w:b w:val="0"/>
          <w:i w:val="0"/>
        </w:rPr>
        <w:t>A continuación se establecen las políticas específicas que desarrollan la presente Política General de Seguridad de la Información, aplicables a la realidad operativa y tecnológica actual de Promueve Más S.A.S.</w:t>
      </w:r>
    </w:p>
    <w:p>
      <w:pPr>
        <w:pStyle w:val="Heading2"/>
      </w:pPr>
      <w:r>
        <w:t>11.1 Organización de la seguridad de la información</w:t>
      </w:r>
    </w:p>
    <w:p>
      <w:pPr>
        <w:pStyle w:val="ListParagraph"/>
        <w:spacing w:after="80"/>
        <w:ind w:left="340"/>
      </w:pPr>
      <w:r>
        <w:t>•  La Dirección Administrativa y Financiera actuará como responsable funcional de la seguridad de la información, hasta tanto se constituya formalmente un área de TI y/o un Comité de Seguridad de la Información.</w:t>
      </w:r>
    </w:p>
    <w:p>
      <w:pPr>
        <w:pStyle w:val="ListParagraph"/>
        <w:spacing w:after="80"/>
        <w:ind w:left="340"/>
      </w:pPr>
      <w:r>
        <w:t>•  Toda adquisición o modificación de servicios tecnológicos (hosting, dominio, correo corporativo, sistema de facturación, red WiFi empresarial, CCTV, arrendamiento de equipos) deberá ser autorizada y documentada por la Dirección Administrativa y Financiera.</w:t>
      </w:r>
    </w:p>
    <w:p>
      <w:pPr>
        <w:pStyle w:val="ListParagraph"/>
        <w:spacing w:after="80"/>
        <w:ind w:left="340"/>
      </w:pPr>
      <w:r>
        <w:t>•  Los contratos que se suscriban con proveedores de tecnología (hosting, telecomunicaciones, arrendamiento de equipos, software) deberán incluir, en la medida de lo posible, cláusulas de confidencialidad y de responsabilidad frente a la seguridad de la información.</w:t>
      </w:r>
    </w:p>
    <w:p>
      <w:pPr>
        <w:pStyle w:val="Heading2"/>
      </w:pPr>
      <w:r>
        <w:t>11.2 Gestión de activos de información</w:t>
      </w:r>
    </w:p>
    <w:p>
      <w:pPr>
        <w:pStyle w:val="ListParagraph"/>
        <w:spacing w:after="80"/>
        <w:ind w:left="340"/>
      </w:pPr>
      <w:r>
        <w:t>•  La Dirección Administrativa y Financiera mantendrá un inventario actualizado de los activos de información y tecnológicos de la entidad, incluyendo, como mínimo: equipos de cómputo entregados en arrendamiento, impresoras, dispositivos de red (switch, router Cisco 2901), cámaras del CCTV, cuentas de correo institucional, dominio y hosting, y el sistema de facturación Solution System.</w:t>
      </w:r>
    </w:p>
    <w:p>
      <w:pPr>
        <w:pStyle w:val="ListParagraph"/>
        <w:spacing w:after="80"/>
        <w:ind w:left="340"/>
      </w:pPr>
      <w:r>
        <w:t>•  Cada equipo de cómputo y demás activos tecnológicos entregados en arrendamiento serán asignados a un responsable directo (directivo, contratista o trabajador en misión), quien deberá velar por su buen uso y por la protección de la información allí almacenada, sin perjuicio de la propiedad del equipo en cabeza del proveedor arrendador.</w:t>
      </w:r>
    </w:p>
    <w:p>
      <w:pPr>
        <w:pStyle w:val="ListParagraph"/>
        <w:spacing w:after="80"/>
        <w:ind w:left="340"/>
      </w:pPr>
      <w:r>
        <w:t>•  Al finalizar la relación contractual o laboral de cualquier usuario, la Dirección Administrativa y Financiera deberá adelantar el proceso de retiro de accesos (correo, sistema de facturación, red WiFi, entre otros) y la verificación de la información contenida en el equipo asignado, antes de su devolución al proveedor de arrendamiento o su reasignación a otro usuario.</w:t>
      </w:r>
    </w:p>
    <w:p>
      <w:pPr>
        <w:pStyle w:val="Heading2"/>
      </w:pPr>
      <w:r>
        <w:t>11.3 Seguridad de los recursos humanos</w:t>
      </w:r>
    </w:p>
    <w:p>
      <w:pPr>
        <w:pStyle w:val="ListParagraph"/>
        <w:spacing w:after="80"/>
        <w:ind w:left="340"/>
      </w:pPr>
      <w:r>
        <w:t>•  Todo directivo, contratista o trabajador en misión que tenga acceso a información confidencial o crítica de la entidad deberá suscribir un acuerdo o cláusula de confidencialidad, en el respectivo contrato o documento vinculante, en el cual se comprometa a la reserva de la información a la que tenga acceso, aun después de finalizada la relación contractual o laboral.</w:t>
      </w:r>
    </w:p>
    <w:p>
      <w:pPr>
        <w:pStyle w:val="ListParagraph"/>
        <w:spacing w:after="80"/>
        <w:ind w:left="340"/>
      </w:pPr>
      <w:r>
        <w:t>•  La entidad promoverá jornadas de sensibilización y capacitación en seguridad digital dirigidas a todo el personal, con una periodicidad mínima semestral, conforme a lo establecido en el Plan Estratégico de Tecnologías de la Información y las Comunicaciones (PETI) vigente.</w:t>
      </w:r>
    </w:p>
    <w:p>
      <w:pPr>
        <w:pStyle w:val="ListParagraph"/>
        <w:spacing w:after="80"/>
        <w:ind w:left="340"/>
      </w:pPr>
      <w:r>
        <w:t>•  Los usuarios deberán reportar de manera inmediata a la Dirección Administrativa y Financiera cualquier situación que pueda comprometer la seguridad de la información, incluyendo la pérdida o hurto de equipos, la sospecha de acceso no autorizado a cuentas de correo o al sistema de facturación, o la recepción de mensajes sospechosos de phishing o suplantación.</w:t>
      </w:r>
    </w:p>
    <w:p>
      <w:pPr>
        <w:pStyle w:val="Heading2"/>
      </w:pPr>
      <w:r>
        <w:t>11.4 Control de acceso lógico</w:t>
      </w:r>
    </w:p>
    <w:p>
      <w:pPr>
        <w:pStyle w:val="ListParagraph"/>
        <w:spacing w:after="80"/>
        <w:ind w:left="340"/>
      </w:pPr>
      <w:r>
        <w:t>•  El acceso a los correos institucionales, al sistema de facturación Solution System, a la administración del hosting y del dominio, y a cualquier otro sistema de información de la entidad, deberá realizarse mediante credenciales individuales (usuario y contraseña), quedando prohibido el uso de credenciales compartidas entre varios usuarios, salvo en los casos de cuentas funcionales expresamente autorizadas por la Dirección Administrativa y Financiera (por ejemplo, cuentas de PQRS o de un área en particular).</w:t>
      </w:r>
    </w:p>
    <w:p>
      <w:pPr>
        <w:pStyle w:val="ListParagraph"/>
        <w:spacing w:after="80"/>
        <w:ind w:left="340"/>
      </w:pPr>
      <w:r>
        <w:t>•  Los correos institucionales asociados al dominio @promuevemas.com deberán ser utilizados exclusivamente para fines laborales e institucionales.</w:t>
      </w:r>
    </w:p>
    <w:p>
      <w:pPr>
        <w:pStyle w:val="ListParagraph"/>
        <w:spacing w:after="80"/>
        <w:ind w:left="340"/>
      </w:pPr>
      <w:r>
        <w:t>•  El acceso a la administración del hosting, del dominio y de la configuración de la red WiFi empresarial estará restringido a la Dirección Administrativa y Financiera y a las personas expresamente autorizadas por esta.</w:t>
      </w:r>
    </w:p>
    <w:p>
      <w:pPr>
        <w:pStyle w:val="ListParagraph"/>
        <w:spacing w:after="80"/>
        <w:ind w:left="340"/>
      </w:pPr>
      <w:r>
        <w:t>•  Se deberá revisar y actualizar periódicamente el listado de usuarios con acceso a cada sistema de información, retirando de manera oportuna los accesos de quienes ya no requieran dicho acceso.</w:t>
      </w:r>
    </w:p>
    <w:p>
      <w:pPr>
        <w:pStyle w:val="Heading2"/>
      </w:pPr>
      <w:r>
        <w:t>11.5 Control de acceso físico y seguridad del entorno</w:t>
      </w:r>
    </w:p>
    <w:p>
      <w:pPr>
        <w:jc w:val="both"/>
      </w:pPr>
      <w:r>
        <w:rPr>
          <w:b w:val="0"/>
          <w:i w:val="0"/>
        </w:rPr>
        <w:t>Teniendo en cuenta que Promueve Más S.A.S. atiende público durante el horario laboral, y que únicamente tres (3) personas cuentan con llaves de acceso a las instalaciones, de las cuales solo una tiene la clave de desactivación de la alarma, se establecen los siguientes lineamientos mínimos:</w:t>
      </w:r>
    </w:p>
    <w:p>
      <w:pPr>
        <w:pStyle w:val="ListParagraph"/>
        <w:spacing w:after="80"/>
        <w:ind w:left="340"/>
      </w:pPr>
      <w:r>
        <w:t>•  La apertura de las instalaciones al inicio de la jornada y la desactivación de la alarma deberá ser realizada únicamente por la persona autorizada para tal efecto, o por quien esta delegue formalmente y de manera temporal.</w:t>
      </w:r>
    </w:p>
    <w:p>
      <w:pPr>
        <w:pStyle w:val="ListParagraph"/>
        <w:spacing w:after="80"/>
        <w:ind w:left="340"/>
      </w:pPr>
      <w:r>
        <w:t>•  Durante el horario de atención al público, la puerta de acceso podrá permanecer abierta; sin embargo, las áreas donde se ubican los equipos de cómputo, los documentos físicos con información confidencial (en especial la información contable y financiera) y los dispositivos de red (switch, router) deberán mantenerse resguardadas del libre acceso de visitantes.</w:t>
      </w:r>
    </w:p>
    <w:p>
      <w:pPr>
        <w:pStyle w:val="ListParagraph"/>
        <w:spacing w:after="80"/>
        <w:ind w:left="340"/>
      </w:pPr>
      <w:r>
        <w:t>•  Los equipos de cómputo deberán bloquearse (bloqueo de pantalla) cada vez que el usuario se retire de su puesto de trabajo, y apagarse o suspenderse al finalizar la jornada laboral.</w:t>
      </w:r>
    </w:p>
    <w:p>
      <w:pPr>
        <w:pStyle w:val="ListParagraph"/>
        <w:spacing w:after="80"/>
        <w:ind w:left="340"/>
      </w:pPr>
      <w:r>
        <w:t>•  Los documentos físicos que contengan información confidencial o crítica (comprobantes contables, información bancaria, contratos) deberán almacenarse en un lugar con acceso restringido y no permanecer expuestos sobre los escritorios al finalizar la jornada.</w:t>
      </w:r>
    </w:p>
    <w:p>
      <w:pPr>
        <w:pStyle w:val="ListParagraph"/>
        <w:spacing w:after="80"/>
        <w:ind w:left="340"/>
      </w:pPr>
      <w:r>
        <w:t xml:space="preserve">•  </w:t>
      </w:r>
      <w:r>
        <w:rPr>
          <w:b/>
        </w:rPr>
        <w:t xml:space="preserve">CCTV: </w:t>
      </w:r>
      <w:r>
        <w:t>las cámaras de seguridad conectadas a la red institucional a través del switch y del router Cisco 2901 deberán mantenerse en funcionamiento continuo. El acceso a las grabaciones estará restringido a la Gerencia General, a Control Interno y a la Dirección Administrativa y Financiera, y su uso se limitará a fines de seguridad, verificación de incidentes y control interno.</w:t>
      </w:r>
    </w:p>
    <w:p>
      <w:pPr>
        <w:pStyle w:val="Heading2"/>
      </w:pPr>
      <w:r>
        <w:t>11.6 Criptografía</w:t>
      </w:r>
    </w:p>
    <w:p>
      <w:pPr>
        <w:jc w:val="both"/>
      </w:pPr>
      <w:r>
        <w:rPr>
          <w:b w:val="0"/>
          <w:i w:val="0"/>
        </w:rPr>
        <w:t>Dado el estado actual de madurez tecnológica de la entidad, el uso de mecanismos criptográficos se limita, por ahora, a las siguientes directrices mínimas, las cuales se robustecerán progresivamente:</w:t>
      </w:r>
    </w:p>
    <w:p>
      <w:pPr>
        <w:pStyle w:val="ListParagraph"/>
        <w:spacing w:after="80"/>
        <w:ind w:left="340"/>
      </w:pPr>
      <w:r>
        <w:t>•  El acceso al sitio web institucional y a los servicios de correo electrónico deberá realizarse preferiblemente a través de conexiones cifradas (HTTPS/TLS), verificando con el proveedor de hosting que dicho cifrado se encuentre habilitado.</w:t>
      </w:r>
    </w:p>
    <w:p>
      <w:pPr>
        <w:pStyle w:val="ListParagraph"/>
        <w:spacing w:after="80"/>
        <w:ind w:left="340"/>
      </w:pPr>
      <w:r>
        <w:t>•  Las contraseñas de los sistemas de información deberán almacenarse de forma cifrada por parte de los proveedores de dichos servicios (correo, hosting, sistema de facturación), condición que deberá verificarse en la contratación o renovación de dichos servicios.</w:t>
      </w:r>
    </w:p>
    <w:p>
      <w:pPr>
        <w:pStyle w:val="ListParagraph"/>
        <w:spacing w:after="80"/>
        <w:ind w:left="340"/>
      </w:pPr>
      <w:r>
        <w:t>•  Los archivos que contengan información financiera o contable de alta sensibilidad podrán protegerse mediante contraseña al momento de ser compartidos por correo electrónico, evitando el envío de dicha información por canales no seguros.</w:t>
      </w:r>
    </w:p>
    <w:p>
      <w:pPr>
        <w:pStyle w:val="Heading2"/>
      </w:pPr>
      <w:r>
        <w:t>11.7 Seguridad de las operaciones</w:t>
      </w:r>
    </w:p>
    <w:p>
      <w:pPr>
        <w:pStyle w:val="ListParagraph"/>
        <w:spacing w:after="80"/>
        <w:ind w:left="340"/>
      </w:pPr>
      <w:r>
        <w:t>•  Todos los equipos de cómputo de la entidad deberán contar, como mínimo, con el software antivirus incluido por defecto en el sistema operativo (Microsoft Defender u equivalente), debidamente activado y actualizado, mientras la entidad evalúa la adquisición de una solución antivirus corporativa.</w:t>
      </w:r>
    </w:p>
    <w:p>
      <w:pPr>
        <w:pStyle w:val="ListParagraph"/>
        <w:spacing w:after="80"/>
        <w:ind w:left="340"/>
      </w:pPr>
      <w:r>
        <w:t>•  La entidad evaluará, dentro de sus posibilidades presupuestales, la implementación de una solución de firewall (perimetral o basado en host) que complemente los controles de seguridad de la red institucional.</w:t>
      </w:r>
    </w:p>
    <w:p>
      <w:pPr>
        <w:pStyle w:val="ListParagraph"/>
        <w:spacing w:after="80"/>
        <w:ind w:left="340"/>
      </w:pPr>
      <w:r>
        <w:t>•  El proveedor de la red WiFi empresarial dedicada punto a punto deberá garantizar los niveles de seguridad y disponibilidad pactados contractualmente, incluyendo el cambio periódico de las contraseñas de acceso a la red.</w:t>
      </w:r>
    </w:p>
    <w:p>
      <w:pPr>
        <w:pStyle w:val="ListParagraph"/>
        <w:spacing w:after="80"/>
        <w:ind w:left="340"/>
      </w:pPr>
      <w:r>
        <w:t>•  Se deberán mantener actualizados, en la medida de lo posible, el sistema operativo y las aplicaciones instaladas en los equipos de cómputo, gestionando dicha actualización con el proveedor de arrendamiento de equipos cuando así corresponda contractualmente.</w:t>
      </w:r>
    </w:p>
    <w:p>
      <w:pPr>
        <w:pStyle w:val="Heading2"/>
      </w:pPr>
      <w:r>
        <w:t>11.8 Copias de seguridad (backup)</w:t>
      </w:r>
    </w:p>
    <w:p>
      <w:pPr>
        <w:jc w:val="both"/>
      </w:pPr>
      <w:r>
        <w:rPr>
          <w:b w:val="0"/>
          <w:i w:val="0"/>
        </w:rPr>
        <w:t>La generación de copias de seguridad es un control crítico para garantizar la disponibilidad de la información institucional ante eventos de pérdida, daño, robo o falla de los equipos de cómputo. En consecuencia, se establecen los siguientes lineamientos:</w:t>
      </w:r>
    </w:p>
    <w:p>
      <w:pPr>
        <w:pStyle w:val="ListParagraph"/>
        <w:spacing w:after="80"/>
        <w:ind w:left="340"/>
      </w:pPr>
      <w:r>
        <w:t>•  La Dirección Administrativa y Financiera realizará copias de seguridad de la información contenida en los equipos de cómputo de la entidad con una periodicidad mínima mensual, mediante la copia completa de cada equipo a un disco duro externo destinado para tal fin.</w:t>
      </w:r>
    </w:p>
    <w:p>
      <w:pPr>
        <w:pStyle w:val="ListParagraph"/>
        <w:spacing w:after="80"/>
        <w:ind w:left="340"/>
      </w:pPr>
      <w:r>
        <w:t>•  El disco duro externo utilizado para el almacenamiento de las copias de seguridad deberá conservarse en un lugar distinto al de los equipos de cómputo, con acceso restringido, y debidamente rotulado con la fecha de la última copia realizada.</w:t>
      </w:r>
    </w:p>
    <w:p>
      <w:pPr>
        <w:pStyle w:val="ListParagraph"/>
        <w:spacing w:after="80"/>
        <w:ind w:left="340"/>
      </w:pPr>
      <w:r>
        <w:t>•  Se recomienda evaluar, como mejora futura, la implementación de un mecanismo de copia de seguridad adicional en la nube (por ejemplo, a través de la suite de correo institucional o de un servicio de almacenamiento en la nube), que permita contar con una copia de respaldo fuera de las instalaciones físicas de la entidad (backup externo/offsite).</w:t>
      </w:r>
    </w:p>
    <w:p>
      <w:pPr>
        <w:pStyle w:val="ListParagraph"/>
        <w:spacing w:after="80"/>
        <w:ind w:left="340"/>
      </w:pPr>
      <w:r>
        <w:t>•  Se deberá verificar periódicamente (al menos una vez al semestre) que las copias de seguridad realizadas sean recuperables, mediante pruebas de restauración de una muestra de archivos.</w:t>
      </w:r>
    </w:p>
    <w:p>
      <w:pPr>
        <w:pStyle w:val="ListParagraph"/>
        <w:spacing w:after="80"/>
        <w:ind w:left="340"/>
      </w:pPr>
      <w:r>
        <w:t>•  La periodicidad de backup podrá ajustarse a una frecuencia trimestral o mensual según lo defina el Plan Estratégico de TIC (PETI) vigente y las necesidades de la entidad, privilegiándose siempre la frecuencia que ofrezca mayor protección a la información (actualmente mensual).</w:t>
      </w:r>
    </w:p>
    <w:p>
      <w:pPr>
        <w:pStyle w:val="Heading2"/>
      </w:pPr>
      <w:r>
        <w:t>11.9 Seguridad de las comunicaciones y redes</w:t>
      </w:r>
    </w:p>
    <w:p>
      <w:pPr>
        <w:pStyle w:val="ListParagraph"/>
        <w:spacing w:after="80"/>
        <w:ind w:left="340"/>
      </w:pPr>
      <w:r>
        <w:t>•  La red WiFi empresarial de la entidad es de uso institucional y deberá estar protegida mediante contraseña, la cual será administrada por la Dirección Administrativa y Financiera y actualizada periódicamente.</w:t>
      </w:r>
    </w:p>
    <w:p>
      <w:pPr>
        <w:pStyle w:val="ListParagraph"/>
        <w:spacing w:after="80"/>
        <w:ind w:left="340"/>
      </w:pPr>
      <w:r>
        <w:t>•  El acceso a la red WiFi institucional mediante dispositivos móviles personales estará restringido únicamente a las personas expresamente autorizadas por la Dirección Administrativa y Financiera, en los términos del numeral 11.16 (BYOD) de esta política.</w:t>
      </w:r>
    </w:p>
    <w:p>
      <w:pPr>
        <w:pStyle w:val="ListParagraph"/>
        <w:spacing w:after="80"/>
        <w:ind w:left="340"/>
      </w:pPr>
      <w:r>
        <w:t>•  Los dispositivos de red (switch, router Cisco 2901) deberán ubicarse en un espacio con acceso restringido, evitando su exposición al público que visita las instalaciones.</w:t>
      </w:r>
    </w:p>
    <w:p>
      <w:pPr>
        <w:pStyle w:val="ListParagraph"/>
        <w:spacing w:after="80"/>
        <w:ind w:left="340"/>
      </w:pPr>
      <w:r>
        <w:t>•  Las cámaras del CCTV, al estar conectadas a la misma infraestructura de red institucional, deberán segmentarse o protegerse en la medida de lo técnicamente posible, para evitar que un incidente de seguridad en la red de datos comprometa el sistema de video vigilancia, o viceversa.</w:t>
      </w:r>
    </w:p>
    <w:p>
      <w:pPr>
        <w:pStyle w:val="Heading2"/>
      </w:pPr>
      <w:r>
        <w:t>11.10 Adquisición, desarrollo y mantenimiento de sistemas de información</w:t>
      </w:r>
    </w:p>
    <w:p>
      <w:pPr>
        <w:pStyle w:val="ListParagraph"/>
        <w:spacing w:after="80"/>
        <w:ind w:left="340"/>
      </w:pPr>
      <w:r>
        <w:t>•  Toda adquisición, actualización o mantenimiento del sistema integrado de facturación Solution System, del sitio web institucional o de cualquier otro sistema de información, deberá ser autorizada por la Dirección Administrativa y Financiera y, cuando corresponda, por la Gerencia General.</w:t>
      </w:r>
    </w:p>
    <w:p>
      <w:pPr>
        <w:pStyle w:val="ListParagraph"/>
        <w:spacing w:after="80"/>
        <w:ind w:left="340"/>
      </w:pPr>
      <w:r>
        <w:t>•  Se deberá exigir al proveedor del sistema Solution System el cumplimiento de condiciones mínimas de seguridad, tales como autenticación individual de usuarios, registro de trazabilidad (logs) de las operaciones realizadas y copias de seguridad de la información alojada en dicho sistema.</w:t>
      </w:r>
    </w:p>
    <w:p>
      <w:pPr>
        <w:pStyle w:val="ListParagraph"/>
        <w:spacing w:after="80"/>
        <w:ind w:left="340"/>
      </w:pPr>
      <w:r>
        <w:t>•  Cualquier desarrollo, personalización o integración adicional que se contrate sobre los sistemas de información existentes deberá considerar los principios de seguridad de la información establecidos en la presente política.</w:t>
      </w:r>
    </w:p>
    <w:p>
      <w:pPr>
        <w:pStyle w:val="Heading2"/>
      </w:pPr>
      <w:r>
        <w:t>11.11 Relación con proveedores y terceros</w:t>
      </w:r>
    </w:p>
    <w:p>
      <w:pPr>
        <w:jc w:val="both"/>
      </w:pPr>
      <w:r>
        <w:rPr>
          <w:b w:val="0"/>
          <w:i w:val="0"/>
        </w:rPr>
        <w:t>Promueve Más S.A.S. depende de terceros para la prestación de servicios tecnológicos críticos, entre ellos: el proveedor de hosting y correo corporativo, el proveedor de la red WiFi empresarial dedicada, el proveedor del sistema de facturación Solution System y el proveedor de arrendamiento de equipos de cómputo e impresoras. Frente a dichos proveedores, la entidad establece los siguientes lineamientos:</w:t>
      </w:r>
    </w:p>
    <w:p>
      <w:pPr>
        <w:pStyle w:val="ListParagraph"/>
        <w:spacing w:after="80"/>
        <w:ind w:left="340"/>
      </w:pPr>
      <w:r>
        <w:t>•  En la medida de lo posible, los contratos o acuerdos de servicio suscritos con proveedores tecnológicos deberán incluir cláusulas relacionadas con la confidencialidad de la información, la disponibilidad del servicio y las responsabilidades frente a incidentes de seguridad.</w:t>
      </w:r>
    </w:p>
    <w:p>
      <w:pPr>
        <w:pStyle w:val="ListParagraph"/>
        <w:spacing w:after="80"/>
        <w:ind w:left="340"/>
      </w:pPr>
      <w:r>
        <w:t>•  La Dirección Administrativa y Financiera deberá mantener actualizado el listado de proveedores tecnológicos críticos, con la información de contacto necesaria para la atención de incidentes o fallas del servicio.</w:t>
      </w:r>
    </w:p>
    <w:p>
      <w:pPr>
        <w:pStyle w:val="ListParagraph"/>
        <w:spacing w:after="80"/>
        <w:ind w:left="340"/>
      </w:pPr>
      <w:r>
        <w:t>•  Se deberá evaluar periódicamente el desempeño de los proveedores de tecnología en materia de disponibilidad, soporte y seguridad, dejando constancia de dicha evaluación.</w:t>
      </w:r>
    </w:p>
    <w:p>
      <w:pPr>
        <w:pStyle w:val="Heading2"/>
      </w:pPr>
      <w:r>
        <w:t>11.12 Gestión de incidentes de seguridad de la información</w:t>
      </w:r>
    </w:p>
    <w:p>
      <w:pPr>
        <w:jc w:val="both"/>
      </w:pPr>
      <w:r>
        <w:rPr>
          <w:b w:val="0"/>
          <w:i w:val="0"/>
        </w:rPr>
        <w:t>Se entiende por incidente de seguridad de la información todo evento que comprometa o pueda comprometer la confidencialidad, integridad o disponibilidad de la información o de los activos tecnológicos de la entidad, incluyendo, entre otros: pérdida o hurto de equipos, acceso no autorizado a cuentas de correo o al sistema de facturación, ataques de phishing o suplantación, pérdida de información, falla o interrupción del servicio de hosting, red WiFi o CCTV, y cualquier otro evento de similar naturaleza.</w:t>
      </w:r>
    </w:p>
    <w:p>
      <w:pPr>
        <w:jc w:val="both"/>
      </w:pPr>
      <w:r>
        <w:rPr>
          <w:b w:val="0"/>
          <w:i w:val="0"/>
        </w:rPr>
        <w:t>Ante la ocurrencia de un incidente de seguridad de la información, se deberá seguir el siguiente procedimiento general:</w:t>
      </w:r>
    </w:p>
    <w:p>
      <w:pPr>
        <w:ind w:left="340"/>
      </w:pPr>
      <w:r>
        <w:rPr>
          <w:b/>
        </w:rPr>
        <w:t xml:space="preserve">1. Identificación y reporte: </w:t>
      </w:r>
      <w:r>
        <w:t>Todo usuario que detecte o tenga conocimiento de un posible incidente de seguridad deberá reportarlo de manera inmediata a la Dirección Administrativa y Financiera, por el medio disponible más expedito.</w:t>
      </w:r>
    </w:p>
    <w:p>
      <w:pPr>
        <w:ind w:left="340"/>
      </w:pPr>
      <w:r>
        <w:rPr>
          <w:b/>
        </w:rPr>
        <w:t xml:space="preserve">2. Contención: </w:t>
      </w:r>
      <w:r>
        <w:t>La Dirección Administrativa y Financiera adoptará las medidas inmediatas para contener el incidente y evitar su propagación o el agravamiento de sus efectos (por ejemplo, cambio de contraseñas, desconexión temporal de equipos, contacto con el proveedor correspondiente).</w:t>
      </w:r>
    </w:p>
    <w:p>
      <w:pPr>
        <w:ind w:left="340"/>
      </w:pPr>
      <w:r>
        <w:rPr>
          <w:b/>
        </w:rPr>
        <w:t xml:space="preserve">3. Análisis y valoración: </w:t>
      </w:r>
      <w:r>
        <w:t>Se analizará el origen, alcance e impacto del incidente, determinando si involucra información confidencial, datos personales o recursos financieros de la entidad.</w:t>
      </w:r>
    </w:p>
    <w:p>
      <w:pPr>
        <w:ind w:left="340"/>
      </w:pPr>
      <w:r>
        <w:rPr>
          <w:b/>
        </w:rPr>
        <w:t xml:space="preserve">4. Recuperación: </w:t>
      </w:r>
      <w:r>
        <w:t>Se adoptarán las acciones necesarias para restablecer la normalidad del servicio o de la información afectada, incluyendo la restauración de copias de seguridad cuando resulte procedente.</w:t>
      </w:r>
    </w:p>
    <w:p>
      <w:pPr>
        <w:ind w:left="340"/>
      </w:pPr>
      <w:r>
        <w:rPr>
          <w:b/>
        </w:rPr>
        <w:t xml:space="preserve">5. Reporte a instancias superiores: </w:t>
      </w:r>
      <w:r>
        <w:t>Los incidentes de impacto medio o alto deberán ser reportados a la Gerencia General y a Control Interno, y de ser el caso, a las autoridades competentes (Fiscalía General de la Nación, Superintendencia de Industria y Comercio, entre otras), conforme a la normatividad vigente.</w:t>
      </w:r>
    </w:p>
    <w:p>
      <w:pPr>
        <w:ind w:left="340"/>
      </w:pPr>
      <w:r>
        <w:rPr>
          <w:b/>
        </w:rPr>
        <w:t xml:space="preserve">6. Lecciones aprendidas: </w:t>
      </w:r>
      <w:r>
        <w:t>Una vez resuelto el incidente, se documentarán las causas y se propondrán las acciones de mejora o controles adicionales necesarios para evitar su recurrencia.</w:t>
      </w:r>
    </w:p>
    <w:p>
      <w:pPr>
        <w:jc w:val="both"/>
      </w:pPr>
      <w:r>
        <w:rPr>
          <w:b w:val="0"/>
          <w:i w:val="0"/>
        </w:rPr>
        <w:t>A la fecha de expedición de la presente política, Promueve Más S.A.S. no ha registrado incidentes de seguridad de la información que hayan generado pérdida de información o acceso no autorizado a sus sistemas; no obstante, la entidad reconoce la importancia de contar con un procedimiento formal de gestión de incidentes como medida preventiva.</w:t>
      </w:r>
    </w:p>
    <w:p>
      <w:pPr>
        <w:pStyle w:val="Heading2"/>
      </w:pPr>
      <w:r>
        <w:t>11.13 Continuidad del negocio</w:t>
      </w:r>
    </w:p>
    <w:p>
      <w:pPr>
        <w:pStyle w:val="ListParagraph"/>
        <w:spacing w:after="80"/>
        <w:ind w:left="340"/>
      </w:pPr>
      <w:r>
        <w:t>•  La entidad deberá identificar sus procesos y activos de información críticos (información contable y financiera, sistema de facturación, correo institucional, sitio web) y definir, como mínimo, las acciones básicas de recuperación ante la indisponibilidad de dichos servicios.</w:t>
      </w:r>
    </w:p>
    <w:p>
      <w:pPr>
        <w:pStyle w:val="ListParagraph"/>
        <w:spacing w:after="80"/>
        <w:ind w:left="340"/>
      </w:pPr>
      <w:r>
        <w:t>•  La existencia de copias de seguridad periódicas (numeral 11.8) constituye el principal mecanismo de continuidad frente a la pérdida o daño de la información contenida en los equipos de cómputo.</w:t>
      </w:r>
    </w:p>
    <w:p>
      <w:pPr>
        <w:pStyle w:val="ListParagraph"/>
        <w:spacing w:after="80"/>
        <w:ind w:left="340"/>
      </w:pPr>
      <w:r>
        <w:t>•  Se deberá mantener un registro actualizado de los datos de contacto de los proveedores críticos (hosting, red WiFi, sistema de facturación, arrendamiento de equipos), a fin de facilitar la atención oportuna de fallas o interrupciones del servicio.</w:t>
      </w:r>
    </w:p>
    <w:p>
      <w:pPr>
        <w:pStyle w:val="ListParagraph"/>
        <w:spacing w:after="80"/>
        <w:ind w:left="340"/>
      </w:pPr>
      <w:r>
        <w:t>•  La entidad evaluará, en el marco de la mejora continua de la presente política, la formulación de un Plan de Continuidad del Negocio (PCN) que contemple escenarios de indisponibilidad prolongada de sus sistemas de información.</w:t>
      </w:r>
    </w:p>
    <w:p>
      <w:pPr>
        <w:pStyle w:val="Heading2"/>
      </w:pPr>
      <w:r>
        <w:t>11.14 Cumplimiento legal y normativo</w:t>
      </w:r>
    </w:p>
    <w:p>
      <w:pPr>
        <w:pStyle w:val="ListParagraph"/>
        <w:spacing w:after="80"/>
        <w:ind w:left="340"/>
      </w:pPr>
      <w:r>
        <w:t>•  Promueve Más S.A.S., en su calidad de sociedad de economía mixta con participación pública mayoritaria, dará cumplimiento a las obligaciones de transparencia y acceso a la información pública que le resulten aplicables conforme a la Ley 1712 de 2014.</w:t>
      </w:r>
    </w:p>
    <w:p>
      <w:pPr>
        <w:pStyle w:val="ListParagraph"/>
        <w:spacing w:after="80"/>
        <w:ind w:left="340"/>
      </w:pPr>
      <w:r>
        <w:t>•  La entidad dará cumplimiento a la Ley 1581 de 2012 y sus decretos reglamentarios en materia de protección de datos personales, conforme a los lineamientos establecidos en el numeral 11.19 de esta política.</w:t>
      </w:r>
    </w:p>
    <w:p>
      <w:pPr>
        <w:pStyle w:val="ListParagraph"/>
        <w:spacing w:after="80"/>
        <w:ind w:left="340"/>
      </w:pPr>
      <w:r>
        <w:t>•  El uso indebido de los sistemas de información de la entidad que configure alguna de las conductas descritas en la Ley 1273 de 2009 (delitos informáticos) será reportado a las autoridades competentes, sin perjuicio de las consecuencias contractuales, disciplinarias o civiles a que haya lugar.</w:t>
      </w:r>
    </w:p>
    <w:p>
      <w:pPr>
        <w:pStyle w:val="ListParagraph"/>
        <w:spacing w:after="80"/>
        <w:ind w:left="340"/>
      </w:pPr>
      <w:r>
        <w:t>•  La Dirección Administrativa y Financiera deberá mantener informada a la Gerencia General sobre los cambios normativos que puedan impactar la presente política, con el fin de proponer oportunamente su actualización.</w:t>
      </w:r>
    </w:p>
    <w:p>
      <w:pPr>
        <w:pStyle w:val="Heading2"/>
      </w:pPr>
      <w:r>
        <w:t>11.15 Teletrabajo y trabajo remoto</w:t>
      </w:r>
    </w:p>
    <w:p>
      <w:pPr>
        <w:jc w:val="both"/>
      </w:pPr>
      <w:r>
        <w:rPr>
          <w:b w:val="0"/>
          <w:i w:val="0"/>
        </w:rPr>
        <w:t>Promueve Más S.A.S. reconoce que, en la medida en que la naturaleza de las funciones del cargo lo permita, sus directivos, contratistas y trabajadores en misión podrán desarrollar labores bajo la modalidad de trabajo remoto o teletrabajo. En dichos casos, se aplicarán los siguientes lineamientos mínimos de seguridad de la información:</w:t>
      </w:r>
    </w:p>
    <w:p>
      <w:pPr>
        <w:pStyle w:val="ListParagraph"/>
        <w:spacing w:after="80"/>
        <w:ind w:left="340"/>
      </w:pPr>
      <w:r>
        <w:t>•  El acceso remoto a los correos institucionales y al sistema de facturación Solution System deberá realizarse utilizando las credenciales individuales asignadas a cada usuario, absteniéndose de compartirlas con terceros.</w:t>
      </w:r>
    </w:p>
    <w:p>
      <w:pPr>
        <w:pStyle w:val="ListParagraph"/>
        <w:spacing w:after="80"/>
        <w:ind w:left="340"/>
      </w:pPr>
      <w:r>
        <w:t>•  Los equipos utilizados para trabajo remoto (ya sean los suministrados por la entidad en arrendamiento o, excepcionalmente, equipos personales debidamente autorizados) deberán contar con el antivirus activado y actualizado, y con las actualizaciones de seguridad del sistema operativo al día, en la medida de lo posible.</w:t>
      </w:r>
    </w:p>
    <w:p>
      <w:pPr>
        <w:pStyle w:val="ListParagraph"/>
        <w:spacing w:after="80"/>
        <w:ind w:left="340"/>
      </w:pPr>
      <w:r>
        <w:t>•  Se deberá evitar la conexión a redes WiFi públicas o no confiables para el acceso a los sistemas de información de la entidad; en caso de ser estrictamente necesario, se recomienda el uso de datos móviles propios o de una red doméstica protegida con contraseña.</w:t>
      </w:r>
    </w:p>
    <w:p>
      <w:pPr>
        <w:pStyle w:val="ListParagraph"/>
        <w:spacing w:after="80"/>
        <w:ind w:left="340"/>
      </w:pPr>
      <w:r>
        <w:t>•  La información confidencial o crítica de la entidad no podrá ser almacenada de manera permanente en equipos personales ni en servicios de almacenamiento en la nube de carácter personal (por ejemplo, cuentas personales de Google Drive o similares).</w:t>
      </w:r>
    </w:p>
    <w:p>
      <w:pPr>
        <w:pStyle w:val="ListParagraph"/>
        <w:spacing w:after="80"/>
        <w:ind w:left="340"/>
      </w:pPr>
      <w:r>
        <w:t>•  El usuario que desarrolle trabajo remoto será responsable de la custodia física y lógica de la información y de los equipos a su cargo, en las mismas condiciones exigidas dentro de las instalaciones de la entidad.</w:t>
      </w:r>
    </w:p>
    <w:p>
      <w:pPr>
        <w:pStyle w:val="ListParagraph"/>
        <w:spacing w:after="80"/>
        <w:ind w:left="340"/>
      </w:pPr>
      <w:r>
        <w:t>•  La modalidad de trabajo remoto o teletrabajo deberá contar con la autorización previa del jefe inmediato o de la Gerencia General, según corresponda, y ajustarse a lo previsto en la normatividad laboral vigente en la materia (Ley 1221 de 2008, Ley 2088 de 2021 y sus decretos reglamentarios, según aplique).</w:t>
      </w:r>
    </w:p>
    <w:p>
      <w:pPr>
        <w:pStyle w:val="Heading2"/>
      </w:pPr>
      <w:r>
        <w:t>11.16 Dispositivos móviles y BYOD (Bring Your Own Device)</w:t>
      </w:r>
    </w:p>
    <w:p>
      <w:pPr>
        <w:jc w:val="both"/>
      </w:pPr>
      <w:r>
        <w:rPr>
          <w:b w:val="0"/>
          <w:i w:val="0"/>
        </w:rPr>
        <w:t>Actualmente, únicamente algunas personas cuentan con autorización expresa para conectar sus dispositivos móviles personales a la red institucional de Promueve Más S.A.S. En este sentido, se establecen los siguientes lineamientos:</w:t>
      </w:r>
    </w:p>
    <w:p>
      <w:pPr>
        <w:pStyle w:val="ListParagraph"/>
        <w:spacing w:after="80"/>
        <w:ind w:left="340"/>
      </w:pPr>
      <w:r>
        <w:t>•  Solo podrán conectarse a la red WiFi institucional aquellos dispositivos móviles personales que hayan sido expresamente autorizados por la Dirección Administrativa y Financiera.</w:t>
      </w:r>
    </w:p>
    <w:p>
      <w:pPr>
        <w:pStyle w:val="ListParagraph"/>
        <w:spacing w:after="80"/>
        <w:ind w:left="340"/>
      </w:pPr>
      <w:r>
        <w:t>•  La Dirección Administrativa y Financiera mantendrá un listado actualizado de las personas y dispositivos autorizados para conectarse a la red institucional mediante la modalidad BYOD.</w:t>
      </w:r>
    </w:p>
    <w:p>
      <w:pPr>
        <w:pStyle w:val="ListParagraph"/>
        <w:spacing w:after="80"/>
        <w:ind w:left="340"/>
      </w:pPr>
      <w:r>
        <w:t>•  Los usuarios autorizados a conectar dispositivos personales deberán mantener dichos dispositivos protegidos con bloqueo de pantalla (PIN, patrón, huella o reconocimiento facial) y evitar el almacenamiento permanente de información confidencial de la entidad en dichos dispositivos.</w:t>
      </w:r>
    </w:p>
    <w:p>
      <w:pPr>
        <w:pStyle w:val="ListParagraph"/>
        <w:spacing w:after="80"/>
        <w:ind w:left="340"/>
      </w:pPr>
      <w:r>
        <w:t>•  La entidad podrá revocar en cualquier momento la autorización de acceso BYOD, sin necesidad de justificación adicional a la protección de la seguridad de la información institucional.</w:t>
      </w:r>
    </w:p>
    <w:p>
      <w:pPr>
        <w:pStyle w:val="ListParagraph"/>
        <w:spacing w:after="80"/>
        <w:ind w:left="340"/>
      </w:pPr>
      <w:r>
        <w:t>•  Queda prohibida la conexión de dispositivos móviles no autorizados a la red institucional, así como la conexión de dispositivos de almacenamiento externo (USB) de origen desconocido a los equipos de cómputo de la entidad, salvo autorización expresa.</w:t>
      </w:r>
    </w:p>
    <w:p>
      <w:pPr>
        <w:pStyle w:val="Heading2"/>
      </w:pPr>
      <w:r>
        <w:t>11.17 Uso aceptable de activos, internet y correo electrónico</w:t>
      </w:r>
    </w:p>
    <w:p>
      <w:pPr>
        <w:pStyle w:val="ListParagraph"/>
        <w:spacing w:after="80"/>
        <w:ind w:left="340"/>
      </w:pPr>
      <w:r>
        <w:t>•  Los equipos de cómputo, impresoras (conectadas por cable, WiFi o USB), correo electrónico institucional y demás recursos tecnológicos suministrados por la entidad —bien sea de su propiedad o en arrendamiento— deberán utilizarse exclusivamente para fines laborales e institucionales.</w:t>
      </w:r>
    </w:p>
    <w:p>
      <w:pPr>
        <w:pStyle w:val="ListParagraph"/>
        <w:spacing w:after="80"/>
        <w:ind w:left="340"/>
      </w:pPr>
      <w:r>
        <w:t>•  Se prohíbe el uso de los recursos tecnológicos de la entidad para actividades ilícitas, la descarga o instalación de software no autorizado, la visualización de contenido inapropiado, o cualquier actividad que pueda comprometer la seguridad de la información o la reputación de la entidad.</w:t>
      </w:r>
    </w:p>
    <w:p>
      <w:pPr>
        <w:pStyle w:val="ListParagraph"/>
        <w:spacing w:after="80"/>
        <w:ind w:left="340"/>
      </w:pPr>
      <w:r>
        <w:t>•  El correo electrónico institucional no deberá ser utilizado para el registro en plataformas o servicios personales ajenos a la actividad de la entidad, ni para el envío de información confidencial a cuentas de correo personales.</w:t>
      </w:r>
    </w:p>
    <w:p>
      <w:pPr>
        <w:pStyle w:val="ListParagraph"/>
        <w:spacing w:after="80"/>
        <w:ind w:left="340"/>
      </w:pPr>
      <w:r>
        <w:t>•  Las impresoras de la entidad deberán utilizarse de forma responsable, evitando la impresión innecesaria de documentos que contengan información confidencial, y asegurando su recolección oportuna para evitar la exposición de dicha información.</w:t>
      </w:r>
    </w:p>
    <w:p>
      <w:pPr>
        <w:pStyle w:val="ListParagraph"/>
        <w:spacing w:after="80"/>
        <w:ind w:left="340"/>
      </w:pPr>
      <w:r>
        <w:t>•  El acceso a internet a través de la red institucional podrá ser objeto de monitoreo por parte de la Dirección Administrativa y Financiera, con fines exclusivos de seguridad y buen uso de los recursos, respetando en todo caso el derecho a la intimidad de los usuarios.</w:t>
      </w:r>
    </w:p>
    <w:p>
      <w:pPr>
        <w:pStyle w:val="Heading2"/>
      </w:pPr>
      <w:r>
        <w:t>11.18 Gestión de contraseñas</w:t>
      </w:r>
    </w:p>
    <w:p>
      <w:pPr>
        <w:pStyle w:val="ListParagraph"/>
        <w:spacing w:after="80"/>
        <w:ind w:left="340"/>
      </w:pPr>
      <w:r>
        <w:t>•  Toda contraseña de acceso a los sistemas de información de la entidad (correo institucional, sistema de facturación Solution System, administración del hosting y del dominio, red WiFi empresarial) deberá ser de carácter individual, salvo las cuentas funcionales expresamente autorizadas.</w:t>
      </w:r>
    </w:p>
    <w:p>
      <w:pPr>
        <w:pStyle w:val="ListParagraph"/>
        <w:spacing w:after="80"/>
        <w:ind w:left="340"/>
      </w:pPr>
      <w:r>
        <w:t>•  Se recomienda que las contraseñas cuenten con una longitud mínima de ocho (8) caracteres, combinando letras mayúsculas, minúsculas, números y caracteres especiales, evitando el uso de datos personales o información fácilmente deducible (nombres, fechas de nacimiento, entre otros).</w:t>
      </w:r>
    </w:p>
    <w:p>
      <w:pPr>
        <w:pStyle w:val="ListParagraph"/>
        <w:spacing w:after="80"/>
        <w:ind w:left="340"/>
      </w:pPr>
      <w:r>
        <w:t>•  Las contraseñas no deberán ser compartidas con terceros, ni anotadas en lugares visibles (notas adheridas al monitor o al escritorio) ni almacenadas sin cifrar en archivos de texto.</w:t>
      </w:r>
    </w:p>
    <w:p>
      <w:pPr>
        <w:pStyle w:val="ListParagraph"/>
        <w:spacing w:after="80"/>
        <w:ind w:left="340"/>
      </w:pPr>
      <w:r>
        <w:t>•  Se recomienda el cambio periódico de las contraseñas de los sistemas críticos (correo institucional, sistema de facturación, hosting), así como el cambio inmediato ante cualquier sospecha de compromiso de la contraseña.</w:t>
      </w:r>
    </w:p>
    <w:p>
      <w:pPr>
        <w:pStyle w:val="ListParagraph"/>
        <w:spacing w:after="80"/>
        <w:ind w:left="340"/>
      </w:pPr>
      <w:r>
        <w:t>•  El área de Gestión de TI (Dirección Administrativa y Financiera) custodiará de forma segura las contraseñas de administración de los sistemas institucionales críticos, evitando su almacenamiento en texto claro y sin protección.</w:t>
      </w:r>
    </w:p>
    <w:p>
      <w:pPr>
        <w:pStyle w:val="Heading2"/>
      </w:pPr>
      <w:r>
        <w:t>11.19 Protección de datos personales</w:t>
      </w:r>
    </w:p>
    <w:p>
      <w:pPr>
        <w:jc w:val="both"/>
      </w:pPr>
      <w:r>
        <w:rPr>
          <w:b w:val="0"/>
          <w:i w:val="0"/>
        </w:rPr>
        <w:t>Promueve Más S.A.S. no cuenta actualmente con un Oficial de Protección de Datos Personales designado; no obstante, dicha función será asumida transitoriamente por la Dirección Administrativa y Financiera, sin perjuicio de la eventual designación formal de este rol en el futuro. En materia de protección de datos personales, la entidad se compromete a:</w:t>
      </w:r>
    </w:p>
    <w:p>
      <w:pPr>
        <w:pStyle w:val="ListParagraph"/>
        <w:spacing w:after="80"/>
        <w:ind w:left="340"/>
      </w:pPr>
      <w:r>
        <w:t>•  Recolectar y tratar los datos personales de sus colaboradores, contratistas, usuarios y terceros de conformidad con los principios establecidos en la Ley 1581 de 2012 (legalidad, finalidad, libertad, veracidad, transparencia, acceso y circulación restringida, seguridad y confidencialidad).</w:t>
      </w:r>
    </w:p>
    <w:p>
      <w:pPr>
        <w:pStyle w:val="ListParagraph"/>
        <w:spacing w:after="80"/>
        <w:ind w:left="340"/>
      </w:pPr>
      <w:r>
        <w:t>•  Contar con autorización previa, expresa e informada de los titulares de los datos personales, salvo en los casos en que la ley exceptúe dicho requisito.</w:t>
      </w:r>
    </w:p>
    <w:p>
      <w:pPr>
        <w:pStyle w:val="ListParagraph"/>
        <w:spacing w:after="80"/>
        <w:ind w:left="340"/>
      </w:pPr>
      <w:r>
        <w:t>•  Adoptar medidas razonables de seguridad para evitar la adulteración, pérdida, consulta, uso o acceso no autorizado o fraudulento a los datos personales que administra.</w:t>
      </w:r>
    </w:p>
    <w:p>
      <w:pPr>
        <w:pStyle w:val="ListParagraph"/>
        <w:spacing w:after="80"/>
        <w:ind w:left="340"/>
      </w:pPr>
      <w:r>
        <w:t>•  Atender oportunamente las consultas y reclamos que presenten los titulares de datos personales, en los términos establecidos en la ley.</w:t>
      </w:r>
    </w:p>
    <w:p>
      <w:pPr>
        <w:pStyle w:val="ListParagraph"/>
        <w:spacing w:after="80"/>
        <w:ind w:left="340"/>
      </w:pPr>
      <w:r>
        <w:t>•  Evaluar la formulación de un Manual Interno de Políticas de Tratamiento de Datos Personales que desarrolle en detalle las obligaciones aquí señaladas.</w:t>
      </w:r>
    </w:p>
    <w:p>
      <w:r>
        <w:br w:type="page"/>
      </w:r>
    </w:p>
    <w:p>
      <w:pPr>
        <w:pStyle w:val="Heading1"/>
      </w:pPr>
      <w:r>
        <w:t>12. RÉGIMEN DE CONSECUENCIAS POR INCUMPLIMIENTO</w:t>
      </w:r>
    </w:p>
    <w:p>
      <w:pPr>
        <w:jc w:val="both"/>
      </w:pPr>
      <w:r>
        <w:rPr>
          <w:b w:val="0"/>
          <w:i w:val="0"/>
        </w:rPr>
        <w:t>El incumplimiento de los lineamientos establecidos en la presente Política de Seguridad de la Información por parte de directivos, contratistas, trabajadores en misión o terceros dará lugar a las consecuencias que correspondan, según la naturaleza del vínculo jurídico con la entidad, sin perjuicio de las responsabilidades civiles, administrativas o penales a que hubiere lugar:</w:t>
      </w:r>
    </w:p>
    <w:tbl>
      <w:tblPr>
        <w:tblStyle w:val="TableGrid"/>
        <w:tblW w:type="auto" w:w="0"/>
        <w:tblLook w:firstColumn="1" w:firstRow="1" w:lastColumn="0" w:lastRow="0" w:noHBand="0" w:noVBand="1" w:val="04A0"/>
      </w:tblPr>
      <w:tblGrid>
        <w:gridCol w:w="4703"/>
        <w:gridCol w:w="4703"/>
      </w:tblGrid>
      <w:tr>
        <w:tc>
          <w:tcPr>
            <w:tcW w:type="dxa" w:w="4703"/>
            <w:shd w:val="clear" w:color="auto" w:fill="0F4761"/>
          </w:tcPr>
          <w:p>
            <w:r/>
            <w:r>
              <w:rPr>
                <w:b/>
                <w:color w:val="FFFFFF"/>
                <w:sz w:val="20"/>
              </w:rPr>
              <w:t>Tipo de vínculo</w:t>
            </w:r>
          </w:p>
        </w:tc>
        <w:tc>
          <w:tcPr>
            <w:tcW w:type="dxa" w:w="4703"/>
            <w:shd w:val="clear" w:color="auto" w:fill="0F4761"/>
          </w:tcPr>
          <w:p>
            <w:r/>
            <w:r>
              <w:rPr>
                <w:b/>
                <w:color w:val="FFFFFF"/>
                <w:sz w:val="20"/>
              </w:rPr>
              <w:t>Consecuencia aplicable</w:t>
            </w:r>
          </w:p>
        </w:tc>
      </w:tr>
      <w:tr>
        <w:tc>
          <w:tcPr>
            <w:tcW w:type="dxa" w:w="4703"/>
          </w:tcPr>
          <w:p>
            <w:r/>
            <w:r>
              <w:rPr>
                <w:b/>
                <w:sz w:val="20"/>
              </w:rPr>
              <w:t>Directivos y personal vinculado directamente a la entidad</w:t>
            </w:r>
          </w:p>
        </w:tc>
        <w:tc>
          <w:tcPr>
            <w:tcW w:type="dxa" w:w="4703"/>
          </w:tcPr>
          <w:p>
            <w:r/>
            <w:r>
              <w:rPr>
                <w:b w:val="0"/>
                <w:sz w:val="20"/>
              </w:rPr>
              <w:t>Aplicación del régimen disciplinario interno y de las causales de terminación del contrato o vínculo que correspondan, conforme a la normatividad laboral vigente y a los documentos internos de la entidad.</w:t>
            </w:r>
          </w:p>
        </w:tc>
      </w:tr>
      <w:tr>
        <w:tc>
          <w:tcPr>
            <w:tcW w:type="dxa" w:w="4703"/>
          </w:tcPr>
          <w:p>
            <w:r/>
            <w:r>
              <w:rPr>
                <w:b/>
                <w:sz w:val="20"/>
              </w:rPr>
              <w:t>Contratistas de prestación de servicios</w:t>
            </w:r>
          </w:p>
        </w:tc>
        <w:tc>
          <w:tcPr>
            <w:tcW w:type="dxa" w:w="4703"/>
          </w:tcPr>
          <w:p>
            <w:r/>
            <w:r>
              <w:rPr>
                <w:b w:val="0"/>
                <w:sz w:val="20"/>
              </w:rPr>
              <w:t>Aplicación de las cláusulas de incumplimiento, multas o terminación anticipada previstas en el respectivo contrato de prestación de servicios.</w:t>
            </w:r>
          </w:p>
        </w:tc>
      </w:tr>
      <w:tr>
        <w:tc>
          <w:tcPr>
            <w:tcW w:type="dxa" w:w="4703"/>
          </w:tcPr>
          <w:p>
            <w:r/>
            <w:r>
              <w:rPr>
                <w:b/>
                <w:sz w:val="20"/>
              </w:rPr>
              <w:t>Trabajadores en misión (empresa temporal)</w:t>
            </w:r>
          </w:p>
        </w:tc>
        <w:tc>
          <w:tcPr>
            <w:tcW w:type="dxa" w:w="4703"/>
          </w:tcPr>
          <w:p>
            <w:r/>
            <w:r>
              <w:rPr>
                <w:b w:val="0"/>
                <w:sz w:val="20"/>
              </w:rPr>
              <w:t>Reporte del incumplimiento a la empresa de servicios temporales, para que esta adopte las medidas correctivas o disciplinarias que correspondan conforme al contrato de trabajo en misión, pudiendo solicitarse la desvinculación del trabajador de las labores desarrolladas para Promueve Más S.A.S.</w:t>
            </w:r>
          </w:p>
        </w:tc>
      </w:tr>
      <w:tr>
        <w:tc>
          <w:tcPr>
            <w:tcW w:type="dxa" w:w="4703"/>
          </w:tcPr>
          <w:p>
            <w:r/>
            <w:r>
              <w:rPr>
                <w:b/>
                <w:sz w:val="20"/>
              </w:rPr>
              <w:t>Proveedores y terceros</w:t>
            </w:r>
          </w:p>
        </w:tc>
        <w:tc>
          <w:tcPr>
            <w:tcW w:type="dxa" w:w="4703"/>
          </w:tcPr>
          <w:p>
            <w:r/>
            <w:r>
              <w:rPr>
                <w:b w:val="0"/>
                <w:sz w:val="20"/>
              </w:rPr>
              <w:t>Aplicación de las cláusulas de incumplimiento contractual pactadas, incluyendo la posibilidad de terminación anticipada del contrato y la exigencia de las indemnizaciones a que haya lugar.</w:t>
            </w:r>
          </w:p>
        </w:tc>
      </w:tr>
    </w:tbl>
    <w:p>
      <w:pPr>
        <w:jc w:val="both"/>
      </w:pPr>
      <w:r>
        <w:rPr>
          <w:b w:val="0"/>
          <w:i w:val="0"/>
        </w:rPr>
        <w:t>Cuando la conducta del infractor pueda constituir un delito informático en los términos de la Ley 1273 de 2009, o una infracción a la normatividad de protección de datos personales, la Gerencia General ordenará el reporte correspondiente ante las autoridades competentes (Fiscalía General de la Nación, Superintendencia de Industria y Comercio), sin perjuicio de las demás acciones legales a que haya lugar.</w:t>
      </w:r>
    </w:p>
    <w:p>
      <w:pPr>
        <w:pStyle w:val="Heading1"/>
      </w:pPr>
      <w:r>
        <w:t>13. EXCEPCIONES A LA POLÍTICA</w:t>
      </w:r>
    </w:p>
    <w:p>
      <w:pPr>
        <w:jc w:val="both"/>
      </w:pPr>
      <w:r>
        <w:rPr>
          <w:b w:val="0"/>
          <w:i w:val="0"/>
        </w:rPr>
        <w:t>Cualquier excepción al cumplimiento de la presente política deberá ser solicitada por escrito a la Dirección Administrativa y Financiera, justificando las razones operativas, técnicas o contractuales que la motivan, y deberá ser aprobada por la Gerencia General previo análisis del riesgo asociado. Toda excepción concedida deberá quedar documentada, indicando su justificación, alcance, responsable y vigencia.</w:t>
      </w:r>
    </w:p>
    <w:p>
      <w:pPr>
        <w:pStyle w:val="Heading1"/>
      </w:pPr>
      <w:r>
        <w:t>14. DIVULGACIÓN, CAPACITACIÓN Y TOMA DE CONCIENCIA</w:t>
      </w:r>
    </w:p>
    <w:p>
      <w:pPr>
        <w:pStyle w:val="ListParagraph"/>
        <w:spacing w:after="80"/>
        <w:ind w:left="340"/>
      </w:pPr>
      <w:r>
        <w:t>•  La presente política será divulgada a todos los directivos, contratistas y trabajadores en misión de Promueve Más S.A.S., a través de los canales de comunicación institucional disponibles (correo institucional, publicación en el sitio web, socialización en reuniones de equipo).</w:t>
      </w:r>
    </w:p>
    <w:p>
      <w:pPr>
        <w:pStyle w:val="ListParagraph"/>
        <w:spacing w:after="80"/>
        <w:ind w:left="340"/>
      </w:pPr>
      <w:r>
        <w:t>•  Todo nuevo directivo, contratista o trabajador en misión que se vincule a la entidad deberá recibir, como parte de su proceso de inducción, la socialización de la presente política y de las obligaciones que de ella se derivan.</w:t>
      </w:r>
    </w:p>
    <w:p>
      <w:pPr>
        <w:pStyle w:val="ListParagraph"/>
        <w:spacing w:after="80"/>
        <w:ind w:left="340"/>
      </w:pPr>
      <w:r>
        <w:t>•  La Dirección Administrativa y Financiera coordinará, con una periodicidad mínima semestral, jornadas de capacitación y sensibilización en seguridad digital dirigidas a todo el personal, conforme a lo establecido en el Plan Estratégico de TIC (PETI) vigente.</w:t>
      </w:r>
    </w:p>
    <w:p>
      <w:pPr>
        <w:pStyle w:val="ListParagraph"/>
        <w:spacing w:after="80"/>
        <w:ind w:left="340"/>
      </w:pPr>
      <w:r>
        <w:t>•  Se promoverá una cultura de seguridad de la información basada en el autocuidado, la responsabilidad individual y el reporte oportuno de cualquier situación que pueda comprometer la seguridad de la información institucional.</w:t>
      </w:r>
    </w:p>
    <w:p>
      <w:pPr>
        <w:pStyle w:val="Heading1"/>
      </w:pPr>
      <w:r>
        <w:t>15. REVISIÓN Y ACTUALIZACIÓN</w:t>
      </w:r>
    </w:p>
    <w:p>
      <w:pPr>
        <w:jc w:val="both"/>
      </w:pPr>
      <w:r>
        <w:rPr>
          <w:b w:val="0"/>
          <w:i w:val="0"/>
        </w:rPr>
        <w:t>La presente política será revisada y actualizada, como mínimo, una (1) vez al año, o de manera extraordinaria cuando se presente alguna de las siguientes circunstancias:</w:t>
      </w:r>
    </w:p>
    <w:p>
      <w:pPr>
        <w:pStyle w:val="ListParagraph"/>
        <w:spacing w:after="80"/>
        <w:ind w:left="340"/>
      </w:pPr>
      <w:r>
        <w:t>•  Cambios significativos en la estructura organizacional, tecnológica o normativa de la entidad.</w:t>
      </w:r>
    </w:p>
    <w:p>
      <w:pPr>
        <w:pStyle w:val="ListParagraph"/>
        <w:spacing w:after="80"/>
        <w:ind w:left="340"/>
      </w:pPr>
      <w:r>
        <w:t>•  Ocurrencia de incidentes de seguridad de la información que evidencien la necesidad de fortalecer los controles existentes.</w:t>
      </w:r>
    </w:p>
    <w:p>
      <w:pPr>
        <w:pStyle w:val="ListParagraph"/>
        <w:spacing w:after="80"/>
        <w:ind w:left="340"/>
      </w:pPr>
      <w:r>
        <w:t>•  Resultados de las auditorías o seguimientos realizados por Control Interno.</w:t>
      </w:r>
    </w:p>
    <w:p>
      <w:pPr>
        <w:pStyle w:val="ListParagraph"/>
        <w:spacing w:after="80"/>
        <w:ind w:left="340"/>
      </w:pPr>
      <w:r>
        <w:t>•  Recomendaciones derivadas del Plan de Tratamiento de Riesgos o del Plan de Seguridad y Privacidad de la Información vigentes.</w:t>
      </w:r>
    </w:p>
    <w:p>
      <w:pPr>
        <w:jc w:val="both"/>
      </w:pPr>
      <w:r>
        <w:rPr>
          <w:b w:val="0"/>
          <w:i w:val="0"/>
        </w:rPr>
        <w:t>La responsabilidad de proponer las actualizaciones a la presente política recae en la Dirección Administrativa y Financiera, quien deberá someter dichas actualizaciones a la aprobación de la Gerencia General mediante el acto administrativo correspondiente.</w:t>
      </w:r>
    </w:p>
    <w:p>
      <w:pPr>
        <w:pStyle w:val="Heading1"/>
      </w:pPr>
      <w:r>
        <w:t>16. VIGENCIA</w:t>
      </w:r>
    </w:p>
    <w:p>
      <w:pPr>
        <w:jc w:val="both"/>
      </w:pPr>
      <w:r>
        <w:rPr>
          <w:b w:val="0"/>
          <w:i w:val="0"/>
        </w:rPr>
        <w:t>La presente Política de Seguridad de la Información entrará en vigencia a partir de la fecha de expedición del acto administrativo mediante el cual sea formalmente adoptada por la Gerencia General de Promueve Más S.A.S., y permanecerá vigente hasta que sea modificada, actualizada o derogada por un acto administrativo posterior.</w:t>
      </w:r>
    </w:p>
    <w:p>
      <w:pPr>
        <w:pStyle w:val="Heading1"/>
      </w:pPr>
      <w:r>
        <w:t>17. APROBACIÓN Y ADOPCIÓN</w:t>
      </w:r>
    </w:p>
    <w:p>
      <w:pPr>
        <w:jc w:val="both"/>
      </w:pPr>
      <w:r>
        <w:rPr>
          <w:b w:val="0"/>
          <w:i w:val="0"/>
        </w:rPr>
        <w:t>La presente Política de Seguridad de la Información fue elaborada por la Dirección Administrativa y Financiera de Promueve Más S.A.S. y se somete a consideración de la Gerencia General para su revisión, aprobación y adopción formal mediante el acto administrativo que para tal efecto se expida (resolución, acuerdo o el instrumento que la entidad determine pertinente conforme a sus procedimientos internos).</w:t>
      </w:r>
    </w:p>
    <w:p>
      <w:pPr>
        <w:jc w:val="both"/>
      </w:pPr>
      <w:r>
        <w:rPr>
          <w:b w:val="0"/>
          <w:i w:val="0"/>
        </w:rPr>
        <w:t>Una vez aprobada, la presente política deberá ser publicada y divulgada a todos los destinatarios señalados en el capítulo de alcance, dejando constancia de dicha divulgación.</w:t>
      </w:r>
    </w:p>
    <w:p/>
    <w:p/>
    <w:tbl>
      <w:tblPr>
        <w:tblW w:type="auto" w:w="0"/>
        <w:tblLayout w:type="autofit"/>
        <w:tblLook w:firstColumn="1" w:firstRow="1" w:lastColumn="0" w:lastRow="0" w:noHBand="0" w:noVBand="1" w:val="04A0"/>
      </w:tblPr>
      <w:tblGrid>
        <w:gridCol w:w="4703"/>
        <w:gridCol w:w="4703"/>
      </w:tblGrid>
      <w:tr>
        <w:tc>
          <w:tcPr>
            <w:tcW w:type="dxa" w:w="4703"/>
          </w:tcPr>
          <w:p>
            <w:r>
              <w:t>_______________________________</w:t>
            </w:r>
          </w:p>
        </w:tc>
        <w:tc>
          <w:tcPr>
            <w:tcW w:type="dxa" w:w="4703"/>
          </w:tcPr>
          <w:p>
            <w:r>
              <w:t>_______________________________</w:t>
            </w:r>
          </w:p>
        </w:tc>
      </w:tr>
      <w:tr>
        <w:tc>
          <w:tcPr>
            <w:tcW w:type="dxa" w:w="4703"/>
          </w:tcPr>
          <w:p>
            <w:r/>
            <w:r>
              <w:rPr>
                <w:b/>
                <w:sz w:val="20"/>
              </w:rPr>
              <w:t>Gerente General</w:t>
              <w:br/>
              <w:t>Promueve Más S.A.S.</w:t>
            </w:r>
          </w:p>
        </w:tc>
        <w:tc>
          <w:tcPr>
            <w:tcW w:type="dxa" w:w="4703"/>
          </w:tcPr>
          <w:p>
            <w:r/>
            <w:r>
              <w:rPr>
                <w:b/>
                <w:sz w:val="20"/>
              </w:rPr>
              <w:t>Dirección Administrativa y Financiera</w:t>
              <w:br/>
              <w:t>Promueve Más S.A.S.</w:t>
            </w:r>
          </w:p>
        </w:tc>
      </w:tr>
    </w:tbl>
    <w:p>
      <w:r>
        <w:br w:type="page"/>
      </w:r>
    </w:p>
    <w:p>
      <w:pPr>
        <w:pStyle w:val="Heading1"/>
      </w:pPr>
      <w:r>
        <w:t>ANEXOS</w:t>
      </w:r>
    </w:p>
    <w:p>
      <w:pPr>
        <w:pStyle w:val="Heading2"/>
      </w:pPr>
      <w:r>
        <w:t>Anexo 1. Inventario general de activos tecnológicos (referencial)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F4761"/>
          </w:tcPr>
          <w:p>
            <w:r/>
            <w:r>
              <w:rPr>
                <w:b/>
                <w:color w:val="FFFFFF"/>
                <w:sz w:val="18"/>
              </w:rPr>
              <w:t>Activo / Recurso</w:t>
            </w:r>
          </w:p>
        </w:tc>
        <w:tc>
          <w:tcPr>
            <w:tcW w:type="dxa" w:w="3135"/>
            <w:shd w:val="clear" w:color="auto" w:fill="0F4761"/>
          </w:tcPr>
          <w:p>
            <w:r/>
            <w:r>
              <w:rPr>
                <w:b/>
                <w:color w:val="FFFFFF"/>
                <w:sz w:val="18"/>
              </w:rPr>
              <w:t>Descripción</w:t>
            </w:r>
          </w:p>
        </w:tc>
        <w:tc>
          <w:tcPr>
            <w:tcW w:type="dxa" w:w="3135"/>
            <w:shd w:val="clear" w:color="auto" w:fill="0F4761"/>
          </w:tcPr>
          <w:p>
            <w:r/>
            <w:r>
              <w:rPr>
                <w:b/>
                <w:color w:val="FFFFFF"/>
                <w:sz w:val="18"/>
              </w:rPr>
              <w:t>Propiedad / Administración</w:t>
            </w:r>
          </w:p>
        </w:tc>
      </w:tr>
      <w:tr>
        <w:tc>
          <w:tcPr>
            <w:tcW w:type="dxa" w:w="3135"/>
          </w:tcPr>
          <w:p>
            <w:r/>
            <w:r>
              <w:rPr>
                <w:b/>
                <w:sz w:val="18"/>
              </w:rPr>
              <w:t>Sitio web institucional</w:t>
            </w:r>
          </w:p>
        </w:tc>
        <w:tc>
          <w:tcPr>
            <w:tcW w:type="dxa" w:w="3135"/>
          </w:tcPr>
          <w:p>
            <w:r/>
            <w:r>
              <w:rPr>
                <w:b w:val="0"/>
                <w:sz w:val="18"/>
              </w:rPr>
              <w:t>www.promuevemas.com</w:t>
            </w:r>
          </w:p>
        </w:tc>
        <w:tc>
          <w:tcPr>
            <w:tcW w:type="dxa" w:w="3135"/>
          </w:tcPr>
          <w:p>
            <w:r/>
            <w:r>
              <w:rPr>
                <w:b w:val="0"/>
                <w:sz w:val="18"/>
              </w:rPr>
              <w:t>Hosting Latinoamérica / Dirección Adm. y Financiera</w:t>
            </w:r>
          </w:p>
        </w:tc>
      </w:tr>
      <w:tr>
        <w:tc>
          <w:tcPr>
            <w:tcW w:type="dxa" w:w="3135"/>
          </w:tcPr>
          <w:p>
            <w:r/>
            <w:r>
              <w:rPr>
                <w:b/>
                <w:sz w:val="18"/>
              </w:rPr>
              <w:t>Correo institucional</w:t>
            </w:r>
          </w:p>
        </w:tc>
        <w:tc>
          <w:tcPr>
            <w:tcW w:type="dxa" w:w="3135"/>
          </w:tcPr>
          <w:p>
            <w:r/>
            <w:r>
              <w:rPr>
                <w:b w:val="0"/>
                <w:sz w:val="18"/>
              </w:rPr>
              <w:t>Aprox. 8-9 cuentas @promuevemas.com (webmail, PQRS, directivos)</w:t>
            </w:r>
          </w:p>
        </w:tc>
        <w:tc>
          <w:tcPr>
            <w:tcW w:type="dxa" w:w="3135"/>
          </w:tcPr>
          <w:p>
            <w:r/>
            <w:r>
              <w:rPr>
                <w:b w:val="0"/>
                <w:sz w:val="18"/>
              </w:rPr>
              <w:t>Hosting Latinoamérica / Dirección Adm. y Financiera</w:t>
            </w:r>
          </w:p>
        </w:tc>
      </w:tr>
      <w:tr>
        <w:tc>
          <w:tcPr>
            <w:tcW w:type="dxa" w:w="3135"/>
          </w:tcPr>
          <w:p>
            <w:r/>
            <w:r>
              <w:rPr>
                <w:b/>
                <w:sz w:val="18"/>
              </w:rPr>
              <w:t>Sistema de facturación</w:t>
            </w:r>
          </w:p>
        </w:tc>
        <w:tc>
          <w:tcPr>
            <w:tcW w:type="dxa" w:w="3135"/>
          </w:tcPr>
          <w:p>
            <w:r/>
            <w:r>
              <w:rPr>
                <w:b w:val="0"/>
                <w:sz w:val="18"/>
              </w:rPr>
              <w:t>Solution System – sistema integrado de facturación</w:t>
            </w:r>
          </w:p>
        </w:tc>
        <w:tc>
          <w:tcPr>
            <w:tcW w:type="dxa" w:w="3135"/>
          </w:tcPr>
          <w:p>
            <w:r/>
            <w:r>
              <w:rPr>
                <w:b w:val="0"/>
                <w:sz w:val="18"/>
              </w:rPr>
              <w:t>Proveedor externo del software</w:t>
            </w:r>
          </w:p>
        </w:tc>
      </w:tr>
      <w:tr>
        <w:tc>
          <w:tcPr>
            <w:tcW w:type="dxa" w:w="3135"/>
          </w:tcPr>
          <w:p>
            <w:r/>
            <w:r>
              <w:rPr>
                <w:b/>
                <w:sz w:val="18"/>
              </w:rPr>
              <w:t>Red WiFi empresarial</w:t>
            </w:r>
          </w:p>
        </w:tc>
        <w:tc>
          <w:tcPr>
            <w:tcW w:type="dxa" w:w="3135"/>
          </w:tcPr>
          <w:p>
            <w:r/>
            <w:r>
              <w:rPr>
                <w:b w:val="0"/>
                <w:sz w:val="18"/>
              </w:rPr>
              <w:t>Canal dedicado punto a punto empresarial</w:t>
            </w:r>
          </w:p>
        </w:tc>
        <w:tc>
          <w:tcPr>
            <w:tcW w:type="dxa" w:w="3135"/>
          </w:tcPr>
          <w:p>
            <w:r/>
            <w:r>
              <w:rPr>
                <w:b w:val="0"/>
                <w:sz w:val="18"/>
              </w:rPr>
              <w:t>Movistar</w:t>
            </w:r>
          </w:p>
        </w:tc>
      </w:tr>
      <w:tr>
        <w:tc>
          <w:tcPr>
            <w:tcW w:type="dxa" w:w="3135"/>
          </w:tcPr>
          <w:p>
            <w:r/>
            <w:r>
              <w:rPr>
                <w:b/>
                <w:sz w:val="18"/>
              </w:rPr>
              <w:t>Router / Switch</w:t>
            </w:r>
          </w:p>
        </w:tc>
        <w:tc>
          <w:tcPr>
            <w:tcW w:type="dxa" w:w="3135"/>
          </w:tcPr>
          <w:p>
            <w:r/>
            <w:r>
              <w:rPr>
                <w:b w:val="0"/>
                <w:sz w:val="18"/>
              </w:rPr>
              <w:t>Cisco 2901 y switch asociado</w:t>
            </w:r>
          </w:p>
        </w:tc>
        <w:tc>
          <w:tcPr>
            <w:tcW w:type="dxa" w:w="3135"/>
          </w:tcPr>
          <w:p>
            <w:r/>
            <w:r>
              <w:rPr>
                <w:b w:val="0"/>
                <w:sz w:val="18"/>
              </w:rPr>
              <w:t>Movistar / Promueve Más S.A.S.</w:t>
            </w:r>
          </w:p>
        </w:tc>
      </w:tr>
      <w:tr>
        <w:tc>
          <w:tcPr>
            <w:tcW w:type="dxa" w:w="3135"/>
          </w:tcPr>
          <w:p>
            <w:r/>
            <w:r>
              <w:rPr>
                <w:b/>
                <w:sz w:val="18"/>
              </w:rPr>
              <w:t>CCTV</w:t>
            </w:r>
          </w:p>
        </w:tc>
        <w:tc>
          <w:tcPr>
            <w:tcW w:type="dxa" w:w="3135"/>
          </w:tcPr>
          <w:p>
            <w:r/>
            <w:r>
              <w:rPr>
                <w:b w:val="0"/>
                <w:sz w:val="18"/>
              </w:rPr>
              <w:t>Cámaras de seguridad conectadas por cableado al switch</w:t>
            </w:r>
          </w:p>
        </w:tc>
        <w:tc>
          <w:tcPr>
            <w:tcW w:type="dxa" w:w="3135"/>
          </w:tcPr>
          <w:p>
            <w:r/>
            <w:r>
              <w:rPr>
                <w:b w:val="0"/>
                <w:sz w:val="18"/>
              </w:rPr>
              <w:t>Promueve Más S.A.S.</w:t>
            </w:r>
          </w:p>
        </w:tc>
      </w:tr>
      <w:tr>
        <w:tc>
          <w:tcPr>
            <w:tcW w:type="dxa" w:w="3135"/>
          </w:tcPr>
          <w:p>
            <w:r/>
            <w:r>
              <w:rPr>
                <w:b/>
                <w:sz w:val="18"/>
              </w:rPr>
              <w:t>Equipos de cómputo</w:t>
            </w:r>
          </w:p>
        </w:tc>
        <w:tc>
          <w:tcPr>
            <w:tcW w:type="dxa" w:w="3135"/>
          </w:tcPr>
          <w:p>
            <w:r/>
            <w:r>
              <w:rPr>
                <w:b w:val="0"/>
                <w:sz w:val="18"/>
              </w:rPr>
              <w:t>Equipos de escritorio/portátiles en arrendamiento</w:t>
            </w:r>
          </w:p>
        </w:tc>
        <w:tc>
          <w:tcPr>
            <w:tcW w:type="dxa" w:w="3135"/>
          </w:tcPr>
          <w:p>
            <w:r/>
            <w:r>
              <w:rPr>
                <w:b w:val="0"/>
                <w:sz w:val="18"/>
              </w:rPr>
              <w:t>Proveedor de arrendamiento (tercero)</w:t>
            </w:r>
          </w:p>
        </w:tc>
      </w:tr>
      <w:tr>
        <w:tc>
          <w:tcPr>
            <w:tcW w:type="dxa" w:w="3135"/>
          </w:tcPr>
          <w:p>
            <w:r/>
            <w:r>
              <w:rPr>
                <w:b/>
                <w:sz w:val="18"/>
              </w:rPr>
              <w:t>Impresoras</w:t>
            </w:r>
          </w:p>
        </w:tc>
        <w:tc>
          <w:tcPr>
            <w:tcW w:type="dxa" w:w="3135"/>
          </w:tcPr>
          <w:p>
            <w:r/>
            <w:r>
              <w:rPr>
                <w:b w:val="0"/>
                <w:sz w:val="18"/>
              </w:rPr>
              <w:t>5 impresoras: 2 por cable, 1 por WiFi, resto por USB</w:t>
            </w:r>
          </w:p>
        </w:tc>
        <w:tc>
          <w:tcPr>
            <w:tcW w:type="dxa" w:w="3135"/>
          </w:tcPr>
          <w:p>
            <w:r/>
            <w:r>
              <w:rPr>
                <w:b w:val="0"/>
                <w:sz w:val="18"/>
              </w:rPr>
              <w:t>Proveedor de arrendamiento (tercero)</w:t>
            </w:r>
          </w:p>
        </w:tc>
      </w:tr>
      <w:tr>
        <w:tc>
          <w:tcPr>
            <w:tcW w:type="dxa" w:w="3135"/>
          </w:tcPr>
          <w:p>
            <w:r/>
            <w:r>
              <w:rPr>
                <w:b/>
                <w:sz w:val="18"/>
              </w:rPr>
              <w:t>Backup</w:t>
            </w:r>
          </w:p>
        </w:tc>
        <w:tc>
          <w:tcPr>
            <w:tcW w:type="dxa" w:w="3135"/>
          </w:tcPr>
          <w:p>
            <w:r/>
            <w:r>
              <w:rPr>
                <w:b w:val="0"/>
                <w:sz w:val="18"/>
              </w:rPr>
              <w:t>Copia mensual de cada equipo a disco duro externo</w:t>
            </w:r>
          </w:p>
        </w:tc>
        <w:tc>
          <w:tcPr>
            <w:tcW w:type="dxa" w:w="3135"/>
          </w:tcPr>
          <w:p>
            <w:r/>
            <w:r>
              <w:rPr>
                <w:b w:val="0"/>
                <w:sz w:val="18"/>
              </w:rPr>
              <w:t>Dirección Adm. y Financiera</w:t>
            </w:r>
          </w:p>
        </w:tc>
      </w:tr>
    </w:tbl>
    <w:p/>
    <w:p>
      <w:pPr>
        <w:pStyle w:val="Heading2"/>
      </w:pPr>
      <w:r>
        <w:t>Anexo 2. Glosario de siglas</w:t>
      </w:r>
    </w:p>
    <w:p>
      <w:r>
        <w:rPr>
          <w:b/>
        </w:rPr>
        <w:t xml:space="preserve">BYOD: </w:t>
      </w:r>
      <w:r>
        <w:t>Bring Your Own Device (traiga su propio dispositivo)</w:t>
      </w:r>
    </w:p>
    <w:p>
      <w:r>
        <w:rPr>
          <w:b/>
        </w:rPr>
        <w:t xml:space="preserve">CCTV: </w:t>
      </w:r>
      <w:r>
        <w:t>Circuit Closed Television (circuito cerrado de televisión)</w:t>
      </w:r>
    </w:p>
    <w:p>
      <w:r>
        <w:rPr>
          <w:b/>
        </w:rPr>
        <w:t xml:space="preserve">MSPI: </w:t>
      </w:r>
      <w:r>
        <w:t>Modelo de Seguridad y Privacidad de la Información</w:t>
      </w:r>
    </w:p>
    <w:p>
      <w:r>
        <w:rPr>
          <w:b/>
        </w:rPr>
        <w:t xml:space="preserve">PETI: </w:t>
      </w:r>
      <w:r>
        <w:t>Plan Estratégico de Tecnologías de la Información y las Comunicaciones</w:t>
      </w:r>
    </w:p>
    <w:p>
      <w:r>
        <w:rPr>
          <w:b/>
        </w:rPr>
        <w:t xml:space="preserve">PCN: </w:t>
      </w:r>
      <w:r>
        <w:t>Plan de Continuidad del Negocio</w:t>
      </w:r>
    </w:p>
    <w:p>
      <w:r>
        <w:rPr>
          <w:b/>
        </w:rPr>
        <w:t xml:space="preserve">TIC: </w:t>
      </w:r>
      <w:r>
        <w:t>Tecnologías de la Información y las Comunicaciones</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76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476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47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