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2F5597"/>
          <w:sz w:val="40"/>
        </w:rPr>
        <w:t>PROMUEVE MÁS S.A.S.</w:t>
      </w:r>
    </w:p>
    <w:p>
      <w:pPr>
        <w:jc w:val="center"/>
      </w:pPr>
      <w:r>
        <w:rPr>
          <w:b/>
          <w:sz w:val="24"/>
        </w:rPr>
        <w:t>DIRECCIÓN ADMINISTRATIVA Y FINANCIERA</w:t>
      </w:r>
    </w:p>
    <w:p/>
    <w:p/>
    <w:p/>
    <w:p>
      <w:pPr>
        <w:jc w:val="center"/>
      </w:pPr>
      <w:r>
        <w:rPr>
          <w:rFonts w:ascii="Arial" w:hAnsi="Arial"/>
          <w:b/>
          <w:color w:val="203864"/>
          <w:sz w:val="38"/>
        </w:rPr>
        <w:t>INFORME SEMESTRAL DE SEGUIMIENTO AL</w:t>
        <w:br/>
        <w:t>PLAN ESTRATÉGICO DE TECNOLOGÍAS DE LA INFORMACIÓN</w:t>
        <w:br/>
        <w:t>Y LAS COMUNICACIONES – PETI 2026</w:t>
      </w:r>
    </w:p>
    <w:p/>
    <w:p>
      <w:pPr>
        <w:jc w:val="center"/>
      </w:pPr>
      <w:r>
        <w:rPr>
          <w:b/>
          <w:sz w:val="24"/>
        </w:rPr>
        <w:t>Primer semestre – Corte al 30 de junio de 2026</w:t>
      </w:r>
    </w:p>
    <w:p/>
    <w:p/>
    <w:p/>
    <w:p>
      <w:pPr>
        <w:jc w:val="center"/>
      </w:pPr>
      <w:r>
        <w:rPr>
          <w:b/>
        </w:rPr>
        <w:t>Dirigido a: Control Interno</w:t>
        <w:br/>
      </w:r>
      <w:r>
        <w:t>Elaborado por: Hamilton Quintero García</w:t>
        <w:br/>
        <w:t>Técnico Administrativo y Financiero</w:t>
      </w:r>
    </w:p>
    <w:p/>
    <w:p/>
    <w:p>
      <w:pPr>
        <w:jc w:val="center"/>
      </w:pPr>
      <w:r>
        <w:rPr>
          <w:sz w:val="22"/>
        </w:rPr>
        <w:t>Manizales, Caldas</w:t>
        <w:br/>
        <w:t>Junio de 2026</w:t>
      </w:r>
    </w:p>
    <w:p>
      <w:r>
        <w:br w:type="page"/>
      </w:r>
    </w:p>
    <w:p>
      <w:pPr>
        <w:pStyle w:val="Heading1"/>
      </w:pPr>
      <w:r>
        <w:t>INFORME SEMESTRAL DE SEGUIMIENTO AL PETI 2026</w:t>
      </w:r>
    </w:p>
    <w:tbl>
      <w:tblPr>
        <w:tblStyle w:val="TableGrid"/>
        <w:tblW w:type="auto" w:w="0"/>
        <w:jc w:val="center"/>
        <w:tblLayout w:type="autofit"/>
        <w:tblLook w:firstColumn="1" w:firstRow="1" w:lastColumn="0" w:lastRow="0" w:noHBand="0" w:noVBand="1" w:val="04A0"/>
      </w:tblPr>
      <w:tblGrid>
        <w:gridCol w:w="4816"/>
        <w:gridCol w:w="4816"/>
      </w:tblGrid>
      <w:tr>
        <w:tc>
          <w:tcPr>
            <w:tcW w:type="dxa" w:w="4816"/>
            <w:vAlign w:val="center"/>
            <w:shd w:fill="2F5597"/>
          </w:tcPr>
          <w:p>
            <w:pPr>
              <w:spacing w:after="0"/>
              <w:jc w:val="left"/>
            </w:pPr>
            <w:r/>
            <w:r>
              <w:rPr>
                <w:rFonts w:ascii="Arial" w:hAnsi="Arial"/>
                <w:b/>
                <w:color w:val="FFFFFF"/>
                <w:sz w:val="18"/>
              </w:rPr>
              <w:t>Entidad</w:t>
            </w:r>
          </w:p>
        </w:tc>
        <w:tc>
          <w:tcPr>
            <w:tcW w:type="dxa" w:w="4816"/>
            <w:vAlign w:val="center"/>
          </w:tcPr>
          <w:p>
            <w:pPr>
              <w:spacing w:after="0"/>
              <w:jc w:val="left"/>
            </w:pPr>
            <w:r/>
            <w:r>
              <w:rPr>
                <w:rFonts w:ascii="Arial" w:hAnsi="Arial"/>
                <w:b w:val="0"/>
                <w:sz w:val="18"/>
              </w:rPr>
              <w:t>Promueve Más S.A.S.</w:t>
            </w:r>
          </w:p>
        </w:tc>
      </w:tr>
      <w:tr>
        <w:tc>
          <w:tcPr>
            <w:tcW w:type="dxa" w:w="4816"/>
            <w:vAlign w:val="center"/>
            <w:shd w:fill="2F5597"/>
          </w:tcPr>
          <w:p>
            <w:pPr>
              <w:spacing w:after="0"/>
              <w:jc w:val="left"/>
            </w:pPr>
            <w:r/>
            <w:r>
              <w:rPr>
                <w:rFonts w:ascii="Arial" w:hAnsi="Arial"/>
                <w:b/>
                <w:color w:val="FFFFFF"/>
                <w:sz w:val="18"/>
              </w:rPr>
              <w:t>Plan objeto de seguimiento</w:t>
            </w:r>
          </w:p>
        </w:tc>
        <w:tc>
          <w:tcPr>
            <w:tcW w:type="dxa" w:w="4816"/>
            <w:vAlign w:val="center"/>
          </w:tcPr>
          <w:p>
            <w:pPr>
              <w:spacing w:after="0"/>
              <w:jc w:val="left"/>
            </w:pPr>
            <w:r/>
            <w:r>
              <w:rPr>
                <w:rFonts w:ascii="Arial" w:hAnsi="Arial"/>
                <w:b w:val="0"/>
                <w:sz w:val="18"/>
              </w:rPr>
              <w:t>Plan Estratégico de Tecnologías de la Información y las Comunicaciones – PETI 2026</w:t>
            </w:r>
          </w:p>
        </w:tc>
      </w:tr>
      <w:tr>
        <w:tc>
          <w:tcPr>
            <w:tcW w:type="dxa" w:w="4816"/>
            <w:vAlign w:val="center"/>
            <w:shd w:fill="2F5597"/>
          </w:tcPr>
          <w:p>
            <w:pPr>
              <w:spacing w:after="0"/>
              <w:jc w:val="left"/>
            </w:pPr>
            <w:r/>
            <w:r>
              <w:rPr>
                <w:rFonts w:ascii="Arial" w:hAnsi="Arial"/>
                <w:b/>
                <w:color w:val="FFFFFF"/>
                <w:sz w:val="18"/>
              </w:rPr>
              <w:t>Período evaluado</w:t>
            </w:r>
          </w:p>
        </w:tc>
        <w:tc>
          <w:tcPr>
            <w:tcW w:type="dxa" w:w="4816"/>
            <w:vAlign w:val="center"/>
          </w:tcPr>
          <w:p>
            <w:pPr>
              <w:spacing w:after="0"/>
              <w:jc w:val="left"/>
            </w:pPr>
            <w:r/>
            <w:r>
              <w:rPr>
                <w:rFonts w:ascii="Arial" w:hAnsi="Arial"/>
                <w:b w:val="0"/>
                <w:sz w:val="18"/>
              </w:rPr>
              <w:t>1 de enero al 30 de junio de 2026</w:t>
            </w:r>
          </w:p>
        </w:tc>
      </w:tr>
      <w:tr>
        <w:tc>
          <w:tcPr>
            <w:tcW w:type="dxa" w:w="4816"/>
            <w:vAlign w:val="center"/>
            <w:shd w:fill="2F5597"/>
          </w:tcPr>
          <w:p>
            <w:pPr>
              <w:spacing w:after="0"/>
              <w:jc w:val="left"/>
            </w:pPr>
            <w:r/>
            <w:r>
              <w:rPr>
                <w:rFonts w:ascii="Arial" w:hAnsi="Arial"/>
                <w:b/>
                <w:color w:val="FFFFFF"/>
                <w:sz w:val="18"/>
              </w:rPr>
              <w:t>Fecha del informe</w:t>
            </w:r>
          </w:p>
        </w:tc>
        <w:tc>
          <w:tcPr>
            <w:tcW w:type="dxa" w:w="4816"/>
            <w:vAlign w:val="center"/>
          </w:tcPr>
          <w:p>
            <w:pPr>
              <w:spacing w:after="0"/>
              <w:jc w:val="left"/>
            </w:pPr>
            <w:r/>
            <w:r>
              <w:rPr>
                <w:rFonts w:ascii="Arial" w:hAnsi="Arial"/>
                <w:b w:val="0"/>
                <w:sz w:val="18"/>
              </w:rPr>
              <w:t>Junio de 2026</w:t>
            </w:r>
          </w:p>
        </w:tc>
      </w:tr>
      <w:tr>
        <w:tc>
          <w:tcPr>
            <w:tcW w:type="dxa" w:w="4816"/>
            <w:vAlign w:val="center"/>
            <w:shd w:fill="2F5597"/>
          </w:tcPr>
          <w:p>
            <w:pPr>
              <w:spacing w:after="0"/>
              <w:jc w:val="left"/>
            </w:pPr>
            <w:r/>
            <w:r>
              <w:rPr>
                <w:rFonts w:ascii="Arial" w:hAnsi="Arial"/>
                <w:b/>
                <w:color w:val="FFFFFF"/>
                <w:sz w:val="18"/>
              </w:rPr>
              <w:t>Destinatario</w:t>
            </w:r>
          </w:p>
        </w:tc>
        <w:tc>
          <w:tcPr>
            <w:tcW w:type="dxa" w:w="4816"/>
            <w:vAlign w:val="center"/>
          </w:tcPr>
          <w:p>
            <w:pPr>
              <w:spacing w:after="0"/>
              <w:jc w:val="left"/>
            </w:pPr>
            <w:r/>
            <w:r>
              <w:rPr>
                <w:rFonts w:ascii="Arial" w:hAnsi="Arial"/>
                <w:b w:val="0"/>
                <w:sz w:val="18"/>
              </w:rPr>
              <w:t>Control Interno</w:t>
            </w:r>
          </w:p>
        </w:tc>
      </w:tr>
      <w:tr>
        <w:tc>
          <w:tcPr>
            <w:tcW w:type="dxa" w:w="4816"/>
            <w:vAlign w:val="center"/>
            <w:shd w:fill="2F5597"/>
          </w:tcPr>
          <w:p>
            <w:pPr>
              <w:spacing w:after="0"/>
              <w:jc w:val="left"/>
            </w:pPr>
            <w:r/>
            <w:r>
              <w:rPr>
                <w:rFonts w:ascii="Arial" w:hAnsi="Arial"/>
                <w:b/>
                <w:color w:val="FFFFFF"/>
                <w:sz w:val="18"/>
              </w:rPr>
              <w:t>Responsable de elaboración</w:t>
            </w:r>
          </w:p>
        </w:tc>
        <w:tc>
          <w:tcPr>
            <w:tcW w:type="dxa" w:w="4816"/>
            <w:vAlign w:val="center"/>
          </w:tcPr>
          <w:p>
            <w:pPr>
              <w:spacing w:after="0"/>
              <w:jc w:val="left"/>
            </w:pPr>
            <w:r/>
            <w:r>
              <w:rPr>
                <w:rFonts w:ascii="Arial" w:hAnsi="Arial"/>
                <w:b w:val="0"/>
                <w:sz w:val="18"/>
              </w:rPr>
              <w:t>Hamilton Quintero García – Técnico Administrativo y Financiero</w:t>
            </w:r>
          </w:p>
        </w:tc>
      </w:tr>
    </w:tbl>
    <w:p>
      <w:pPr>
        <w:pStyle w:val="Heading1"/>
      </w:pPr>
      <w:r>
        <w:t>1. INTRODUCCIÓN</w:t>
      </w:r>
    </w:p>
    <w:p>
      <w:pPr>
        <w:jc w:val="both"/>
      </w:pPr>
      <w:r>
        <w:rPr>
          <w:i w:val="0"/>
        </w:rPr>
        <w:t>La Dirección Administrativa y Financiera de Promueve Más S.A.S. elabora el presente Informe Semestral de Seguimiento al Plan Estratégico de Tecnologías de la Información y las Comunicaciones – PETI 2026, en cumplimiento de la actividad de seguimiento semestral incorporada en el propio plan y como mecanismo de evaluación, control y mejora de la gestión institucional en materia tecnológica.</w:t>
      </w:r>
    </w:p>
    <w:p>
      <w:pPr>
        <w:jc w:val="both"/>
      </w:pPr>
      <w:r>
        <w:rPr>
          <w:i w:val="0"/>
        </w:rPr>
        <w:t>El seguimiento permite verificar el nivel de ejecución de las actividades programadas, identificar logros, alertas, dependencias y acciones pendientes, así como suministrar a Control Interno información objetiva para el ejercicio de sus funciones de evaluación y seguimiento. El análisis se articula con los principios del Modelo Integrado de Planeación y Gestión – MIPG, la Política de Gobierno Digital y los lineamientos institucionales de seguridad y privacidad de la información.</w:t>
      </w:r>
    </w:p>
    <w:p>
      <w:pPr>
        <w:jc w:val="both"/>
      </w:pPr>
      <w:r>
        <w:rPr>
          <w:i w:val="0"/>
        </w:rPr>
        <w:t>En el presente informe se revisan los principales frentes del PETI: actualización y planeación estratégica, seguridad de la información, seguimiento a los servicios tecnológicos contratados, fortalecimiento de capacidades en seguridad digital y monitoreo del cumplimiento del plan. El resultado consolidado del primer semestre corresponde a cinco (5) hitos ejecutados de seis (6) programados, para un cumplimiento del 83,33%.</w:t>
      </w:r>
    </w:p>
    <w:p>
      <w:pPr>
        <w:pStyle w:val="Heading1"/>
      </w:pPr>
      <w:r>
        <w:t>2. OBJETIVO</w:t>
      </w:r>
    </w:p>
    <w:p>
      <w:pPr>
        <w:jc w:val="both"/>
      </w:pPr>
      <w:r>
        <w:rPr>
          <w:i w:val="0"/>
        </w:rPr>
        <w:t>Evaluar el avance y cumplimiento del Plan Estratégico de Tecnologías de la Información y las Comunicaciones – PETI de Promueve Más S.A.S. durante el primer semestre de 2026, documentando los resultados alcanzados, las evidencias disponibles, las situaciones pendientes y las recomendaciones requeridas para fortalecer su ejecución durante el segundo semestre.</w:t>
      </w:r>
    </w:p>
    <w:p>
      <w:pPr>
        <w:pStyle w:val="Heading1"/>
      </w:pPr>
      <w:r>
        <w:t>3. ALCANCE Y PERÍODO EVALUADO</w:t>
      </w:r>
    </w:p>
    <w:p>
      <w:pPr>
        <w:jc w:val="both"/>
      </w:pPr>
      <w:r>
        <w:rPr>
          <w:i w:val="0"/>
        </w:rPr>
        <w:t>El informe comprende las actividades e hitos del PETI programados entre el 1 de enero y el 30 de junio de 2026. La medición incluye el resultado del presente informe como hito ejecutado del cierre semestral. Las actividades previstas para el segundo semestre se presentan únicamente como referencia para la continuidad del plan.</w:t>
      </w:r>
    </w:p>
    <w:p>
      <w:pPr>
        <w:pStyle w:val="Heading1"/>
      </w:pPr>
      <w:r>
        <w:t>4. METODOLOGÍA DE SEGUIMIENTO</w:t>
      </w:r>
    </w:p>
    <w:p>
      <w:pPr>
        <w:jc w:val="both"/>
      </w:pPr>
      <w:r>
        <w:rPr>
          <w:i w:val="0"/>
        </w:rPr>
        <w:t>Para la elaboración del informe se aplicó una metodología de verificación documental y análisis de cumplimiento, compuesta por las siguientes etapas:</w:t>
      </w:r>
    </w:p>
    <w:p>
      <w:pPr>
        <w:pStyle w:val="ListBullet"/>
        <w:spacing w:after="80"/>
        <w:jc w:val="both"/>
      </w:pPr>
      <w:r>
        <w:t>Revisión del cronograma anual del PETI 2026 y de los hitos programados para el primer semestre.</w:t>
      </w:r>
    </w:p>
    <w:p>
      <w:pPr>
        <w:pStyle w:val="ListBullet"/>
        <w:spacing w:after="80"/>
        <w:jc w:val="both"/>
      </w:pPr>
      <w:r>
        <w:t>Validación del estado registrado para cada hito: ejecutado, pendiente o reprogramado.</w:t>
      </w:r>
    </w:p>
    <w:p>
      <w:pPr>
        <w:pStyle w:val="ListBullet"/>
        <w:spacing w:after="80"/>
        <w:jc w:val="both"/>
      </w:pPr>
      <w:r>
        <w:t>Revisión de las evidencias disponibles, entre ellas el PETI actualizado, la Política de Seguridad de la Información elaborada, las actas de seguimiento contractual de marzo y junio y las gestiones adelantadas ante MinTIC para la capacitación en seguridad digital.</w:t>
      </w:r>
    </w:p>
    <w:p>
      <w:pPr>
        <w:pStyle w:val="ListBullet"/>
        <w:spacing w:after="80"/>
        <w:jc w:val="both"/>
      </w:pPr>
      <w:r>
        <w:t>Cálculo de indicadores de cumplimiento semestral y avance anual.</w:t>
      </w:r>
    </w:p>
    <w:p>
      <w:pPr>
        <w:pStyle w:val="ListBullet"/>
        <w:spacing w:after="80"/>
        <w:jc w:val="both"/>
      </w:pPr>
      <w:r>
        <w:t>Identificación de alertas, dependencias externas y acciones de mejora para el segundo semestre.</w:t>
      </w:r>
    </w:p>
    <w:p>
      <w:pPr>
        <w:jc w:val="both"/>
      </w:pPr>
      <w:r>
        <w:rPr>
          <w:b/>
        </w:rPr>
        <w:t>Fórmula aplicada:</w:t>
      </w:r>
      <w:r>
        <w:t xml:space="preserve"> Cumplimiento semestral = (hitos ejecutados / hitos programados en el semestre) × 100. Resultado: (5 / 6) × 100 = 83,33%.</w:t>
      </w:r>
    </w:p>
    <w:p>
      <w:pPr>
        <w:pStyle w:val="Heading1"/>
      </w:pPr>
      <w:r>
        <w:t>5. ARTICULACIÓN CON LAS DIMENSIONES DE MIPG</w:t>
      </w:r>
    </w:p>
    <w:p>
      <w:pPr>
        <w:jc w:val="both"/>
      </w:pPr>
      <w:r>
        <w:rPr>
          <w:i w:val="0"/>
        </w:rPr>
        <w:t>De forma similar al enfoque utilizado en los informes institucionales de Control Interno, el seguimiento al PETI se relaciona con las siguientes dimensiones del Modelo Integrado de Planeación y Gestión:</w:t>
      </w:r>
    </w:p>
    <w:p>
      <w:pPr>
        <w:jc w:val="both"/>
      </w:pPr>
      <w:r>
        <w:rPr>
          <w:b/>
        </w:rPr>
        <w:t>Dimensión de Direccionamiento Estratégico y Planeación:</w:t>
      </w:r>
      <w:r>
        <w:t xml:space="preserve"> la actualización del PETI 2026 consolida la hoja de ruta tecnológica de la entidad y orienta la priorización de acciones de seguridad, continuidad, servicios tecnológicos y fortalecimiento institucional.</w:t>
      </w:r>
    </w:p>
    <w:p>
      <w:pPr>
        <w:jc w:val="both"/>
      </w:pPr>
      <w:r>
        <w:rPr>
          <w:b/>
        </w:rPr>
        <w:t>Dimensión de Gestión con Valores para Resultados:</w:t>
      </w:r>
      <w:r>
        <w:t xml:space="preserve"> el seguimiento al proveedor externo de hardware y software contribuye a asegurar la disponibilidad de los recursos tecnológicos requeridos para la operación y la atención de los grupos de valor.</w:t>
      </w:r>
    </w:p>
    <w:p>
      <w:pPr>
        <w:jc w:val="both"/>
      </w:pPr>
      <w:r>
        <w:rPr>
          <w:b/>
        </w:rPr>
        <w:t>Dimensión de Información y Comunicación:</w:t>
      </w:r>
      <w:r>
        <w:t xml:space="preserve"> la elaboración de la Política de Seguridad de la Información y la gestión de capacitación en seguridad digital fortalecen la protección, disponibilidad y uso adecuado de la información institucional.</w:t>
      </w:r>
    </w:p>
    <w:p>
      <w:pPr>
        <w:jc w:val="both"/>
      </w:pPr>
      <w:r>
        <w:rPr>
          <w:b/>
        </w:rPr>
        <w:t>Dimensión de Evaluación de Resultados:</w:t>
      </w:r>
      <w:r>
        <w:t xml:space="preserve"> el presente informe mide el avance del PETI, compara lo programado frente a lo ejecutado e identifica acciones correctivas y de continuidad.</w:t>
      </w:r>
    </w:p>
    <w:p>
      <w:pPr>
        <w:jc w:val="both"/>
      </w:pPr>
      <w:r>
        <w:rPr>
          <w:b/>
        </w:rPr>
        <w:t>Dimensión de Control Interno:</w:t>
      </w:r>
      <w:r>
        <w:t xml:space="preserve"> la documentación de evidencias, alertas y recomendaciones facilita el monitoreo preventivo, la trazabilidad y la toma de decisiones por parte de la Dirección Administrativa y Financiera, la Gerencia General y Control Interno.</w:t>
      </w:r>
    </w:p>
    <w:p>
      <w:r>
        <w:br w:type="page"/>
      </w:r>
    </w:p>
    <w:p>
      <w:pPr>
        <w:pStyle w:val="Heading1"/>
      </w:pPr>
      <w:r>
        <w:t>6. RESULTADOS DEL SEGUIMIENTO</w:t>
      </w:r>
    </w:p>
    <w:p>
      <w:pPr>
        <w:pStyle w:val="Heading2"/>
      </w:pPr>
      <w:r>
        <w:t>6.1 Resumen ejecutivo de cumplimiento</w:t>
      </w:r>
    </w:p>
    <w:tbl>
      <w:tblPr>
        <w:tblStyle w:val="TableGrid"/>
        <w:tblW w:type="auto" w:w="0"/>
        <w:jc w:val="center"/>
        <w:tblLayout w:type="autofit"/>
        <w:tblLook w:firstColumn="1" w:firstRow="1" w:lastColumn="0" w:lastRow="0" w:noHBand="0" w:noVBand="1" w:val="04A0"/>
      </w:tblPr>
      <w:tblGrid>
        <w:gridCol w:w="2408"/>
        <w:gridCol w:w="2408"/>
        <w:gridCol w:w="2408"/>
        <w:gridCol w:w="2408"/>
      </w:tblGrid>
      <w:tr>
        <w:trPr>
          <w:tblHeader w:val="true"/>
        </w:trPr>
        <w:tc>
          <w:tcPr>
            <w:tcW w:type="dxa" w:w="2408"/>
            <w:vAlign w:val="center"/>
            <w:shd w:fill="2F5597"/>
          </w:tcPr>
          <w:p>
            <w:pPr>
              <w:spacing w:after="0"/>
              <w:jc w:val="center"/>
            </w:pPr>
            <w:r/>
            <w:r>
              <w:rPr>
                <w:rFonts w:ascii="Arial" w:hAnsi="Arial"/>
                <w:b/>
                <w:color w:val="FFFFFF"/>
                <w:sz w:val="18"/>
              </w:rPr>
              <w:t>Indicador</w:t>
            </w:r>
          </w:p>
        </w:tc>
        <w:tc>
          <w:tcPr>
            <w:tcW w:type="dxa" w:w="2408"/>
            <w:vAlign w:val="center"/>
            <w:shd w:fill="2F5597"/>
          </w:tcPr>
          <w:p>
            <w:pPr>
              <w:spacing w:after="0"/>
              <w:jc w:val="center"/>
            </w:pPr>
            <w:r/>
            <w:r>
              <w:rPr>
                <w:rFonts w:ascii="Arial" w:hAnsi="Arial"/>
                <w:b/>
                <w:color w:val="FFFFFF"/>
                <w:sz w:val="18"/>
              </w:rPr>
              <w:t>Programado</w:t>
            </w:r>
          </w:p>
        </w:tc>
        <w:tc>
          <w:tcPr>
            <w:tcW w:type="dxa" w:w="2408"/>
            <w:vAlign w:val="center"/>
            <w:shd w:fill="2F5597"/>
          </w:tcPr>
          <w:p>
            <w:pPr>
              <w:spacing w:after="0"/>
              <w:jc w:val="center"/>
            </w:pPr>
            <w:r/>
            <w:r>
              <w:rPr>
                <w:rFonts w:ascii="Arial" w:hAnsi="Arial"/>
                <w:b/>
                <w:color w:val="FFFFFF"/>
                <w:sz w:val="18"/>
              </w:rPr>
              <w:t>Ejecutado</w:t>
            </w:r>
          </w:p>
        </w:tc>
        <w:tc>
          <w:tcPr>
            <w:tcW w:type="dxa" w:w="2408"/>
            <w:vAlign w:val="center"/>
            <w:shd w:fill="2F5597"/>
          </w:tcPr>
          <w:p>
            <w:pPr>
              <w:spacing w:after="0"/>
              <w:jc w:val="center"/>
            </w:pPr>
            <w:r/>
            <w:r>
              <w:rPr>
                <w:rFonts w:ascii="Arial" w:hAnsi="Arial"/>
                <w:b/>
                <w:color w:val="FFFFFF"/>
                <w:sz w:val="18"/>
              </w:rPr>
              <w:t>Resultado</w:t>
            </w:r>
          </w:p>
        </w:tc>
      </w:tr>
      <w:tr>
        <w:tc>
          <w:tcPr>
            <w:tcW w:type="dxa" w:w="2408"/>
            <w:vAlign w:val="center"/>
          </w:tcPr>
          <w:p>
            <w:pPr>
              <w:spacing w:after="0"/>
              <w:jc w:val="center"/>
            </w:pPr>
            <w:r/>
            <w:r>
              <w:rPr>
                <w:rFonts w:ascii="Arial" w:hAnsi="Arial"/>
                <w:b w:val="0"/>
                <w:sz w:val="18"/>
              </w:rPr>
              <w:t>Primer semestre 2026</w:t>
            </w:r>
          </w:p>
        </w:tc>
        <w:tc>
          <w:tcPr>
            <w:tcW w:type="dxa" w:w="2408"/>
            <w:vAlign w:val="center"/>
          </w:tcPr>
          <w:p>
            <w:pPr>
              <w:spacing w:after="0"/>
              <w:jc w:val="center"/>
            </w:pPr>
            <w:r/>
            <w:r>
              <w:rPr>
                <w:rFonts w:ascii="Arial" w:hAnsi="Arial"/>
                <w:b w:val="0"/>
                <w:sz w:val="18"/>
              </w:rPr>
              <w:t>6</w:t>
            </w:r>
          </w:p>
        </w:tc>
        <w:tc>
          <w:tcPr>
            <w:tcW w:type="dxa" w:w="2408"/>
            <w:vAlign w:val="center"/>
          </w:tcPr>
          <w:p>
            <w:pPr>
              <w:spacing w:after="0"/>
              <w:jc w:val="center"/>
            </w:pPr>
            <w:r/>
            <w:r>
              <w:rPr>
                <w:rFonts w:ascii="Arial" w:hAnsi="Arial"/>
                <w:b w:val="0"/>
                <w:sz w:val="18"/>
              </w:rPr>
              <w:t>5</w:t>
            </w:r>
          </w:p>
        </w:tc>
        <w:tc>
          <w:tcPr>
            <w:tcW w:type="dxa" w:w="2408"/>
            <w:vAlign w:val="center"/>
          </w:tcPr>
          <w:p>
            <w:pPr>
              <w:spacing w:after="0"/>
              <w:jc w:val="center"/>
            </w:pPr>
            <w:r/>
            <w:r>
              <w:rPr>
                <w:rFonts w:ascii="Arial" w:hAnsi="Arial"/>
                <w:b/>
                <w:sz w:val="18"/>
              </w:rPr>
              <w:t>83,33%</w:t>
            </w:r>
          </w:p>
        </w:tc>
      </w:tr>
      <w:tr>
        <w:tc>
          <w:tcPr>
            <w:tcW w:type="dxa" w:w="2408"/>
            <w:vAlign w:val="center"/>
          </w:tcPr>
          <w:p>
            <w:pPr>
              <w:spacing w:after="0"/>
              <w:jc w:val="center"/>
            </w:pPr>
            <w:r/>
            <w:r>
              <w:rPr>
                <w:rFonts w:ascii="Arial" w:hAnsi="Arial"/>
                <w:b w:val="0"/>
                <w:sz w:val="18"/>
              </w:rPr>
              <w:t>Segundo semestre 2026</w:t>
            </w:r>
          </w:p>
        </w:tc>
        <w:tc>
          <w:tcPr>
            <w:tcW w:type="dxa" w:w="2408"/>
            <w:vAlign w:val="center"/>
          </w:tcPr>
          <w:p>
            <w:pPr>
              <w:spacing w:after="0"/>
              <w:jc w:val="center"/>
            </w:pPr>
            <w:r/>
            <w:r>
              <w:rPr>
                <w:rFonts w:ascii="Arial" w:hAnsi="Arial"/>
                <w:b w:val="0"/>
                <w:sz w:val="18"/>
              </w:rPr>
              <w:t>6</w:t>
            </w:r>
          </w:p>
        </w:tc>
        <w:tc>
          <w:tcPr>
            <w:tcW w:type="dxa" w:w="2408"/>
            <w:vAlign w:val="center"/>
          </w:tcPr>
          <w:p>
            <w:pPr>
              <w:spacing w:after="0"/>
              <w:jc w:val="center"/>
            </w:pPr>
            <w:r/>
            <w:r>
              <w:rPr>
                <w:rFonts w:ascii="Arial" w:hAnsi="Arial"/>
                <w:b w:val="0"/>
                <w:sz w:val="18"/>
              </w:rPr>
              <w:t>0 al corte</w:t>
            </w:r>
          </w:p>
        </w:tc>
        <w:tc>
          <w:tcPr>
            <w:tcW w:type="dxa" w:w="2408"/>
            <w:vAlign w:val="center"/>
          </w:tcPr>
          <w:p>
            <w:pPr>
              <w:spacing w:after="0"/>
              <w:jc w:val="center"/>
            </w:pPr>
            <w:r/>
            <w:r>
              <w:rPr>
                <w:rFonts w:ascii="Arial" w:hAnsi="Arial"/>
                <w:b/>
                <w:sz w:val="18"/>
              </w:rPr>
              <w:t>0,00%</w:t>
            </w:r>
          </w:p>
        </w:tc>
      </w:tr>
      <w:tr>
        <w:tc>
          <w:tcPr>
            <w:tcW w:type="dxa" w:w="2408"/>
            <w:vAlign w:val="center"/>
          </w:tcPr>
          <w:p>
            <w:pPr>
              <w:spacing w:after="0"/>
              <w:jc w:val="center"/>
            </w:pPr>
            <w:r/>
            <w:r>
              <w:rPr>
                <w:rFonts w:ascii="Arial" w:hAnsi="Arial"/>
                <w:b w:val="0"/>
                <w:sz w:val="18"/>
              </w:rPr>
              <w:t>Total anual PETI 2026</w:t>
            </w:r>
          </w:p>
        </w:tc>
        <w:tc>
          <w:tcPr>
            <w:tcW w:type="dxa" w:w="2408"/>
            <w:vAlign w:val="center"/>
          </w:tcPr>
          <w:p>
            <w:pPr>
              <w:spacing w:after="0"/>
              <w:jc w:val="center"/>
            </w:pPr>
            <w:r/>
            <w:r>
              <w:rPr>
                <w:rFonts w:ascii="Arial" w:hAnsi="Arial"/>
                <w:b w:val="0"/>
                <w:sz w:val="18"/>
              </w:rPr>
              <w:t>12</w:t>
            </w:r>
          </w:p>
        </w:tc>
        <w:tc>
          <w:tcPr>
            <w:tcW w:type="dxa" w:w="2408"/>
            <w:vAlign w:val="center"/>
          </w:tcPr>
          <w:p>
            <w:pPr>
              <w:spacing w:after="0"/>
              <w:jc w:val="center"/>
            </w:pPr>
            <w:r/>
            <w:r>
              <w:rPr>
                <w:rFonts w:ascii="Arial" w:hAnsi="Arial"/>
                <w:b w:val="0"/>
                <w:sz w:val="18"/>
              </w:rPr>
              <w:t>5</w:t>
            </w:r>
          </w:p>
        </w:tc>
        <w:tc>
          <w:tcPr>
            <w:tcW w:type="dxa" w:w="2408"/>
            <w:vAlign w:val="center"/>
          </w:tcPr>
          <w:p>
            <w:pPr>
              <w:spacing w:after="0"/>
              <w:jc w:val="center"/>
            </w:pPr>
            <w:r/>
            <w:r>
              <w:rPr>
                <w:rFonts w:ascii="Arial" w:hAnsi="Arial"/>
                <w:b/>
                <w:sz w:val="18"/>
              </w:rPr>
              <w:t>41,67%</w:t>
            </w:r>
          </w:p>
        </w:tc>
      </w:tr>
      <w:tr>
        <w:tc>
          <w:tcPr>
            <w:tcW w:type="dxa" w:w="2408"/>
            <w:vAlign w:val="center"/>
          </w:tcPr>
          <w:p>
            <w:pPr>
              <w:spacing w:after="0"/>
              <w:jc w:val="center"/>
            </w:pPr>
            <w:r/>
            <w:r>
              <w:rPr>
                <w:rFonts w:ascii="Arial" w:hAnsi="Arial"/>
                <w:b w:val="0"/>
                <w:sz w:val="18"/>
              </w:rPr>
              <w:t>Reprogramadas</w:t>
            </w:r>
          </w:p>
        </w:tc>
        <w:tc>
          <w:tcPr>
            <w:tcW w:type="dxa" w:w="2408"/>
            <w:vAlign w:val="center"/>
          </w:tcPr>
          <w:p>
            <w:pPr>
              <w:spacing w:after="0"/>
              <w:jc w:val="center"/>
            </w:pPr>
            <w:r/>
            <w:r>
              <w:rPr>
                <w:rFonts w:ascii="Arial" w:hAnsi="Arial"/>
                <w:b w:val="0"/>
                <w:sz w:val="18"/>
              </w:rPr>
              <w:t>0</w:t>
            </w:r>
          </w:p>
        </w:tc>
        <w:tc>
          <w:tcPr>
            <w:tcW w:type="dxa" w:w="2408"/>
            <w:vAlign w:val="center"/>
          </w:tcPr>
          <w:p>
            <w:pPr>
              <w:spacing w:after="0"/>
              <w:jc w:val="center"/>
            </w:pPr>
            <w:r/>
            <w:r>
              <w:rPr>
                <w:rFonts w:ascii="Arial" w:hAnsi="Arial"/>
                <w:b w:val="0"/>
                <w:sz w:val="18"/>
              </w:rPr>
              <w:t>0</w:t>
            </w:r>
          </w:p>
        </w:tc>
        <w:tc>
          <w:tcPr>
            <w:tcW w:type="dxa" w:w="2408"/>
            <w:vAlign w:val="center"/>
          </w:tcPr>
          <w:p>
            <w:pPr>
              <w:spacing w:after="0"/>
              <w:jc w:val="center"/>
            </w:pPr>
            <w:r/>
            <w:r>
              <w:rPr>
                <w:rFonts w:ascii="Arial" w:hAnsi="Arial"/>
                <w:b/>
                <w:sz w:val="18"/>
              </w:rPr>
              <w:t>0,00%</w:t>
            </w:r>
          </w:p>
        </w:tc>
      </w:tr>
    </w:tbl>
    <w:p>
      <w:pPr>
        <w:jc w:val="center"/>
      </w:pPr>
      <w:r>
        <w:drawing>
          <wp:inline xmlns:a="http://schemas.openxmlformats.org/drawingml/2006/main" xmlns:pic="http://schemas.openxmlformats.org/drawingml/2006/picture">
            <wp:extent cx="5303520" cy="3833153"/>
            <wp:docPr id="1" name="Picture 1"/>
            <wp:cNvGraphicFramePr>
              <a:graphicFrameLocks noChangeAspect="1"/>
            </wp:cNvGraphicFramePr>
            <a:graphic>
              <a:graphicData uri="http://schemas.openxmlformats.org/drawingml/2006/picture">
                <pic:pic>
                  <pic:nvPicPr>
                    <pic:cNvPr id="0" name="01_cumplimiento_semestre.png"/>
                    <pic:cNvPicPr/>
                  </pic:nvPicPr>
                  <pic:blipFill>
                    <a:blip r:embed="rId11"/>
                    <a:stretch>
                      <a:fillRect/>
                    </a:stretch>
                  </pic:blipFill>
                  <pic:spPr>
                    <a:xfrm>
                      <a:off x="0" y="0"/>
                      <a:ext cx="5303520" cy="3833153"/>
                    </a:xfrm>
                    <a:prstGeom prst="rect"/>
                  </pic:spPr>
                </pic:pic>
              </a:graphicData>
            </a:graphic>
          </wp:inline>
        </w:drawing>
      </w:r>
    </w:p>
    <w:p>
      <w:pPr>
        <w:spacing w:after="160"/>
        <w:jc w:val="center"/>
      </w:pPr>
      <w:r>
        <w:rPr>
          <w:i/>
          <w:color w:val="595959"/>
          <w:sz w:val="16"/>
        </w:rPr>
        <w:t>Gráfica 1. Cumplimiento de los hitos programados para el primer semestre de 2026.</w:t>
      </w:r>
    </w:p>
    <w:p>
      <w:pPr>
        <w:jc w:val="both"/>
      </w:pPr>
      <w:r>
        <w:rPr>
          <w:i w:val="0"/>
        </w:rPr>
        <w:t>El resultado del 83,33% evidencia un nivel de ejecución favorable. El único hito no ejecutado corresponde a la capacitación en seguridad digital, cuya programación depende de la confirmación de fecha por parte de MinTIC. No se registran actividades reprogramadas al corte.</w:t>
      </w:r>
    </w:p>
    <w:p>
      <w:pPr>
        <w:pStyle w:val="Heading2"/>
      </w:pPr>
      <w:r>
        <w:t>6.2 Comportamiento mensual</w:t>
      </w:r>
    </w:p>
    <w:p>
      <w:pPr>
        <w:jc w:val="center"/>
      </w:pPr>
      <w:r>
        <w:drawing>
          <wp:inline xmlns:a="http://schemas.openxmlformats.org/drawingml/2006/main" xmlns:pic="http://schemas.openxmlformats.org/drawingml/2006/picture">
            <wp:extent cx="6217920" cy="3218046"/>
            <wp:docPr id="2" name="Picture 2"/>
            <wp:cNvGraphicFramePr>
              <a:graphicFrameLocks noChangeAspect="1"/>
            </wp:cNvGraphicFramePr>
            <a:graphic>
              <a:graphicData uri="http://schemas.openxmlformats.org/drawingml/2006/picture">
                <pic:pic>
                  <pic:nvPicPr>
                    <pic:cNvPr id="0" name="02_programado_ejecutado_mes.png"/>
                    <pic:cNvPicPr/>
                  </pic:nvPicPr>
                  <pic:blipFill>
                    <a:blip r:embed="rId12"/>
                    <a:stretch>
                      <a:fillRect/>
                    </a:stretch>
                  </pic:blipFill>
                  <pic:spPr>
                    <a:xfrm>
                      <a:off x="0" y="0"/>
                      <a:ext cx="6217920" cy="3218046"/>
                    </a:xfrm>
                    <a:prstGeom prst="rect"/>
                  </pic:spPr>
                </pic:pic>
              </a:graphicData>
            </a:graphic>
          </wp:inline>
        </w:drawing>
      </w:r>
    </w:p>
    <w:p>
      <w:pPr>
        <w:spacing w:after="160"/>
        <w:jc w:val="center"/>
      </w:pPr>
      <w:r>
        <w:rPr>
          <w:i/>
          <w:color w:val="595959"/>
          <w:sz w:val="16"/>
        </w:rPr>
        <w:t>Gráfica 2. Comparación mensual de hitos programados y ejecutados durante el primer semestre.</w:t>
      </w:r>
    </w:p>
    <w:p>
      <w:pPr>
        <w:jc w:val="both"/>
      </w:pPr>
      <w:r>
        <w:rPr>
          <w:i w:val="0"/>
        </w:rPr>
        <w:t>Durante febrero y marzo se alcanzó el 100% de los hitos programados para cada mes. En junio se programaron cuatro (4) hitos y se ejecutaron tres (3), equivalentes al 75% mensual. La diferencia corresponde a la capacitación en seguridad digital pendiente de confirmación por MinTIC.</w:t>
      </w:r>
    </w:p>
    <w:p>
      <w:pPr>
        <w:pStyle w:val="Heading2"/>
      </w:pPr>
      <w:r>
        <w:t>6.3 Avance acumulado anual</w:t>
      </w:r>
    </w:p>
    <w:p>
      <w:pPr>
        <w:jc w:val="center"/>
      </w:pPr>
      <w:r>
        <w:drawing>
          <wp:inline xmlns:a="http://schemas.openxmlformats.org/drawingml/2006/main" xmlns:pic="http://schemas.openxmlformats.org/drawingml/2006/picture">
            <wp:extent cx="6217920" cy="1901664"/>
            <wp:docPr id="3" name="Picture 3"/>
            <wp:cNvGraphicFramePr>
              <a:graphicFrameLocks noChangeAspect="1"/>
            </wp:cNvGraphicFramePr>
            <a:graphic>
              <a:graphicData uri="http://schemas.openxmlformats.org/drawingml/2006/picture">
                <pic:pic>
                  <pic:nvPicPr>
                    <pic:cNvPr id="0" name="03_avance_anual.png"/>
                    <pic:cNvPicPr/>
                  </pic:nvPicPr>
                  <pic:blipFill>
                    <a:blip r:embed="rId13"/>
                    <a:stretch>
                      <a:fillRect/>
                    </a:stretch>
                  </pic:blipFill>
                  <pic:spPr>
                    <a:xfrm>
                      <a:off x="0" y="0"/>
                      <a:ext cx="6217920" cy="1901664"/>
                    </a:xfrm>
                    <a:prstGeom prst="rect"/>
                  </pic:spPr>
                </pic:pic>
              </a:graphicData>
            </a:graphic>
          </wp:inline>
        </w:drawing>
      </w:r>
    </w:p>
    <w:p>
      <w:pPr>
        <w:spacing w:after="160"/>
        <w:jc w:val="center"/>
      </w:pPr>
      <w:r>
        <w:rPr>
          <w:i/>
          <w:color w:val="595959"/>
          <w:sz w:val="16"/>
        </w:rPr>
        <w:t>Gráfica 3. Avance acumulado frente a los doce (12) hitos previstos para la vigencia 2026.</w:t>
      </w:r>
    </w:p>
    <w:p>
      <w:pPr>
        <w:jc w:val="both"/>
      </w:pPr>
      <w:r>
        <w:rPr>
          <w:i w:val="0"/>
        </w:rPr>
        <w:t>Al cierre del primer semestre, el avance anual del PETI es del 41,67%, con cinco (5) hitos ejecutados de doce (12) previstos. Este resultado debe interpretarse junto con la distribución del cronograma: seis (6) hitos se encuentran programados para el segundo semestre, además de la gestión del hito pendiente de capacitación.</w:t>
      </w:r>
    </w:p>
    <w:p>
      <w:pPr>
        <w:pStyle w:val="Heading2"/>
      </w:pPr>
      <w:r>
        <w:t>6.4 Cumplimiento por componente</w:t>
      </w:r>
    </w:p>
    <w:p>
      <w:pPr>
        <w:jc w:val="center"/>
      </w:pPr>
      <w:r>
        <w:drawing>
          <wp:inline xmlns:a="http://schemas.openxmlformats.org/drawingml/2006/main" xmlns:pic="http://schemas.openxmlformats.org/drawingml/2006/picture">
            <wp:extent cx="6217920" cy="3321164"/>
            <wp:docPr id="4" name="Picture 4"/>
            <wp:cNvGraphicFramePr>
              <a:graphicFrameLocks noChangeAspect="1"/>
            </wp:cNvGraphicFramePr>
            <a:graphic>
              <a:graphicData uri="http://schemas.openxmlformats.org/drawingml/2006/picture">
                <pic:pic>
                  <pic:nvPicPr>
                    <pic:cNvPr id="0" name="04_cumplimiento_componentes.png"/>
                    <pic:cNvPicPr/>
                  </pic:nvPicPr>
                  <pic:blipFill>
                    <a:blip r:embed="rId14"/>
                    <a:stretch>
                      <a:fillRect/>
                    </a:stretch>
                  </pic:blipFill>
                  <pic:spPr>
                    <a:xfrm>
                      <a:off x="0" y="0"/>
                      <a:ext cx="6217920" cy="3321164"/>
                    </a:xfrm>
                    <a:prstGeom prst="rect"/>
                  </pic:spPr>
                </pic:pic>
              </a:graphicData>
            </a:graphic>
          </wp:inline>
        </w:drawing>
      </w:r>
    </w:p>
    <w:p>
      <w:pPr>
        <w:spacing w:after="160"/>
        <w:jc w:val="center"/>
      </w:pPr>
      <w:r>
        <w:rPr>
          <w:i/>
          <w:color w:val="595959"/>
          <w:sz w:val="16"/>
        </w:rPr>
        <w:t>Gráfica 4. Estado de los componentes con programación durante el primer semestre.</w:t>
      </w:r>
    </w:p>
    <w:p>
      <w:pPr>
        <w:jc w:val="both"/>
      </w:pPr>
      <w:r>
        <w:rPr>
          <w:i w:val="0"/>
        </w:rPr>
        <w:t>Los componentes de planeación, seguimiento contractual y monitoreo del PETI presentan cumplimiento. La Política de Seguridad de la Información fue elaborada técnicamente y se encuentra pendiente de aprobación mediante acto administrativo; por tanto, aunque se reconoce como producto elaborado en la medición operativa, su cierre administrativo deberá verificarse en el segundo semestre. La capacitación en seguridad digital continúa pendiente por dependencia externa.</w:t>
      </w:r>
    </w:p>
    <w:p>
      <w:pPr>
        <w:sectPr>
          <w:headerReference w:type="default" r:id="rId9"/>
          <w:footerReference w:type="default" r:id="rId10"/>
          <w:pgSz w:w="12240" w:h="15840"/>
          <w:pgMar w:top="1134" w:right="1304" w:bottom="1020" w:left="1304" w:header="454" w:footer="454" w:gutter="0"/>
          <w:cols w:space="720"/>
          <w:docGrid w:linePitch="360"/>
        </w:sectPr>
      </w:pPr>
    </w:p>
    <w:p>
      <w:pPr>
        <w:pStyle w:val="Heading1"/>
      </w:pPr>
      <w:r>
        <w:t>7. SEGUIMIENTO DETALLADO DE LOS HITOS DEL PRIMER SEMESTRE</w:t>
      </w:r>
    </w:p>
    <w:tbl>
      <w:tblPr>
        <w:tblStyle w:val="TableGrid"/>
        <w:tblW w:type="auto" w:w="0"/>
        <w:jc w:val="center"/>
        <w:tblLayout w:type="autofit"/>
        <w:tblLook w:firstColumn="1" w:firstRow="1" w:lastColumn="0" w:lastRow="0" w:noHBand="0" w:noVBand="1" w:val="04A0"/>
      </w:tblPr>
      <w:tblGrid>
        <w:gridCol w:w="2036"/>
        <w:gridCol w:w="2036"/>
        <w:gridCol w:w="2036"/>
        <w:gridCol w:w="2036"/>
        <w:gridCol w:w="2036"/>
        <w:gridCol w:w="2036"/>
        <w:gridCol w:w="2036"/>
      </w:tblGrid>
      <w:tr>
        <w:trPr>
          <w:tblHeader w:val="true"/>
        </w:trPr>
        <w:tc>
          <w:tcPr>
            <w:tcW w:type="dxa" w:w="2036"/>
            <w:vAlign w:val="center"/>
            <w:shd w:fill="2F5597"/>
          </w:tcPr>
          <w:p>
            <w:pPr>
              <w:spacing w:after="0"/>
              <w:jc w:val="center"/>
            </w:pPr>
            <w:r/>
            <w:r>
              <w:rPr>
                <w:rFonts w:ascii="Arial" w:hAnsi="Arial"/>
                <w:b/>
                <w:color w:val="FFFFFF"/>
                <w:sz w:val="16"/>
              </w:rPr>
              <w:t>N°</w:t>
            </w:r>
          </w:p>
        </w:tc>
        <w:tc>
          <w:tcPr>
            <w:tcW w:type="dxa" w:w="2036"/>
            <w:vAlign w:val="center"/>
            <w:shd w:fill="2F5597"/>
          </w:tcPr>
          <w:p>
            <w:pPr>
              <w:spacing w:after="0"/>
              <w:jc w:val="center"/>
            </w:pPr>
            <w:r/>
            <w:r>
              <w:rPr>
                <w:rFonts w:ascii="Arial" w:hAnsi="Arial"/>
                <w:b/>
                <w:color w:val="FFFFFF"/>
                <w:sz w:val="16"/>
              </w:rPr>
              <w:t>Hito / actividad</w:t>
            </w:r>
          </w:p>
        </w:tc>
        <w:tc>
          <w:tcPr>
            <w:tcW w:type="dxa" w:w="2036"/>
            <w:vAlign w:val="center"/>
            <w:shd w:fill="2F5597"/>
          </w:tcPr>
          <w:p>
            <w:pPr>
              <w:spacing w:after="0"/>
              <w:jc w:val="center"/>
            </w:pPr>
            <w:r/>
            <w:r>
              <w:rPr>
                <w:rFonts w:ascii="Arial" w:hAnsi="Arial"/>
                <w:b/>
                <w:color w:val="FFFFFF"/>
                <w:sz w:val="16"/>
              </w:rPr>
              <w:t>Meta o indicador</w:t>
            </w:r>
          </w:p>
        </w:tc>
        <w:tc>
          <w:tcPr>
            <w:tcW w:type="dxa" w:w="2036"/>
            <w:vAlign w:val="center"/>
            <w:shd w:fill="2F5597"/>
          </w:tcPr>
          <w:p>
            <w:pPr>
              <w:spacing w:after="0"/>
              <w:jc w:val="center"/>
            </w:pPr>
            <w:r/>
            <w:r>
              <w:rPr>
                <w:rFonts w:ascii="Arial" w:hAnsi="Arial"/>
                <w:b/>
                <w:color w:val="FFFFFF"/>
                <w:sz w:val="16"/>
              </w:rPr>
              <w:t>Mes</w:t>
            </w:r>
          </w:p>
        </w:tc>
        <w:tc>
          <w:tcPr>
            <w:tcW w:type="dxa" w:w="2036"/>
            <w:vAlign w:val="center"/>
            <w:shd w:fill="2F5597"/>
          </w:tcPr>
          <w:p>
            <w:pPr>
              <w:spacing w:after="0"/>
              <w:jc w:val="center"/>
            </w:pPr>
            <w:r/>
            <w:r>
              <w:rPr>
                <w:rFonts w:ascii="Arial" w:hAnsi="Arial"/>
                <w:b/>
                <w:color w:val="FFFFFF"/>
                <w:sz w:val="16"/>
              </w:rPr>
              <w:t>Estado</w:t>
            </w:r>
          </w:p>
        </w:tc>
        <w:tc>
          <w:tcPr>
            <w:tcW w:type="dxa" w:w="2036"/>
            <w:vAlign w:val="center"/>
            <w:shd w:fill="2F5597"/>
          </w:tcPr>
          <w:p>
            <w:pPr>
              <w:spacing w:after="0"/>
              <w:jc w:val="center"/>
            </w:pPr>
            <w:r/>
            <w:r>
              <w:rPr>
                <w:rFonts w:ascii="Arial" w:hAnsi="Arial"/>
                <w:b/>
                <w:color w:val="FFFFFF"/>
                <w:sz w:val="16"/>
              </w:rPr>
              <w:t>Evidencia / avance</w:t>
            </w:r>
          </w:p>
        </w:tc>
        <w:tc>
          <w:tcPr>
            <w:tcW w:type="dxa" w:w="2036"/>
            <w:vAlign w:val="center"/>
            <w:shd w:fill="2F5597"/>
          </w:tcPr>
          <w:p>
            <w:pPr>
              <w:spacing w:after="0"/>
              <w:jc w:val="center"/>
            </w:pPr>
            <w:r/>
            <w:r>
              <w:rPr>
                <w:rFonts w:ascii="Arial" w:hAnsi="Arial"/>
                <w:b/>
                <w:color w:val="FFFFFF"/>
                <w:sz w:val="16"/>
              </w:rPr>
              <w:t>Observación de seguimiento</w:t>
            </w:r>
          </w:p>
        </w:tc>
      </w:tr>
      <w:tr>
        <w:tc>
          <w:tcPr>
            <w:tcW w:type="dxa" w:w="2036"/>
            <w:vAlign w:val="center"/>
          </w:tcPr>
          <w:p>
            <w:pPr>
              <w:spacing w:after="0"/>
              <w:jc w:val="center"/>
            </w:pPr>
            <w:r/>
            <w:r>
              <w:rPr>
                <w:rFonts w:ascii="Arial" w:hAnsi="Arial"/>
                <w:b w:val="0"/>
                <w:sz w:val="14"/>
              </w:rPr>
              <w:t>1</w:t>
            </w:r>
          </w:p>
        </w:tc>
        <w:tc>
          <w:tcPr>
            <w:tcW w:type="dxa" w:w="2036"/>
            <w:vAlign w:val="center"/>
          </w:tcPr>
          <w:p>
            <w:pPr>
              <w:spacing w:after="0"/>
              <w:jc w:val="left"/>
            </w:pPr>
            <w:r/>
            <w:r>
              <w:rPr>
                <w:rFonts w:ascii="Arial" w:hAnsi="Arial"/>
                <w:b w:val="0"/>
                <w:sz w:val="14"/>
              </w:rPr>
              <w:t>Actualización del PETI para la vigencia 2026</w:t>
            </w:r>
          </w:p>
        </w:tc>
        <w:tc>
          <w:tcPr>
            <w:tcW w:type="dxa" w:w="2036"/>
            <w:vAlign w:val="center"/>
          </w:tcPr>
          <w:p>
            <w:pPr>
              <w:spacing w:after="0"/>
              <w:jc w:val="left"/>
            </w:pPr>
            <w:r/>
            <w:r>
              <w:rPr>
                <w:rFonts w:ascii="Arial" w:hAnsi="Arial"/>
                <w:b w:val="0"/>
                <w:sz w:val="14"/>
              </w:rPr>
              <w:t>PETI actualizado y aprobado</w:t>
            </w:r>
          </w:p>
        </w:tc>
        <w:tc>
          <w:tcPr>
            <w:tcW w:type="dxa" w:w="2036"/>
            <w:vAlign w:val="center"/>
          </w:tcPr>
          <w:p>
            <w:pPr>
              <w:spacing w:after="0"/>
              <w:jc w:val="center"/>
            </w:pPr>
            <w:r/>
            <w:r>
              <w:rPr>
                <w:rFonts w:ascii="Arial" w:hAnsi="Arial"/>
                <w:b w:val="0"/>
                <w:sz w:val="14"/>
              </w:rPr>
              <w:t>Febrero</w:t>
            </w:r>
          </w:p>
        </w:tc>
        <w:tc>
          <w:tcPr>
            <w:tcW w:type="dxa" w:w="2036"/>
            <w:vAlign w:val="center"/>
            <w:shd w:fill="C6E0B4"/>
          </w:tcPr>
          <w:p>
            <w:pPr>
              <w:spacing w:after="0"/>
              <w:jc w:val="center"/>
            </w:pPr>
            <w:r/>
            <w:r>
              <w:rPr>
                <w:rFonts w:ascii="Arial" w:hAnsi="Arial"/>
                <w:b/>
                <w:sz w:val="14"/>
              </w:rPr>
              <w:t>Ejecutado</w:t>
            </w:r>
          </w:p>
        </w:tc>
        <w:tc>
          <w:tcPr>
            <w:tcW w:type="dxa" w:w="2036"/>
            <w:vAlign w:val="center"/>
          </w:tcPr>
          <w:p>
            <w:pPr>
              <w:spacing w:after="0"/>
              <w:jc w:val="left"/>
            </w:pPr>
            <w:r/>
            <w:r>
              <w:rPr>
                <w:rFonts w:ascii="Arial" w:hAnsi="Arial"/>
                <w:b w:val="0"/>
                <w:sz w:val="14"/>
              </w:rPr>
              <w:t>Documento PETI 2026 actualizado.</w:t>
            </w:r>
          </w:p>
        </w:tc>
        <w:tc>
          <w:tcPr>
            <w:tcW w:type="dxa" w:w="2036"/>
            <w:vAlign w:val="center"/>
          </w:tcPr>
          <w:p>
            <w:pPr>
              <w:spacing w:after="0"/>
              <w:jc w:val="left"/>
            </w:pPr>
            <w:r/>
            <w:r>
              <w:rPr>
                <w:rFonts w:ascii="Arial" w:hAnsi="Arial"/>
                <w:b w:val="0"/>
                <w:sz w:val="14"/>
              </w:rPr>
              <w:t>Actividad cumplida dentro del período programado.</w:t>
            </w:r>
          </w:p>
        </w:tc>
      </w:tr>
      <w:tr>
        <w:tc>
          <w:tcPr>
            <w:tcW w:type="dxa" w:w="2036"/>
            <w:vAlign w:val="center"/>
          </w:tcPr>
          <w:p>
            <w:pPr>
              <w:spacing w:after="0"/>
              <w:jc w:val="center"/>
            </w:pPr>
            <w:r/>
            <w:r>
              <w:rPr>
                <w:rFonts w:ascii="Arial" w:hAnsi="Arial"/>
                <w:b w:val="0"/>
                <w:sz w:val="14"/>
              </w:rPr>
              <w:t>2</w:t>
            </w:r>
          </w:p>
        </w:tc>
        <w:tc>
          <w:tcPr>
            <w:tcW w:type="dxa" w:w="2036"/>
            <w:vAlign w:val="center"/>
          </w:tcPr>
          <w:p>
            <w:pPr>
              <w:spacing w:after="0"/>
              <w:jc w:val="left"/>
            </w:pPr>
            <w:r/>
            <w:r>
              <w:rPr>
                <w:rFonts w:ascii="Arial" w:hAnsi="Arial"/>
                <w:b w:val="0"/>
                <w:sz w:val="14"/>
              </w:rPr>
              <w:t>Definir la Política de Seguridad de la Información y protocolos institucionales</w:t>
            </w:r>
          </w:p>
        </w:tc>
        <w:tc>
          <w:tcPr>
            <w:tcW w:type="dxa" w:w="2036"/>
            <w:vAlign w:val="center"/>
          </w:tcPr>
          <w:p>
            <w:pPr>
              <w:spacing w:after="0"/>
              <w:jc w:val="left"/>
            </w:pPr>
            <w:r/>
            <w:r>
              <w:rPr>
                <w:rFonts w:ascii="Arial" w:hAnsi="Arial"/>
                <w:b w:val="0"/>
                <w:sz w:val="14"/>
              </w:rPr>
              <w:t>Política elaborada; indicador final: acto administrativo de aprobación y adopción</w:t>
            </w:r>
          </w:p>
        </w:tc>
        <w:tc>
          <w:tcPr>
            <w:tcW w:type="dxa" w:w="2036"/>
            <w:vAlign w:val="center"/>
          </w:tcPr>
          <w:p>
            <w:pPr>
              <w:spacing w:after="0"/>
              <w:jc w:val="center"/>
            </w:pPr>
            <w:r/>
            <w:r>
              <w:rPr>
                <w:rFonts w:ascii="Arial" w:hAnsi="Arial"/>
                <w:b w:val="0"/>
                <w:sz w:val="14"/>
              </w:rPr>
              <w:t>Junio</w:t>
            </w:r>
          </w:p>
        </w:tc>
        <w:tc>
          <w:tcPr>
            <w:tcW w:type="dxa" w:w="2036"/>
            <w:vAlign w:val="center"/>
            <w:shd w:fill="C6E0B4"/>
          </w:tcPr>
          <w:p>
            <w:pPr>
              <w:spacing w:after="0"/>
              <w:jc w:val="center"/>
            </w:pPr>
            <w:r/>
            <w:r>
              <w:rPr>
                <w:rFonts w:ascii="Arial" w:hAnsi="Arial"/>
                <w:b/>
                <w:sz w:val="14"/>
              </w:rPr>
              <w:t>Ejecutado con cierre pendiente</w:t>
            </w:r>
          </w:p>
        </w:tc>
        <w:tc>
          <w:tcPr>
            <w:tcW w:type="dxa" w:w="2036"/>
            <w:vAlign w:val="center"/>
          </w:tcPr>
          <w:p>
            <w:pPr>
              <w:spacing w:after="0"/>
              <w:jc w:val="left"/>
            </w:pPr>
            <w:r/>
            <w:r>
              <w:rPr>
                <w:rFonts w:ascii="Arial" w:hAnsi="Arial"/>
                <w:b w:val="0"/>
                <w:sz w:val="14"/>
              </w:rPr>
              <w:t>Política de Seguridad de la Información elaborada, código propuesto PSI-GTI-001.</w:t>
            </w:r>
          </w:p>
        </w:tc>
        <w:tc>
          <w:tcPr>
            <w:tcW w:type="dxa" w:w="2036"/>
            <w:vAlign w:val="center"/>
          </w:tcPr>
          <w:p>
            <w:pPr>
              <w:spacing w:after="0"/>
              <w:jc w:val="left"/>
            </w:pPr>
            <w:r/>
            <w:r>
              <w:rPr>
                <w:rFonts w:ascii="Arial" w:hAnsi="Arial"/>
                <w:b w:val="0"/>
                <w:sz w:val="14"/>
              </w:rPr>
              <w:t>Pendiente aprobación y adopción mediante acto administrativo. Debe mantenerse como alerta de cierre administrativo.</w:t>
            </w:r>
          </w:p>
        </w:tc>
      </w:tr>
      <w:tr>
        <w:tc>
          <w:tcPr>
            <w:tcW w:type="dxa" w:w="2036"/>
            <w:vAlign w:val="center"/>
          </w:tcPr>
          <w:p>
            <w:pPr>
              <w:spacing w:after="0"/>
              <w:jc w:val="center"/>
            </w:pPr>
            <w:r/>
            <w:r>
              <w:rPr>
                <w:rFonts w:ascii="Arial" w:hAnsi="Arial"/>
                <w:b w:val="0"/>
                <w:sz w:val="14"/>
              </w:rPr>
              <w:t>3</w:t>
            </w:r>
          </w:p>
        </w:tc>
        <w:tc>
          <w:tcPr>
            <w:tcW w:type="dxa" w:w="2036"/>
            <w:vAlign w:val="center"/>
          </w:tcPr>
          <w:p>
            <w:pPr>
              <w:spacing w:after="0"/>
              <w:jc w:val="left"/>
            </w:pPr>
            <w:r/>
            <w:r>
              <w:rPr>
                <w:rFonts w:ascii="Arial" w:hAnsi="Arial"/>
                <w:b w:val="0"/>
                <w:sz w:val="14"/>
              </w:rPr>
              <w:t>Seguimiento contractual al servicio externo de hardware y software – primer trimestre</w:t>
            </w:r>
          </w:p>
        </w:tc>
        <w:tc>
          <w:tcPr>
            <w:tcW w:type="dxa" w:w="2036"/>
            <w:vAlign w:val="center"/>
          </w:tcPr>
          <w:p>
            <w:pPr>
              <w:spacing w:after="0"/>
              <w:jc w:val="left"/>
            </w:pPr>
            <w:r/>
            <w:r>
              <w:rPr>
                <w:rFonts w:ascii="Arial" w:hAnsi="Arial"/>
                <w:b w:val="0"/>
                <w:sz w:val="14"/>
              </w:rPr>
              <w:t>1 seguimiento trimestral</w:t>
            </w:r>
          </w:p>
        </w:tc>
        <w:tc>
          <w:tcPr>
            <w:tcW w:type="dxa" w:w="2036"/>
            <w:vAlign w:val="center"/>
          </w:tcPr>
          <w:p>
            <w:pPr>
              <w:spacing w:after="0"/>
              <w:jc w:val="center"/>
            </w:pPr>
            <w:r/>
            <w:r>
              <w:rPr>
                <w:rFonts w:ascii="Arial" w:hAnsi="Arial"/>
                <w:b w:val="0"/>
                <w:sz w:val="14"/>
              </w:rPr>
              <w:t>Marzo</w:t>
            </w:r>
          </w:p>
        </w:tc>
        <w:tc>
          <w:tcPr>
            <w:tcW w:type="dxa" w:w="2036"/>
            <w:vAlign w:val="center"/>
            <w:shd w:fill="C6E0B4"/>
          </w:tcPr>
          <w:p>
            <w:pPr>
              <w:spacing w:after="0"/>
              <w:jc w:val="center"/>
            </w:pPr>
            <w:r/>
            <w:r>
              <w:rPr>
                <w:rFonts w:ascii="Arial" w:hAnsi="Arial"/>
                <w:b/>
                <w:sz w:val="14"/>
              </w:rPr>
              <w:t>Ejecutado</w:t>
            </w:r>
          </w:p>
        </w:tc>
        <w:tc>
          <w:tcPr>
            <w:tcW w:type="dxa" w:w="2036"/>
            <w:vAlign w:val="center"/>
          </w:tcPr>
          <w:p>
            <w:pPr>
              <w:spacing w:after="0"/>
              <w:jc w:val="left"/>
            </w:pPr>
            <w:r/>
            <w:r>
              <w:rPr>
                <w:rFonts w:ascii="Arial" w:hAnsi="Arial"/>
                <w:b w:val="0"/>
                <w:sz w:val="14"/>
              </w:rPr>
              <w:t>Acta de Seguimiento Contractual N.° 001 de 2026 – Computar S.A.S.</w:t>
            </w:r>
          </w:p>
        </w:tc>
        <w:tc>
          <w:tcPr>
            <w:tcW w:type="dxa" w:w="2036"/>
            <w:vAlign w:val="center"/>
          </w:tcPr>
          <w:p>
            <w:pPr>
              <w:spacing w:after="0"/>
              <w:jc w:val="left"/>
            </w:pPr>
            <w:r/>
            <w:r>
              <w:rPr>
                <w:rFonts w:ascii="Arial" w:hAnsi="Arial"/>
                <w:b w:val="0"/>
                <w:sz w:val="14"/>
              </w:rPr>
              <w:t>Se verificaron 26 computadores, 4 impresoras láser, 1 impresora de inyección y 1 escáner. Equipos operativos.</w:t>
            </w:r>
          </w:p>
        </w:tc>
      </w:tr>
      <w:tr>
        <w:tc>
          <w:tcPr>
            <w:tcW w:type="dxa" w:w="2036"/>
            <w:vAlign w:val="center"/>
          </w:tcPr>
          <w:p>
            <w:pPr>
              <w:spacing w:after="0"/>
              <w:jc w:val="center"/>
            </w:pPr>
            <w:r/>
            <w:r>
              <w:rPr>
                <w:rFonts w:ascii="Arial" w:hAnsi="Arial"/>
                <w:b w:val="0"/>
                <w:sz w:val="14"/>
              </w:rPr>
              <w:t>4</w:t>
            </w:r>
          </w:p>
        </w:tc>
        <w:tc>
          <w:tcPr>
            <w:tcW w:type="dxa" w:w="2036"/>
            <w:vAlign w:val="center"/>
          </w:tcPr>
          <w:p>
            <w:pPr>
              <w:spacing w:after="0"/>
              <w:jc w:val="left"/>
            </w:pPr>
            <w:r/>
            <w:r>
              <w:rPr>
                <w:rFonts w:ascii="Arial" w:hAnsi="Arial"/>
                <w:b w:val="0"/>
                <w:sz w:val="14"/>
              </w:rPr>
              <w:t>Seguimiento contractual al servicio externo de hardware y software – segundo trimestre</w:t>
            </w:r>
          </w:p>
        </w:tc>
        <w:tc>
          <w:tcPr>
            <w:tcW w:type="dxa" w:w="2036"/>
            <w:vAlign w:val="center"/>
          </w:tcPr>
          <w:p>
            <w:pPr>
              <w:spacing w:after="0"/>
              <w:jc w:val="left"/>
            </w:pPr>
            <w:r/>
            <w:r>
              <w:rPr>
                <w:rFonts w:ascii="Arial" w:hAnsi="Arial"/>
                <w:b w:val="0"/>
                <w:sz w:val="14"/>
              </w:rPr>
              <w:t>1 seguimiento trimestral</w:t>
            </w:r>
          </w:p>
        </w:tc>
        <w:tc>
          <w:tcPr>
            <w:tcW w:type="dxa" w:w="2036"/>
            <w:vAlign w:val="center"/>
          </w:tcPr>
          <w:p>
            <w:pPr>
              <w:spacing w:after="0"/>
              <w:jc w:val="center"/>
            </w:pPr>
            <w:r/>
            <w:r>
              <w:rPr>
                <w:rFonts w:ascii="Arial" w:hAnsi="Arial"/>
                <w:b w:val="0"/>
                <w:sz w:val="14"/>
              </w:rPr>
              <w:t>Junio</w:t>
            </w:r>
          </w:p>
        </w:tc>
        <w:tc>
          <w:tcPr>
            <w:tcW w:type="dxa" w:w="2036"/>
            <w:vAlign w:val="center"/>
            <w:shd w:fill="C6E0B4"/>
          </w:tcPr>
          <w:p>
            <w:pPr>
              <w:spacing w:after="0"/>
              <w:jc w:val="center"/>
            </w:pPr>
            <w:r/>
            <w:r>
              <w:rPr>
                <w:rFonts w:ascii="Arial" w:hAnsi="Arial"/>
                <w:b/>
                <w:sz w:val="14"/>
              </w:rPr>
              <w:t>Ejecutado</w:t>
            </w:r>
          </w:p>
        </w:tc>
        <w:tc>
          <w:tcPr>
            <w:tcW w:type="dxa" w:w="2036"/>
            <w:vAlign w:val="center"/>
          </w:tcPr>
          <w:p>
            <w:pPr>
              <w:spacing w:after="0"/>
              <w:jc w:val="left"/>
            </w:pPr>
            <w:r/>
            <w:r>
              <w:rPr>
                <w:rFonts w:ascii="Arial" w:hAnsi="Arial"/>
                <w:b w:val="0"/>
                <w:sz w:val="14"/>
              </w:rPr>
              <w:t>Acta de Seguimiento Contractual N.° 002 de 2026 – Computar S.A.S.</w:t>
            </w:r>
          </w:p>
        </w:tc>
        <w:tc>
          <w:tcPr>
            <w:tcW w:type="dxa" w:w="2036"/>
            <w:vAlign w:val="center"/>
          </w:tcPr>
          <w:p>
            <w:pPr>
              <w:spacing w:after="0"/>
              <w:jc w:val="left"/>
            </w:pPr>
            <w:r/>
            <w:r>
              <w:rPr>
                <w:rFonts w:ascii="Arial" w:hAnsi="Arial"/>
                <w:b w:val="0"/>
                <w:sz w:val="14"/>
              </w:rPr>
              <w:t>Se reiteró requerimiento de mantenimiento preventivo; las fallas correctivas se atienden en menos de 48 horas.</w:t>
            </w:r>
          </w:p>
        </w:tc>
      </w:tr>
      <w:tr>
        <w:tc>
          <w:tcPr>
            <w:tcW w:type="dxa" w:w="2036"/>
            <w:vAlign w:val="center"/>
          </w:tcPr>
          <w:p>
            <w:pPr>
              <w:spacing w:after="0"/>
              <w:jc w:val="center"/>
            </w:pPr>
            <w:r/>
            <w:r>
              <w:rPr>
                <w:rFonts w:ascii="Arial" w:hAnsi="Arial"/>
                <w:b w:val="0"/>
                <w:sz w:val="14"/>
              </w:rPr>
              <w:t>5</w:t>
            </w:r>
          </w:p>
        </w:tc>
        <w:tc>
          <w:tcPr>
            <w:tcW w:type="dxa" w:w="2036"/>
            <w:vAlign w:val="center"/>
          </w:tcPr>
          <w:p>
            <w:pPr>
              <w:spacing w:after="0"/>
              <w:jc w:val="left"/>
            </w:pPr>
            <w:r/>
            <w:r>
              <w:rPr>
                <w:rFonts w:ascii="Arial" w:hAnsi="Arial"/>
                <w:b w:val="0"/>
                <w:sz w:val="14"/>
              </w:rPr>
              <w:t>Capacitación en seguridad digital – primer semestre</w:t>
            </w:r>
          </w:p>
        </w:tc>
        <w:tc>
          <w:tcPr>
            <w:tcW w:type="dxa" w:w="2036"/>
            <w:vAlign w:val="center"/>
          </w:tcPr>
          <w:p>
            <w:pPr>
              <w:spacing w:after="0"/>
              <w:jc w:val="left"/>
            </w:pPr>
            <w:r/>
            <w:r>
              <w:rPr>
                <w:rFonts w:ascii="Arial" w:hAnsi="Arial"/>
                <w:b w:val="0"/>
                <w:sz w:val="14"/>
              </w:rPr>
              <w:t>1 capacitación semestral</w:t>
            </w:r>
          </w:p>
        </w:tc>
        <w:tc>
          <w:tcPr>
            <w:tcW w:type="dxa" w:w="2036"/>
            <w:vAlign w:val="center"/>
          </w:tcPr>
          <w:p>
            <w:pPr>
              <w:spacing w:after="0"/>
              <w:jc w:val="center"/>
            </w:pPr>
            <w:r/>
            <w:r>
              <w:rPr>
                <w:rFonts w:ascii="Arial" w:hAnsi="Arial"/>
                <w:b w:val="0"/>
                <w:sz w:val="14"/>
              </w:rPr>
              <w:t>Junio</w:t>
            </w:r>
          </w:p>
        </w:tc>
        <w:tc>
          <w:tcPr>
            <w:tcW w:type="dxa" w:w="2036"/>
            <w:vAlign w:val="center"/>
            <w:shd w:fill="FFE699"/>
          </w:tcPr>
          <w:p>
            <w:pPr>
              <w:spacing w:after="0"/>
              <w:jc w:val="center"/>
            </w:pPr>
            <w:r/>
            <w:r>
              <w:rPr>
                <w:rFonts w:ascii="Arial" w:hAnsi="Arial"/>
                <w:b/>
                <w:sz w:val="14"/>
              </w:rPr>
              <w:t>Pendiente</w:t>
            </w:r>
          </w:p>
        </w:tc>
        <w:tc>
          <w:tcPr>
            <w:tcW w:type="dxa" w:w="2036"/>
            <w:vAlign w:val="center"/>
          </w:tcPr>
          <w:p>
            <w:pPr>
              <w:spacing w:after="0"/>
              <w:jc w:val="left"/>
            </w:pPr>
            <w:r/>
            <w:r>
              <w:rPr>
                <w:rFonts w:ascii="Arial" w:hAnsi="Arial"/>
                <w:b w:val="0"/>
                <w:sz w:val="14"/>
              </w:rPr>
              <w:t>Gestión y solicitud de apoyo/confirmación ante MinTIC.</w:t>
            </w:r>
          </w:p>
        </w:tc>
        <w:tc>
          <w:tcPr>
            <w:tcW w:type="dxa" w:w="2036"/>
            <w:vAlign w:val="center"/>
          </w:tcPr>
          <w:p>
            <w:pPr>
              <w:spacing w:after="0"/>
              <w:jc w:val="left"/>
            </w:pPr>
            <w:r/>
            <w:r>
              <w:rPr>
                <w:rFonts w:ascii="Arial" w:hAnsi="Arial"/>
                <w:b w:val="0"/>
                <w:sz w:val="14"/>
              </w:rPr>
              <w:t>Pendiente confirmación de fecha por parte de MinTIC. Se recomienda documentar la solicitud y reprogramar formalmente cuando se reciba respuesta.</w:t>
            </w:r>
          </w:p>
        </w:tc>
      </w:tr>
      <w:tr>
        <w:tc>
          <w:tcPr>
            <w:tcW w:type="dxa" w:w="2036"/>
            <w:vAlign w:val="center"/>
          </w:tcPr>
          <w:p>
            <w:pPr>
              <w:spacing w:after="0"/>
              <w:jc w:val="center"/>
            </w:pPr>
            <w:r/>
            <w:r>
              <w:rPr>
                <w:rFonts w:ascii="Arial" w:hAnsi="Arial"/>
                <w:b w:val="0"/>
                <w:sz w:val="14"/>
              </w:rPr>
              <w:t>6</w:t>
            </w:r>
          </w:p>
        </w:tc>
        <w:tc>
          <w:tcPr>
            <w:tcW w:type="dxa" w:w="2036"/>
            <w:vAlign w:val="center"/>
          </w:tcPr>
          <w:p>
            <w:pPr>
              <w:spacing w:after="0"/>
              <w:jc w:val="left"/>
            </w:pPr>
            <w:r/>
            <w:r>
              <w:rPr>
                <w:rFonts w:ascii="Arial" w:hAnsi="Arial"/>
                <w:b w:val="0"/>
                <w:sz w:val="14"/>
              </w:rPr>
              <w:t>Seguimiento al cumplimiento del PETI – primer semestre</w:t>
            </w:r>
          </w:p>
        </w:tc>
        <w:tc>
          <w:tcPr>
            <w:tcW w:type="dxa" w:w="2036"/>
            <w:vAlign w:val="center"/>
          </w:tcPr>
          <w:p>
            <w:pPr>
              <w:spacing w:after="0"/>
              <w:jc w:val="left"/>
            </w:pPr>
            <w:r/>
            <w:r>
              <w:rPr>
                <w:rFonts w:ascii="Arial" w:hAnsi="Arial"/>
                <w:b w:val="0"/>
                <w:sz w:val="14"/>
              </w:rPr>
              <w:t>1 informe semestral</w:t>
            </w:r>
          </w:p>
        </w:tc>
        <w:tc>
          <w:tcPr>
            <w:tcW w:type="dxa" w:w="2036"/>
            <w:vAlign w:val="center"/>
          </w:tcPr>
          <w:p>
            <w:pPr>
              <w:spacing w:after="0"/>
              <w:jc w:val="center"/>
            </w:pPr>
            <w:r/>
            <w:r>
              <w:rPr>
                <w:rFonts w:ascii="Arial" w:hAnsi="Arial"/>
                <w:b w:val="0"/>
                <w:sz w:val="14"/>
              </w:rPr>
              <w:t>Junio</w:t>
            </w:r>
          </w:p>
        </w:tc>
        <w:tc>
          <w:tcPr>
            <w:tcW w:type="dxa" w:w="2036"/>
            <w:vAlign w:val="center"/>
            <w:shd w:fill="C6E0B4"/>
          </w:tcPr>
          <w:p>
            <w:pPr>
              <w:spacing w:after="0"/>
              <w:jc w:val="center"/>
            </w:pPr>
            <w:r/>
            <w:r>
              <w:rPr>
                <w:rFonts w:ascii="Arial" w:hAnsi="Arial"/>
                <w:b/>
                <w:sz w:val="14"/>
              </w:rPr>
              <w:t>Ejecutado</w:t>
            </w:r>
          </w:p>
        </w:tc>
        <w:tc>
          <w:tcPr>
            <w:tcW w:type="dxa" w:w="2036"/>
            <w:vAlign w:val="center"/>
          </w:tcPr>
          <w:p>
            <w:pPr>
              <w:spacing w:after="0"/>
              <w:jc w:val="left"/>
            </w:pPr>
            <w:r/>
            <w:r>
              <w:rPr>
                <w:rFonts w:ascii="Arial" w:hAnsi="Arial"/>
                <w:b w:val="0"/>
                <w:sz w:val="14"/>
              </w:rPr>
              <w:t>Presente Informe Semestral de Seguimiento al PETI 2026.</w:t>
            </w:r>
          </w:p>
        </w:tc>
        <w:tc>
          <w:tcPr>
            <w:tcW w:type="dxa" w:w="2036"/>
            <w:vAlign w:val="center"/>
          </w:tcPr>
          <w:p>
            <w:pPr>
              <w:spacing w:after="0"/>
              <w:jc w:val="left"/>
            </w:pPr>
            <w:r/>
            <w:r>
              <w:rPr>
                <w:rFonts w:ascii="Arial" w:hAnsi="Arial"/>
                <w:b w:val="0"/>
                <w:sz w:val="14"/>
              </w:rPr>
              <w:t>Hito ejecutado con la elaboración y remisión del informe a Control Interno.</w:t>
            </w:r>
          </w:p>
        </w:tc>
      </w:tr>
    </w:tbl>
    <w:p>
      <w:pPr>
        <w:sectPr>
          <w:pgSz w:w="15840" w:h="12240" w:orient="landscape"/>
          <w:pgMar w:top="850" w:right="794" w:bottom="850" w:left="794" w:header="454" w:footer="454" w:gutter="0"/>
          <w:cols w:space="720"/>
          <w:docGrid w:linePitch="360"/>
        </w:sectPr>
      </w:pPr>
    </w:p>
    <w:p>
      <w:pPr>
        <w:pStyle w:val="Heading1"/>
      </w:pPr>
      <w:r>
        <w:t>8. ANÁLISIS DE RESULTADOS</w:t>
      </w:r>
    </w:p>
    <w:p>
      <w:pPr>
        <w:jc w:val="both"/>
      </w:pPr>
      <w:r>
        <w:rPr>
          <w:i w:val="0"/>
        </w:rPr>
        <w:t>Teniendo en cuenta los hitos evaluados, se concluye que el PETI presenta un cumplimiento semestral favorable del 83,33%. La actualización del plan y los dos seguimientos al contrato de hardware y software fortalecieron la planeación y la disponibilidad de los recursos tecnológicos. Asimismo, la elaboración de la Política de Seguridad de la Información constituye un avance sustancial en la formalización de directrices de protección institucional.</w:t>
      </w:r>
    </w:p>
    <w:p>
      <w:pPr>
        <w:jc w:val="both"/>
      </w:pPr>
      <w:r>
        <w:rPr>
          <w:i w:val="0"/>
        </w:rPr>
        <w:t>El seguimiento contractual permitió establecer que los equipos se encuentran operativos y que Computar S.A.S. atiende los reportes correctivos en menos de cuarenta y ocho (48) horas. Sin embargo, se identificó la ausencia de mantenimientos preventivos programados, pese a que estos se encuentran incluidos en las condiciones del servicio; por ello se dejó requerimiento en las actas correspondientes.</w:t>
      </w:r>
    </w:p>
    <w:p>
      <w:pPr>
        <w:jc w:val="both"/>
      </w:pPr>
      <w:r>
        <w:rPr>
          <w:i w:val="0"/>
        </w:rPr>
        <w:t>La capacitación en seguridad digital es el principal hito pendiente. La entidad ha adelantado gestión ante MinTIC y se encuentra a la espera de confirmación de fecha. Al tratarse de una dependencia externa, esta situación no evidencia inactividad de la entidad, pero sí exige trazabilidad documental y una decisión formal de reprogramación si la capacitación no puede realizarse en un plazo razonable.</w:t>
      </w:r>
    </w:p>
    <w:p>
      <w:pPr>
        <w:jc w:val="both"/>
      </w:pPr>
      <w:r>
        <w:rPr>
          <w:i w:val="0"/>
        </w:rPr>
        <w:t>Respecto de la Política de Seguridad de la Información, el documento técnico está elaborado; no obstante, el indicador definido en el PETI contempla su aprobación y adopción mediante acto administrativo. En consecuencia, el producto se registra como elaborado para efectos del avance operativo, pero deberá cerrarse formalmente con la expedición del acto administrativo y la divulgación a los destinatarios de la política.</w:t>
      </w:r>
    </w:p>
    <w:p>
      <w:pPr>
        <w:pStyle w:val="Heading1"/>
      </w:pPr>
      <w:r>
        <w:t>9. ALERTAS Y ASPECTOS POR FORTALECER</w:t>
      </w:r>
    </w:p>
    <w:p>
      <w:pPr>
        <w:pStyle w:val="ListBullet"/>
        <w:spacing w:after="80"/>
        <w:jc w:val="both"/>
      </w:pPr>
      <w:r>
        <w:t>Aprobación de la Política de Seguridad de la Información: el documento está terminado, pero falta el acto administrativo de aprobación y adopción. Sin este acto no se cumple integralmente el indicador previsto.</w:t>
      </w:r>
    </w:p>
    <w:p>
      <w:pPr>
        <w:pStyle w:val="ListBullet"/>
        <w:spacing w:after="80"/>
        <w:jc w:val="both"/>
      </w:pPr>
      <w:r>
        <w:t>Capacitación en seguridad digital: se encuentra pendiente por confirmación de MinTIC. Debe conservarse como evidencia el correo, radicado o solicitud realizada y definirse una fecha límite para gestionar una alternativa.</w:t>
      </w:r>
    </w:p>
    <w:p>
      <w:pPr>
        <w:pStyle w:val="ListBullet"/>
        <w:spacing w:after="80"/>
        <w:jc w:val="both"/>
      </w:pPr>
      <w:r>
        <w:t>Mantenimiento preventivo: Computar S.A.S. ha prestado soporte correctivo oportuno, pero no ha ejecutado mantenimientos preventivos programados. Se requiere cronograma, actas de intervención y seguimiento al requerimiento.</w:t>
      </w:r>
    </w:p>
    <w:p>
      <w:pPr>
        <w:pStyle w:val="ListBullet"/>
        <w:spacing w:after="80"/>
        <w:jc w:val="both"/>
      </w:pPr>
      <w:r>
        <w:t>Plan de acción derivado de la política: una vez aprobada la Política de Seguridad de la Información, deberá formalizarse el plan de acción, responsables, plazos, indicadores y seguimientos trimestrales.</w:t>
      </w:r>
    </w:p>
    <w:p>
      <w:pPr>
        <w:pStyle w:val="ListBullet"/>
        <w:spacing w:after="80"/>
        <w:jc w:val="both"/>
      </w:pPr>
      <w:r>
        <w:t>Trazabilidad documental: las evidencias del PETI deben organizarse en un expediente digital por actividad y período, con nomenclatura uniforme y control de versiones.</w:t>
      </w:r>
    </w:p>
    <w:p>
      <w:pPr>
        <w:pStyle w:val="Heading1"/>
      </w:pPr>
      <w:r>
        <w:t>10. RECOMENDACIONES PARA EL SEGUNDO SEMESTRE</w:t>
      </w:r>
    </w:p>
    <w:p>
      <w:pPr>
        <w:jc w:val="both"/>
      </w:pPr>
      <w:r>
        <w:rPr>
          <w:b/>
        </w:rPr>
        <w:t xml:space="preserve">1. Aprobación prioritaria de la política: </w:t>
      </w:r>
      <w:r>
        <w:t>Gestionar ante la instancia competente la expedición del acto administrativo de aprobación y adopción de la Política de Seguridad de la Información, y posteriormente dejar evidencia de su divulgación.</w:t>
      </w:r>
    </w:p>
    <w:p>
      <w:pPr>
        <w:jc w:val="both"/>
      </w:pPr>
      <w:r>
        <w:rPr>
          <w:b/>
        </w:rPr>
        <w:t xml:space="preserve">2. Cierre de la capacitación: </w:t>
      </w:r>
      <w:r>
        <w:t>Solicitar a MinTIC confirmación escrita de la fecha. Si no se obtiene respuesta dentro del plazo institucional definido, gestionar una alternativa con otro organismo, proveedor o recurso virtual y formalizar la reprogramación.</w:t>
      </w:r>
    </w:p>
    <w:p>
      <w:pPr>
        <w:jc w:val="both"/>
      </w:pPr>
      <w:r>
        <w:rPr>
          <w:b/>
        </w:rPr>
        <w:t xml:space="preserve">3. Plan de acción de seguridad: </w:t>
      </w:r>
      <w:r>
        <w:t>Diseñar e implementar el plan de acción derivado de la política, incorporando actividades, responsables, recursos, fechas, indicadores, evidencias y seguimientos trimestrales.</w:t>
      </w:r>
    </w:p>
    <w:p>
      <w:pPr>
        <w:jc w:val="both"/>
      </w:pPr>
      <w:r>
        <w:rPr>
          <w:b/>
        </w:rPr>
        <w:t xml:space="preserve">4. Mantenimiento preventivo: </w:t>
      </w:r>
      <w:r>
        <w:t>Requerir formalmente a Computar S.A.S. el cronograma de mantenimiento preventivo de los 26 computadores, 5 impresoras y 1 escáner, y verificar su ejecución durante el tercer trimestre.</w:t>
      </w:r>
    </w:p>
    <w:p>
      <w:pPr>
        <w:jc w:val="both"/>
      </w:pPr>
      <w:r>
        <w:rPr>
          <w:b/>
        </w:rPr>
        <w:t xml:space="preserve">5. Seguridad técnica: </w:t>
      </w:r>
      <w:r>
        <w:t>Evaluar progresivamente la adquisición o implementación de antivirus corporativo, firewall, respaldos automatizados y segmentación de la red institucional, de acuerdo con la disponibilidad presupuestal.</w:t>
      </w:r>
    </w:p>
    <w:p>
      <w:pPr>
        <w:jc w:val="both"/>
      </w:pPr>
      <w:r>
        <w:rPr>
          <w:b/>
        </w:rPr>
        <w:t xml:space="preserve">6. Seguimiento periódico: </w:t>
      </w:r>
      <w:r>
        <w:t>Actualizar mensualmente el cronograma PETI y preparar con anticipación el informe del segundo semestre para evitar concentrar evidencias al cierre de la vigencia.</w:t>
      </w:r>
    </w:p>
    <w:p>
      <w:pPr>
        <w:pStyle w:val="Heading1"/>
      </w:pPr>
      <w:r>
        <w:t>11. MATRIZ DE EVIDENCIAS</w:t>
      </w:r>
    </w:p>
    <w:tbl>
      <w:tblPr>
        <w:tblStyle w:val="TableGrid"/>
        <w:tblW w:type="auto" w:w="0"/>
        <w:jc w:val="center"/>
        <w:tblLayout w:type="autofit"/>
        <w:tblLook w:firstColumn="1" w:firstRow="1" w:lastColumn="0" w:lastRow="0" w:noHBand="0" w:noVBand="1" w:val="04A0"/>
      </w:tblPr>
      <w:tblGrid>
        <w:gridCol w:w="3308"/>
        <w:gridCol w:w="3308"/>
        <w:gridCol w:w="3308"/>
        <w:gridCol w:w="3308"/>
      </w:tblGrid>
      <w:tr>
        <w:trPr>
          <w:tblHeader w:val="true"/>
        </w:trPr>
        <w:tc>
          <w:tcPr>
            <w:tcW w:type="dxa" w:w="3308"/>
            <w:vAlign w:val="center"/>
            <w:shd w:fill="2F5597"/>
          </w:tcPr>
          <w:p>
            <w:pPr>
              <w:spacing w:after="0"/>
              <w:jc w:val="center"/>
            </w:pPr>
            <w:r/>
            <w:r>
              <w:rPr>
                <w:rFonts w:ascii="Arial" w:hAnsi="Arial"/>
                <w:b/>
                <w:color w:val="FFFFFF"/>
                <w:sz w:val="17"/>
              </w:rPr>
              <w:t>N°</w:t>
            </w:r>
          </w:p>
        </w:tc>
        <w:tc>
          <w:tcPr>
            <w:tcW w:type="dxa" w:w="3308"/>
            <w:vAlign w:val="center"/>
            <w:shd w:fill="2F5597"/>
          </w:tcPr>
          <w:p>
            <w:pPr>
              <w:spacing w:after="0"/>
              <w:jc w:val="center"/>
            </w:pPr>
            <w:r/>
            <w:r>
              <w:rPr>
                <w:rFonts w:ascii="Arial" w:hAnsi="Arial"/>
                <w:b/>
                <w:color w:val="FFFFFF"/>
                <w:sz w:val="17"/>
              </w:rPr>
              <w:t>Evidencia</w:t>
            </w:r>
          </w:p>
        </w:tc>
        <w:tc>
          <w:tcPr>
            <w:tcW w:type="dxa" w:w="3308"/>
            <w:vAlign w:val="center"/>
            <w:shd w:fill="2F5597"/>
          </w:tcPr>
          <w:p>
            <w:pPr>
              <w:spacing w:after="0"/>
              <w:jc w:val="center"/>
            </w:pPr>
            <w:r/>
            <w:r>
              <w:rPr>
                <w:rFonts w:ascii="Arial" w:hAnsi="Arial"/>
                <w:b/>
                <w:color w:val="FFFFFF"/>
                <w:sz w:val="17"/>
              </w:rPr>
              <w:t>Hito que soporta</w:t>
            </w:r>
          </w:p>
        </w:tc>
        <w:tc>
          <w:tcPr>
            <w:tcW w:type="dxa" w:w="3308"/>
            <w:vAlign w:val="center"/>
            <w:shd w:fill="2F5597"/>
          </w:tcPr>
          <w:p>
            <w:pPr>
              <w:spacing w:after="0"/>
              <w:jc w:val="center"/>
            </w:pPr>
            <w:r/>
            <w:r>
              <w:rPr>
                <w:rFonts w:ascii="Arial" w:hAnsi="Arial"/>
                <w:b/>
                <w:color w:val="FFFFFF"/>
                <w:sz w:val="17"/>
              </w:rPr>
              <w:t>Estado documental</w:t>
            </w:r>
          </w:p>
        </w:tc>
      </w:tr>
      <w:tr>
        <w:tc>
          <w:tcPr>
            <w:tcW w:type="dxa" w:w="3308"/>
            <w:vAlign w:val="center"/>
          </w:tcPr>
          <w:p>
            <w:pPr>
              <w:spacing w:after="0"/>
              <w:jc w:val="center"/>
            </w:pPr>
            <w:r/>
            <w:r>
              <w:rPr>
                <w:rFonts w:ascii="Arial" w:hAnsi="Arial"/>
                <w:b w:val="0"/>
                <w:sz w:val="16"/>
              </w:rPr>
              <w:t>1</w:t>
            </w:r>
          </w:p>
        </w:tc>
        <w:tc>
          <w:tcPr>
            <w:tcW w:type="dxa" w:w="3308"/>
            <w:vAlign w:val="center"/>
          </w:tcPr>
          <w:p>
            <w:pPr>
              <w:spacing w:after="0"/>
              <w:jc w:val="left"/>
            </w:pPr>
            <w:r/>
            <w:r>
              <w:rPr>
                <w:rFonts w:ascii="Arial" w:hAnsi="Arial"/>
                <w:b w:val="0"/>
                <w:sz w:val="16"/>
              </w:rPr>
              <w:t>Plan Estratégico de Tecnologías de la Información y las Comunicaciones – PETI 2026 actualizado</w:t>
            </w:r>
          </w:p>
        </w:tc>
        <w:tc>
          <w:tcPr>
            <w:tcW w:type="dxa" w:w="3308"/>
            <w:vAlign w:val="center"/>
          </w:tcPr>
          <w:p>
            <w:pPr>
              <w:spacing w:after="0"/>
              <w:jc w:val="left"/>
            </w:pPr>
            <w:r/>
            <w:r>
              <w:rPr>
                <w:rFonts w:ascii="Arial" w:hAnsi="Arial"/>
                <w:b w:val="0"/>
                <w:sz w:val="16"/>
              </w:rPr>
              <w:t>Actualización del PETI</w:t>
            </w:r>
          </w:p>
        </w:tc>
        <w:tc>
          <w:tcPr>
            <w:tcW w:type="dxa" w:w="3308"/>
            <w:vAlign w:val="center"/>
          </w:tcPr>
          <w:p>
            <w:pPr>
              <w:spacing w:after="0"/>
              <w:jc w:val="center"/>
            </w:pPr>
            <w:r/>
            <w:r>
              <w:rPr>
                <w:rFonts w:ascii="Arial" w:hAnsi="Arial"/>
                <w:b w:val="0"/>
                <w:sz w:val="16"/>
              </w:rPr>
              <w:t>Disponible</w:t>
            </w:r>
          </w:p>
        </w:tc>
      </w:tr>
      <w:tr>
        <w:tc>
          <w:tcPr>
            <w:tcW w:type="dxa" w:w="3308"/>
            <w:vAlign w:val="center"/>
          </w:tcPr>
          <w:p>
            <w:pPr>
              <w:spacing w:after="0"/>
              <w:jc w:val="center"/>
            </w:pPr>
            <w:r/>
            <w:r>
              <w:rPr>
                <w:rFonts w:ascii="Arial" w:hAnsi="Arial"/>
                <w:b w:val="0"/>
                <w:sz w:val="16"/>
              </w:rPr>
              <w:t>2</w:t>
            </w:r>
          </w:p>
        </w:tc>
        <w:tc>
          <w:tcPr>
            <w:tcW w:type="dxa" w:w="3308"/>
            <w:vAlign w:val="center"/>
          </w:tcPr>
          <w:p>
            <w:pPr>
              <w:spacing w:after="0"/>
              <w:jc w:val="left"/>
            </w:pPr>
            <w:r/>
            <w:r>
              <w:rPr>
                <w:rFonts w:ascii="Arial" w:hAnsi="Arial"/>
                <w:b w:val="0"/>
                <w:sz w:val="16"/>
              </w:rPr>
              <w:t>Política de Seguridad de la Información – PSI-GTI-001</w:t>
            </w:r>
          </w:p>
        </w:tc>
        <w:tc>
          <w:tcPr>
            <w:tcW w:type="dxa" w:w="3308"/>
            <w:vAlign w:val="center"/>
          </w:tcPr>
          <w:p>
            <w:pPr>
              <w:spacing w:after="0"/>
              <w:jc w:val="left"/>
            </w:pPr>
            <w:r/>
            <w:r>
              <w:rPr>
                <w:rFonts w:ascii="Arial" w:hAnsi="Arial"/>
                <w:b w:val="0"/>
                <w:sz w:val="16"/>
              </w:rPr>
              <w:t>Definición de la política</w:t>
            </w:r>
          </w:p>
        </w:tc>
        <w:tc>
          <w:tcPr>
            <w:tcW w:type="dxa" w:w="3308"/>
            <w:vAlign w:val="center"/>
          </w:tcPr>
          <w:p>
            <w:pPr>
              <w:spacing w:after="0"/>
              <w:jc w:val="center"/>
            </w:pPr>
            <w:r/>
            <w:r>
              <w:rPr>
                <w:rFonts w:ascii="Arial" w:hAnsi="Arial"/>
                <w:b w:val="0"/>
                <w:sz w:val="16"/>
              </w:rPr>
              <w:t>Disponible; pendiente acto administrativo</w:t>
            </w:r>
          </w:p>
        </w:tc>
      </w:tr>
      <w:tr>
        <w:tc>
          <w:tcPr>
            <w:tcW w:type="dxa" w:w="3308"/>
            <w:vAlign w:val="center"/>
          </w:tcPr>
          <w:p>
            <w:pPr>
              <w:spacing w:after="0"/>
              <w:jc w:val="center"/>
            </w:pPr>
            <w:r/>
            <w:r>
              <w:rPr>
                <w:rFonts w:ascii="Arial" w:hAnsi="Arial"/>
                <w:b w:val="0"/>
                <w:sz w:val="16"/>
              </w:rPr>
              <w:t>3</w:t>
            </w:r>
          </w:p>
        </w:tc>
        <w:tc>
          <w:tcPr>
            <w:tcW w:type="dxa" w:w="3308"/>
            <w:vAlign w:val="center"/>
          </w:tcPr>
          <w:p>
            <w:pPr>
              <w:spacing w:after="0"/>
              <w:jc w:val="left"/>
            </w:pPr>
            <w:r/>
            <w:r>
              <w:rPr>
                <w:rFonts w:ascii="Arial" w:hAnsi="Arial"/>
                <w:b w:val="0"/>
                <w:sz w:val="16"/>
              </w:rPr>
              <w:t>Acta de Seguimiento Contractual N.° 001 de 2026</w:t>
            </w:r>
          </w:p>
        </w:tc>
        <w:tc>
          <w:tcPr>
            <w:tcW w:type="dxa" w:w="3308"/>
            <w:vAlign w:val="center"/>
          </w:tcPr>
          <w:p>
            <w:pPr>
              <w:spacing w:after="0"/>
              <w:jc w:val="left"/>
            </w:pPr>
            <w:r/>
            <w:r>
              <w:rPr>
                <w:rFonts w:ascii="Arial" w:hAnsi="Arial"/>
                <w:b w:val="0"/>
                <w:sz w:val="16"/>
              </w:rPr>
              <w:t>Seguimiento HW/SW – marzo</w:t>
            </w:r>
          </w:p>
        </w:tc>
        <w:tc>
          <w:tcPr>
            <w:tcW w:type="dxa" w:w="3308"/>
            <w:vAlign w:val="center"/>
          </w:tcPr>
          <w:p>
            <w:pPr>
              <w:spacing w:after="0"/>
              <w:jc w:val="center"/>
            </w:pPr>
            <w:r/>
            <w:r>
              <w:rPr>
                <w:rFonts w:ascii="Arial" w:hAnsi="Arial"/>
                <w:b w:val="0"/>
                <w:sz w:val="16"/>
              </w:rPr>
              <w:t>Disponible</w:t>
            </w:r>
          </w:p>
        </w:tc>
      </w:tr>
      <w:tr>
        <w:tc>
          <w:tcPr>
            <w:tcW w:type="dxa" w:w="3308"/>
            <w:vAlign w:val="center"/>
          </w:tcPr>
          <w:p>
            <w:pPr>
              <w:spacing w:after="0"/>
              <w:jc w:val="center"/>
            </w:pPr>
            <w:r/>
            <w:r>
              <w:rPr>
                <w:rFonts w:ascii="Arial" w:hAnsi="Arial"/>
                <w:b w:val="0"/>
                <w:sz w:val="16"/>
              </w:rPr>
              <w:t>4</w:t>
            </w:r>
          </w:p>
        </w:tc>
        <w:tc>
          <w:tcPr>
            <w:tcW w:type="dxa" w:w="3308"/>
            <w:vAlign w:val="center"/>
          </w:tcPr>
          <w:p>
            <w:pPr>
              <w:spacing w:after="0"/>
              <w:jc w:val="left"/>
            </w:pPr>
            <w:r/>
            <w:r>
              <w:rPr>
                <w:rFonts w:ascii="Arial" w:hAnsi="Arial"/>
                <w:b w:val="0"/>
                <w:sz w:val="16"/>
              </w:rPr>
              <w:t>Acta de Seguimiento Contractual N.° 002 de 2026</w:t>
            </w:r>
          </w:p>
        </w:tc>
        <w:tc>
          <w:tcPr>
            <w:tcW w:type="dxa" w:w="3308"/>
            <w:vAlign w:val="center"/>
          </w:tcPr>
          <w:p>
            <w:pPr>
              <w:spacing w:after="0"/>
              <w:jc w:val="left"/>
            </w:pPr>
            <w:r/>
            <w:r>
              <w:rPr>
                <w:rFonts w:ascii="Arial" w:hAnsi="Arial"/>
                <w:b w:val="0"/>
                <w:sz w:val="16"/>
              </w:rPr>
              <w:t>Seguimiento HW/SW – junio</w:t>
            </w:r>
          </w:p>
        </w:tc>
        <w:tc>
          <w:tcPr>
            <w:tcW w:type="dxa" w:w="3308"/>
            <w:vAlign w:val="center"/>
          </w:tcPr>
          <w:p>
            <w:pPr>
              <w:spacing w:after="0"/>
              <w:jc w:val="center"/>
            </w:pPr>
            <w:r/>
            <w:r>
              <w:rPr>
                <w:rFonts w:ascii="Arial" w:hAnsi="Arial"/>
                <w:b w:val="0"/>
                <w:sz w:val="16"/>
              </w:rPr>
              <w:t>Disponible</w:t>
            </w:r>
          </w:p>
        </w:tc>
      </w:tr>
      <w:tr>
        <w:tc>
          <w:tcPr>
            <w:tcW w:type="dxa" w:w="3308"/>
            <w:vAlign w:val="center"/>
          </w:tcPr>
          <w:p>
            <w:pPr>
              <w:spacing w:after="0"/>
              <w:jc w:val="center"/>
            </w:pPr>
            <w:r/>
            <w:r>
              <w:rPr>
                <w:rFonts w:ascii="Arial" w:hAnsi="Arial"/>
                <w:b w:val="0"/>
                <w:sz w:val="16"/>
              </w:rPr>
              <w:t>5</w:t>
            </w:r>
          </w:p>
        </w:tc>
        <w:tc>
          <w:tcPr>
            <w:tcW w:type="dxa" w:w="3308"/>
            <w:vAlign w:val="center"/>
          </w:tcPr>
          <w:p>
            <w:pPr>
              <w:spacing w:after="0"/>
              <w:jc w:val="left"/>
            </w:pPr>
            <w:r/>
            <w:r>
              <w:rPr>
                <w:rFonts w:ascii="Arial" w:hAnsi="Arial"/>
                <w:b w:val="0"/>
                <w:sz w:val="16"/>
              </w:rPr>
              <w:t>Correo, solicitud o radicado remitido a MinTIC</w:t>
            </w:r>
          </w:p>
        </w:tc>
        <w:tc>
          <w:tcPr>
            <w:tcW w:type="dxa" w:w="3308"/>
            <w:vAlign w:val="center"/>
          </w:tcPr>
          <w:p>
            <w:pPr>
              <w:spacing w:after="0"/>
              <w:jc w:val="left"/>
            </w:pPr>
            <w:r/>
            <w:r>
              <w:rPr>
                <w:rFonts w:ascii="Arial" w:hAnsi="Arial"/>
                <w:b w:val="0"/>
                <w:sz w:val="16"/>
              </w:rPr>
              <w:t>Capacitación en seguridad digital</w:t>
            </w:r>
          </w:p>
        </w:tc>
        <w:tc>
          <w:tcPr>
            <w:tcW w:type="dxa" w:w="3308"/>
            <w:vAlign w:val="center"/>
          </w:tcPr>
          <w:p>
            <w:pPr>
              <w:spacing w:after="0"/>
              <w:jc w:val="center"/>
            </w:pPr>
            <w:r/>
            <w:r>
              <w:rPr>
                <w:rFonts w:ascii="Arial" w:hAnsi="Arial"/>
                <w:b w:val="0"/>
                <w:sz w:val="16"/>
              </w:rPr>
              <w:t>Debe anexarse al expediente</w:t>
            </w:r>
          </w:p>
        </w:tc>
      </w:tr>
      <w:tr>
        <w:tc>
          <w:tcPr>
            <w:tcW w:type="dxa" w:w="3308"/>
            <w:vAlign w:val="center"/>
          </w:tcPr>
          <w:p>
            <w:pPr>
              <w:spacing w:after="0"/>
              <w:jc w:val="center"/>
            </w:pPr>
            <w:r/>
            <w:r>
              <w:rPr>
                <w:rFonts w:ascii="Arial" w:hAnsi="Arial"/>
                <w:b w:val="0"/>
                <w:sz w:val="16"/>
              </w:rPr>
              <w:t>6</w:t>
            </w:r>
          </w:p>
        </w:tc>
        <w:tc>
          <w:tcPr>
            <w:tcW w:type="dxa" w:w="3308"/>
            <w:vAlign w:val="center"/>
          </w:tcPr>
          <w:p>
            <w:pPr>
              <w:spacing w:after="0"/>
              <w:jc w:val="left"/>
            </w:pPr>
            <w:r/>
            <w:r>
              <w:rPr>
                <w:rFonts w:ascii="Arial" w:hAnsi="Arial"/>
                <w:b w:val="0"/>
                <w:sz w:val="16"/>
              </w:rPr>
              <w:t>Informe Semestral de Seguimiento al PETI 2026</w:t>
            </w:r>
          </w:p>
        </w:tc>
        <w:tc>
          <w:tcPr>
            <w:tcW w:type="dxa" w:w="3308"/>
            <w:vAlign w:val="center"/>
          </w:tcPr>
          <w:p>
            <w:pPr>
              <w:spacing w:after="0"/>
              <w:jc w:val="left"/>
            </w:pPr>
            <w:r/>
            <w:r>
              <w:rPr>
                <w:rFonts w:ascii="Arial" w:hAnsi="Arial"/>
                <w:b w:val="0"/>
                <w:sz w:val="16"/>
              </w:rPr>
              <w:t>Seguimiento semestral del PETI</w:t>
            </w:r>
          </w:p>
        </w:tc>
        <w:tc>
          <w:tcPr>
            <w:tcW w:type="dxa" w:w="3308"/>
            <w:vAlign w:val="center"/>
          </w:tcPr>
          <w:p>
            <w:pPr>
              <w:spacing w:after="0"/>
              <w:jc w:val="center"/>
            </w:pPr>
            <w:r/>
            <w:r>
              <w:rPr>
                <w:rFonts w:ascii="Arial" w:hAnsi="Arial"/>
                <w:b w:val="0"/>
                <w:sz w:val="16"/>
              </w:rPr>
              <w:t>Presente documento</w:t>
            </w:r>
          </w:p>
        </w:tc>
      </w:tr>
    </w:tbl>
    <w:p>
      <w:pPr>
        <w:pStyle w:val="Heading1"/>
      </w:pPr>
      <w:r>
        <w:t>12. CONCLUSIÓN</w:t>
      </w:r>
    </w:p>
    <w:p>
      <w:pPr>
        <w:jc w:val="both"/>
      </w:pPr>
      <w:r>
        <w:rPr>
          <w:i w:val="0"/>
        </w:rPr>
        <w:t>Con corte al 30 de junio de 2026, Promueve Más S.A.S. alcanzó un cumplimiento del 83,33% de los hitos programados para el primer semestre del PETI 2026, equivalente a cinco (5) hitos ejecutados de seis (6) previstos. El avance anual acumulado corresponde al 41,67% de los doce (12) hitos programados para la vigencia.</w:t>
      </w:r>
    </w:p>
    <w:p>
      <w:pPr>
        <w:jc w:val="both"/>
      </w:pPr>
      <w:r>
        <w:rPr>
          <w:i w:val="0"/>
        </w:rPr>
        <w:t>El resultado demuestra una gestión favorable de la Dirección Administrativa y Financiera, especialmente en la actualización del PETI, la elaboración de la Política de Seguridad de la Información, la supervisión contractual de los servicios de hardware y software y el seguimiento del plan. Para consolidar estos avances, durante el segundo semestre se deberá priorizar la aprobación formal de la política, ejecutar o reprogramar con soporte documental la capacitación en seguridad digital, formular el plan de acción derivado de la política y verificar los mantenimientos preventivos requeridos al proveedor.</w:t>
      </w:r>
    </w:p>
    <w:p>
      <w:pPr>
        <w:jc w:val="both"/>
      </w:pPr>
      <w:r>
        <w:rPr>
          <w:i w:val="0"/>
        </w:rPr>
        <w:t>El presente informe se remite a Control Interno para su conocimiento, evaluación y recomendaciones, y se constituye en evidencia del cumplimiento de la actividad de seguimiento semestral prevista en el PETI 2026.</w:t>
      </w:r>
    </w:p>
    <w:p>
      <w:pPr>
        <w:pStyle w:val="Heading1"/>
      </w:pPr>
      <w:r>
        <w:t>13. RESPONSABLE DEL INFORME</w:t>
      </w:r>
    </w:p>
    <w:p/>
    <w:p/>
    <w:p/>
    <w:p>
      <w:pPr>
        <w:spacing w:after="40"/>
      </w:pPr>
      <w:r>
        <w:t>________________________________________</w:t>
      </w:r>
    </w:p>
    <w:p>
      <w:pPr>
        <w:spacing w:after="0"/>
      </w:pPr>
      <w:r>
        <w:rPr>
          <w:b/>
        </w:rPr>
        <w:t>HAMILTON QUINTERO GARCÍA</w:t>
      </w:r>
    </w:p>
    <w:p>
      <w:pPr>
        <w:spacing w:after="0"/>
      </w:pPr>
      <w:r>
        <w:t>Técnico Administrativo y Financiero</w:t>
      </w:r>
    </w:p>
    <w:p>
      <w:r>
        <w:t>Promueve Más S.A.S.</w:t>
      </w:r>
    </w:p>
    <w:sectPr w:rsidR="00FC693F" w:rsidRPr="0006063C" w:rsidSect="00034616">
      <w:pgSz w:w="15840" w:h="12240"/>
      <w:pgMar w:top="1134" w:right="1304" w:bottom="1020"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 xml:space="preserve">PROMUEVE MÁS S.A.S. – Calle 18 # 7C-47 – Tel: 3104191960 – operaciones@promuevemas.com  |  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rial" w:hAnsi="Arial"/>
        <w:b/>
        <w:color w:val="2F5597"/>
        <w:sz w:val="18"/>
      </w:rPr>
      <w:t>PROMUEVE MÁS S.A.S.  |  NIT 901.403.758-2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2F5597"/>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F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2F5597"/>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