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761"/>
          <w:sz w:val="28"/>
        </w:rPr>
        <w:t>PROMUEVE MÁS S.A.S.</w:t>
      </w:r>
    </w:p>
    <w:p>
      <w:pPr>
        <w:jc w:val="center"/>
      </w:pPr>
      <w:r>
        <w:rPr>
          <w:sz w:val="20"/>
        </w:rPr>
        <w:t>NIT 901.403.758-2 · Sociedad de Economía Mixta · Manizales, Caldas</w:t>
      </w:r>
    </w:p>
    <w:p/>
    <w:p>
      <w:pPr>
        <w:jc w:val="center"/>
      </w:pPr>
      <w:r>
        <w:rPr>
          <w:b/>
          <w:sz w:val="26"/>
        </w:rPr>
        <w:t>ACTA DE SEGUIMIENTO CONTRACTUAL N° 001 DE 2026</w:t>
      </w:r>
    </w:p>
    <w:p>
      <w:pPr>
        <w:jc w:val="center"/>
      </w:pPr>
      <w:r>
        <w:rPr>
          <w:i/>
          <w:sz w:val="22"/>
        </w:rPr>
        <w:t>Seguimiento al objeto contractual de la empresa externa encargada</w:t>
        <w:br/>
        <w:t>del servicio de Hardware y Software</w:t>
      </w:r>
    </w:p>
    <w:p/>
    <w:p>
      <w:pPr>
        <w:pStyle w:val="Heading2"/>
      </w:pPr>
      <w:r>
        <w:t>1. INFORMACIÓN GENERAL</w:t>
      </w:r>
    </w:p>
    <w:tbl>
      <w:tblPr>
        <w:tblStyle w:val="TableGrid"/>
        <w:tblW w:type="auto" w:w="0"/>
        <w:tblLook w:firstColumn="1" w:firstRow="1" w:lastColumn="0" w:lastRow="0" w:noHBand="0" w:noVBand="1" w:val="04A0"/>
      </w:tblPr>
      <w:tblGrid>
        <w:gridCol w:w="4703"/>
        <w:gridCol w:w="4703"/>
      </w:tblGrid>
      <w:tr>
        <w:tc>
          <w:tcPr>
            <w:tcW w:type="dxa" w:w="4703"/>
          </w:tcPr>
          <w:p>
            <w:r/>
            <w:r>
              <w:rPr>
                <w:b/>
                <w:sz w:val="20"/>
              </w:rPr>
              <w:t>Contratista:</w:t>
            </w:r>
          </w:p>
        </w:tc>
        <w:tc>
          <w:tcPr>
            <w:tcW w:type="dxa" w:w="4703"/>
          </w:tcPr>
          <w:p>
            <w:r/>
            <w:r>
              <w:rPr>
                <w:b w:val="0"/>
                <w:sz w:val="20"/>
              </w:rPr>
              <w:t>COMPUTAR S.A.S.</w:t>
            </w:r>
          </w:p>
        </w:tc>
      </w:tr>
      <w:tr>
        <w:tc>
          <w:tcPr>
            <w:tcW w:type="dxa" w:w="4703"/>
          </w:tcPr>
          <w:p>
            <w:r/>
            <w:r>
              <w:rPr>
                <w:b/>
                <w:sz w:val="20"/>
              </w:rPr>
              <w:t>NIT del contratista:</w:t>
            </w:r>
          </w:p>
        </w:tc>
        <w:tc>
          <w:tcPr>
            <w:tcW w:type="dxa" w:w="4703"/>
          </w:tcPr>
          <w:p>
            <w:r/>
            <w:r>
              <w:rPr>
                <w:b w:val="0"/>
                <w:sz w:val="20"/>
              </w:rPr>
              <w:t>800.226.784-9</w:t>
            </w:r>
          </w:p>
        </w:tc>
      </w:tr>
      <w:tr>
        <w:tc>
          <w:tcPr>
            <w:tcW w:type="dxa" w:w="4703"/>
          </w:tcPr>
          <w:p>
            <w:r/>
            <w:r>
              <w:rPr>
                <w:b/>
                <w:sz w:val="20"/>
              </w:rPr>
              <w:t>Objeto contractual:</w:t>
            </w:r>
          </w:p>
        </w:tc>
        <w:tc>
          <w:tcPr>
            <w:tcW w:type="dxa" w:w="4703"/>
          </w:tcPr>
          <w:p>
            <w:r/>
            <w:r>
              <w:rPr>
                <w:b w:val="0"/>
                <w:sz w:val="20"/>
              </w:rPr>
              <w:t>Servicio de alquiler de computadores portátiles, impresoras láser multifuncional, impresora de inyección multifuncional y escáner para Promueve Más S.A.S.</w:t>
            </w:r>
          </w:p>
        </w:tc>
      </w:tr>
      <w:tr>
        <w:tc>
          <w:tcPr>
            <w:tcW w:type="dxa" w:w="4703"/>
          </w:tcPr>
          <w:p>
            <w:r/>
            <w:r>
              <w:rPr>
                <w:b/>
                <w:sz w:val="20"/>
              </w:rPr>
              <w:t>Período de seguimiento:</w:t>
            </w:r>
          </w:p>
        </w:tc>
        <w:tc>
          <w:tcPr>
            <w:tcW w:type="dxa" w:w="4703"/>
          </w:tcPr>
          <w:p>
            <w:r/>
            <w:r>
              <w:rPr>
                <w:b w:val="0"/>
                <w:sz w:val="20"/>
              </w:rPr>
              <w:t>Enero – Marzo de 2026 (Primer trimestre)</w:t>
            </w:r>
          </w:p>
        </w:tc>
      </w:tr>
      <w:tr>
        <w:tc>
          <w:tcPr>
            <w:tcW w:type="dxa" w:w="4703"/>
          </w:tcPr>
          <w:p>
            <w:r/>
            <w:r>
              <w:rPr>
                <w:b/>
                <w:sz w:val="20"/>
              </w:rPr>
              <w:t>Fecha de elaboración del acta:</w:t>
            </w:r>
          </w:p>
        </w:tc>
        <w:tc>
          <w:tcPr>
            <w:tcW w:type="dxa" w:w="4703"/>
          </w:tcPr>
          <w:p>
            <w:r/>
            <w:r>
              <w:rPr>
                <w:b w:val="0"/>
                <w:sz w:val="20"/>
              </w:rPr>
              <w:t>28 de marzo de 2026</w:t>
            </w:r>
          </w:p>
        </w:tc>
      </w:tr>
      <w:tr>
        <w:tc>
          <w:tcPr>
            <w:tcW w:type="dxa" w:w="4703"/>
          </w:tcPr>
          <w:p>
            <w:r/>
            <w:r>
              <w:rPr>
                <w:b/>
                <w:sz w:val="20"/>
              </w:rPr>
              <w:t>Elaborado por:</w:t>
            </w:r>
          </w:p>
        </w:tc>
        <w:tc>
          <w:tcPr>
            <w:tcW w:type="dxa" w:w="4703"/>
          </w:tcPr>
          <w:p>
            <w:r/>
            <w:r>
              <w:rPr>
                <w:b w:val="0"/>
                <w:sz w:val="20"/>
              </w:rPr>
              <w:t>Hamilton Quintero García – Técnico Administrativo y Financiero</w:t>
            </w:r>
          </w:p>
        </w:tc>
      </w:tr>
      <w:tr>
        <w:tc>
          <w:tcPr>
            <w:tcW w:type="dxa" w:w="4703"/>
          </w:tcPr>
          <w:p>
            <w:r/>
            <w:r>
              <w:rPr>
                <w:b/>
                <w:sz w:val="20"/>
              </w:rPr>
              <w:t>Dependencia:</w:t>
            </w:r>
          </w:p>
        </w:tc>
        <w:tc>
          <w:tcPr>
            <w:tcW w:type="dxa" w:w="4703"/>
          </w:tcPr>
          <w:p>
            <w:r/>
            <w:r>
              <w:rPr>
                <w:b w:val="0"/>
                <w:sz w:val="20"/>
              </w:rPr>
              <w:t>Dirección Administrativa y Financiera</w:t>
            </w:r>
          </w:p>
        </w:tc>
      </w:tr>
    </w:tbl>
    <w:p/>
    <w:p>
      <w:pPr>
        <w:pStyle w:val="Heading2"/>
      </w:pPr>
      <w:r>
        <w:t>2. EQUIPOS OBJETO DEL CONTRATO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4761"/>
          </w:tcPr>
          <w:p>
            <w:r/>
            <w:r>
              <w:rPr>
                <w:b/>
                <w:color w:val="FFFFFF"/>
                <w:sz w:val="18"/>
              </w:rPr>
              <w:t>N°</w:t>
            </w:r>
          </w:p>
        </w:tc>
        <w:tc>
          <w:tcPr>
            <w:tcW w:type="dxa" w:w="1881"/>
            <w:shd w:val="clear" w:color="auto" w:fill="0F4761"/>
          </w:tcPr>
          <w:p>
            <w:r/>
            <w:r>
              <w:rPr>
                <w:b/>
                <w:color w:val="FFFFFF"/>
                <w:sz w:val="18"/>
              </w:rPr>
              <w:t>Descripción del equipo</w:t>
            </w:r>
          </w:p>
        </w:tc>
        <w:tc>
          <w:tcPr>
            <w:tcW w:type="dxa" w:w="1881"/>
            <w:shd w:val="clear" w:color="auto" w:fill="0F4761"/>
          </w:tcPr>
          <w:p>
            <w:r/>
            <w:r>
              <w:rPr>
                <w:b/>
                <w:color w:val="FFFFFF"/>
                <w:sz w:val="18"/>
              </w:rPr>
              <w:t>Cantidad contratada</w:t>
            </w:r>
          </w:p>
        </w:tc>
        <w:tc>
          <w:tcPr>
            <w:tcW w:type="dxa" w:w="1881"/>
            <w:shd w:val="clear" w:color="auto" w:fill="0F4761"/>
          </w:tcPr>
          <w:p>
            <w:r/>
            <w:r>
              <w:rPr>
                <w:b/>
                <w:color w:val="FFFFFF"/>
                <w:sz w:val="18"/>
              </w:rPr>
              <w:t>Cantidad en servicio</w:t>
            </w:r>
          </w:p>
        </w:tc>
        <w:tc>
          <w:tcPr>
            <w:tcW w:type="dxa" w:w="1881"/>
            <w:shd w:val="clear" w:color="auto" w:fill="0F4761"/>
          </w:tcPr>
          <w:p>
            <w:r/>
            <w:r>
              <w:rPr>
                <w:b/>
                <w:color w:val="FFFFFF"/>
                <w:sz w:val="18"/>
              </w:rPr>
              <w:t>Estado general</w:t>
            </w:r>
          </w:p>
        </w:tc>
      </w:tr>
      <w:tr>
        <w:tc>
          <w:tcPr>
            <w:tcW w:type="dxa" w:w="1881"/>
          </w:tcPr>
          <w:p>
            <w:r/>
            <w:r>
              <w:rPr>
                <w:b w:val="0"/>
                <w:sz w:val="18"/>
              </w:rPr>
              <w:t>1</w:t>
            </w:r>
          </w:p>
        </w:tc>
        <w:tc>
          <w:tcPr>
            <w:tcW w:type="dxa" w:w="1881"/>
          </w:tcPr>
          <w:p>
            <w:r/>
            <w:r>
              <w:rPr>
                <w:b w:val="0"/>
                <w:sz w:val="18"/>
              </w:rPr>
              <w:t>Computador portátil HP 240 G7 Core i5 Gen 10+, RAM 8GB, SSD 256GB, pantalla 14", Windows 10 Pro, monitor 22" LCD HDMI, combo teclado/mouse USB, maletín, Office 365 Standard</w:t>
            </w:r>
          </w:p>
        </w:tc>
        <w:tc>
          <w:tcPr>
            <w:tcW w:type="dxa" w:w="1881"/>
          </w:tcPr>
          <w:p>
            <w:r/>
            <w:r>
              <w:rPr>
                <w:b w:val="0"/>
                <w:sz w:val="18"/>
              </w:rPr>
              <w:t>25</w:t>
            </w:r>
          </w:p>
        </w:tc>
        <w:tc>
          <w:tcPr>
            <w:tcW w:type="dxa" w:w="1881"/>
          </w:tcPr>
          <w:p>
            <w:r/>
            <w:r>
              <w:rPr>
                <w:b w:val="0"/>
                <w:sz w:val="18"/>
              </w:rPr>
              <w:t>26</w:t>
            </w:r>
          </w:p>
        </w:tc>
        <w:tc>
          <w:tcPr>
            <w:tcW w:type="dxa" w:w="1881"/>
          </w:tcPr>
          <w:p>
            <w:r/>
            <w:r>
              <w:rPr>
                <w:b w:val="0"/>
                <w:sz w:val="18"/>
              </w:rPr>
              <w:t>Operativo</w:t>
            </w:r>
          </w:p>
        </w:tc>
      </w:tr>
      <w:tr>
        <w:tc>
          <w:tcPr>
            <w:tcW w:type="dxa" w:w="1881"/>
          </w:tcPr>
          <w:p>
            <w:r/>
            <w:r>
              <w:rPr>
                <w:b w:val="0"/>
                <w:sz w:val="18"/>
              </w:rPr>
              <w:t>2</w:t>
            </w:r>
          </w:p>
        </w:tc>
        <w:tc>
          <w:tcPr>
            <w:tcW w:type="dxa" w:w="1881"/>
          </w:tcPr>
          <w:p>
            <w:r/>
            <w:r>
              <w:rPr>
                <w:b w:val="0"/>
                <w:sz w:val="18"/>
              </w:rPr>
              <w:t>Impresora láser multifuncional monocromática (imprime, fotocopia, escanea) – incluye tóner, mantenimiento preventivo y correctivo, repuestos y mano de obra</w:t>
            </w:r>
          </w:p>
        </w:tc>
        <w:tc>
          <w:tcPr>
            <w:tcW w:type="dxa" w:w="1881"/>
          </w:tcPr>
          <w:p>
            <w:r/>
            <w:r>
              <w:rPr>
                <w:b w:val="0"/>
                <w:sz w:val="18"/>
              </w:rPr>
              <w:t>4</w:t>
            </w:r>
          </w:p>
        </w:tc>
        <w:tc>
          <w:tcPr>
            <w:tcW w:type="dxa" w:w="1881"/>
          </w:tcPr>
          <w:p>
            <w:r/>
            <w:r>
              <w:rPr>
                <w:b w:val="0"/>
                <w:sz w:val="18"/>
              </w:rPr>
              <w:t>4</w:t>
            </w:r>
          </w:p>
        </w:tc>
        <w:tc>
          <w:tcPr>
            <w:tcW w:type="dxa" w:w="1881"/>
          </w:tcPr>
          <w:p>
            <w:r/>
            <w:r>
              <w:rPr>
                <w:b w:val="0"/>
                <w:sz w:val="18"/>
              </w:rPr>
              <w:t>Operativo</w:t>
            </w:r>
          </w:p>
        </w:tc>
      </w:tr>
      <w:tr>
        <w:tc>
          <w:tcPr>
            <w:tcW w:type="dxa" w:w="1881"/>
          </w:tcPr>
          <w:p>
            <w:r/>
            <w:r>
              <w:rPr>
                <w:b w:val="0"/>
                <w:sz w:val="18"/>
              </w:rPr>
              <w:t>3</w:t>
            </w:r>
          </w:p>
        </w:tc>
        <w:tc>
          <w:tcPr>
            <w:tcW w:type="dxa" w:w="1881"/>
          </w:tcPr>
          <w:p>
            <w:r/>
            <w:r>
              <w:rPr>
                <w:b w:val="0"/>
                <w:sz w:val="18"/>
              </w:rPr>
              <w:t>Impresora de inyección Epson multifuncional color (imprime, fotocopia, escanea) – incluye tóner, mantenimiento preventivo y correctivo, repuestos y mano de obra</w:t>
            </w:r>
          </w:p>
        </w:tc>
        <w:tc>
          <w:tcPr>
            <w:tcW w:type="dxa" w:w="1881"/>
          </w:tcPr>
          <w:p>
            <w:r/>
            <w:r>
              <w:rPr>
                <w:b w:val="0"/>
                <w:sz w:val="18"/>
              </w:rPr>
              <w:t>1</w:t>
            </w:r>
          </w:p>
        </w:tc>
        <w:tc>
          <w:tcPr>
            <w:tcW w:type="dxa" w:w="1881"/>
          </w:tcPr>
          <w:p>
            <w:r/>
            <w:r>
              <w:rPr>
                <w:b w:val="0"/>
                <w:sz w:val="18"/>
              </w:rPr>
              <w:t>1</w:t>
            </w:r>
          </w:p>
        </w:tc>
        <w:tc>
          <w:tcPr>
            <w:tcW w:type="dxa" w:w="1881"/>
          </w:tcPr>
          <w:p>
            <w:r/>
            <w:r>
              <w:rPr>
                <w:b w:val="0"/>
                <w:sz w:val="18"/>
              </w:rPr>
              <w:t>Operativo</w:t>
            </w:r>
          </w:p>
        </w:tc>
      </w:tr>
      <w:tr>
        <w:tc>
          <w:tcPr>
            <w:tcW w:type="dxa" w:w="1881"/>
          </w:tcPr>
          <w:p>
            <w:r/>
            <w:r>
              <w:rPr>
                <w:b w:val="0"/>
                <w:sz w:val="18"/>
              </w:rPr>
              <w:t>4</w:t>
            </w:r>
          </w:p>
        </w:tc>
        <w:tc>
          <w:tcPr>
            <w:tcW w:type="dxa" w:w="1881"/>
          </w:tcPr>
          <w:p>
            <w:r/>
            <w:r>
              <w:rPr>
                <w:b w:val="0"/>
                <w:sz w:val="18"/>
              </w:rPr>
              <w:t>Escáner – alimentación automática 100 páginas, hasta 10,000 hojas/día, dúplex 60 páginas por minuto</w:t>
            </w:r>
          </w:p>
        </w:tc>
        <w:tc>
          <w:tcPr>
            <w:tcW w:type="dxa" w:w="1881"/>
          </w:tcPr>
          <w:p>
            <w:r/>
            <w:r>
              <w:rPr>
                <w:b w:val="0"/>
                <w:sz w:val="18"/>
              </w:rPr>
              <w:t>1</w:t>
            </w:r>
          </w:p>
        </w:tc>
        <w:tc>
          <w:tcPr>
            <w:tcW w:type="dxa" w:w="1881"/>
          </w:tcPr>
          <w:p>
            <w:r/>
            <w:r>
              <w:rPr>
                <w:b w:val="0"/>
                <w:sz w:val="18"/>
              </w:rPr>
              <w:t>1</w:t>
            </w:r>
          </w:p>
        </w:tc>
        <w:tc>
          <w:tcPr>
            <w:tcW w:type="dxa" w:w="1881"/>
          </w:tcPr>
          <w:p>
            <w:r/>
            <w:r>
              <w:rPr>
                <w:b w:val="0"/>
                <w:sz w:val="18"/>
              </w:rPr>
              <w:t>Operativo</w:t>
            </w:r>
          </w:p>
        </w:tc>
      </w:tr>
    </w:tbl>
    <w:p>
      <w:r>
        <w:rPr>
          <w:b/>
          <w:sz w:val="18"/>
        </w:rPr>
        <w:t xml:space="preserve">Nota: </w:t>
      </w:r>
      <w:r>
        <w:rPr>
          <w:sz w:val="18"/>
        </w:rPr>
        <w:t>Actualmente se encuentran en servicio 26 equipos de cómputo (1 adicional al contrato original de 25 unidades). El papel para las impresoras es suministrado por Promueve Más S.A.S.</w:t>
      </w:r>
    </w:p>
    <w:p/>
    <w:p>
      <w:pPr>
        <w:pStyle w:val="Heading2"/>
      </w:pPr>
      <w:r>
        <w:t>3. VERIFICACIÓN DEL CUMPLIMIENTO DE OBLIGACIONES CONTRACTUALES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F4761"/>
          </w:tcPr>
          <w:p>
            <w:r/>
            <w:r>
              <w:rPr>
                <w:b/>
                <w:color w:val="FFFFFF"/>
                <w:sz w:val="18"/>
              </w:rPr>
              <w:t>N°</w:t>
            </w:r>
          </w:p>
        </w:tc>
        <w:tc>
          <w:tcPr>
            <w:tcW w:type="dxa" w:w="2351"/>
            <w:shd w:val="clear" w:color="auto" w:fill="0F4761"/>
          </w:tcPr>
          <w:p>
            <w:r/>
            <w:r>
              <w:rPr>
                <w:b/>
                <w:color w:val="FFFFFF"/>
                <w:sz w:val="18"/>
              </w:rPr>
              <w:t>Obligación / Aspecto verificado</w:t>
            </w:r>
          </w:p>
        </w:tc>
        <w:tc>
          <w:tcPr>
            <w:tcW w:type="dxa" w:w="2351"/>
            <w:shd w:val="clear" w:color="auto" w:fill="0F4761"/>
          </w:tcPr>
          <w:p>
            <w:r/>
            <w:r>
              <w:rPr>
                <w:b/>
                <w:color w:val="FFFFFF"/>
                <w:sz w:val="18"/>
              </w:rPr>
              <w:t>¿Cumple?</w:t>
            </w:r>
          </w:p>
        </w:tc>
        <w:tc>
          <w:tcPr>
            <w:tcW w:type="dxa" w:w="2351"/>
            <w:shd w:val="clear" w:color="auto" w:fill="0F4761"/>
          </w:tcPr>
          <w:p>
            <w:r/>
            <w:r>
              <w:rPr>
                <w:b/>
                <w:color w:val="FFFFFF"/>
                <w:sz w:val="18"/>
              </w:rPr>
              <w:t>Observaciones</w:t>
            </w:r>
          </w:p>
        </w:tc>
      </w:tr>
      <w:tr>
        <w:tc>
          <w:tcPr>
            <w:tcW w:type="dxa" w:w="2351"/>
          </w:tcPr>
          <w:p>
            <w:r/>
            <w:r>
              <w:rPr>
                <w:b w:val="0"/>
                <w:sz w:val="18"/>
              </w:rPr>
              <w:t>1</w:t>
            </w:r>
          </w:p>
        </w:tc>
        <w:tc>
          <w:tcPr>
            <w:tcW w:type="dxa" w:w="2351"/>
          </w:tcPr>
          <w:p>
            <w:r/>
            <w:r>
              <w:rPr>
                <w:b w:val="0"/>
                <w:sz w:val="18"/>
              </w:rPr>
              <w:t>Disponibilidad de los equipos de cómputo (26 PCs operativos)</w:t>
            </w:r>
          </w:p>
        </w:tc>
        <w:tc>
          <w:tcPr>
            <w:tcW w:type="dxa" w:w="2351"/>
          </w:tcPr>
          <w:p>
            <w:r/>
            <w:r>
              <w:rPr>
                <w:b w:val="0"/>
                <w:sz w:val="18"/>
              </w:rPr>
              <w:t>SÍ</w:t>
            </w:r>
          </w:p>
        </w:tc>
        <w:tc>
          <w:tcPr>
            <w:tcW w:type="dxa" w:w="2351"/>
          </w:tcPr>
          <w:p>
            <w:r/>
            <w:r>
              <w:rPr>
                <w:b w:val="0"/>
                <w:sz w:val="18"/>
              </w:rPr>
              <w:t>Todos los equipos se encuentran en funcionamiento y asignados a los usuarios.</w:t>
            </w:r>
          </w:p>
        </w:tc>
      </w:tr>
      <w:tr>
        <w:tc>
          <w:tcPr>
            <w:tcW w:type="dxa" w:w="2351"/>
          </w:tcPr>
          <w:p>
            <w:r/>
            <w:r>
              <w:rPr>
                <w:b w:val="0"/>
                <w:sz w:val="18"/>
              </w:rPr>
              <w:t>2</w:t>
            </w:r>
          </w:p>
        </w:tc>
        <w:tc>
          <w:tcPr>
            <w:tcW w:type="dxa" w:w="2351"/>
          </w:tcPr>
          <w:p>
            <w:r/>
            <w:r>
              <w:rPr>
                <w:b w:val="0"/>
                <w:sz w:val="18"/>
              </w:rPr>
              <w:t>Disponibilidad de impresoras y escáner (4 láser + 1 inyección + 1 escáner)</w:t>
            </w:r>
          </w:p>
        </w:tc>
        <w:tc>
          <w:tcPr>
            <w:tcW w:type="dxa" w:w="2351"/>
          </w:tcPr>
          <w:p>
            <w:r/>
            <w:r>
              <w:rPr>
                <w:b w:val="0"/>
                <w:sz w:val="18"/>
              </w:rPr>
              <w:t>SÍ</w:t>
            </w:r>
          </w:p>
        </w:tc>
        <w:tc>
          <w:tcPr>
            <w:tcW w:type="dxa" w:w="2351"/>
          </w:tcPr>
          <w:p>
            <w:r/>
            <w:r>
              <w:rPr>
                <w:b w:val="0"/>
                <w:sz w:val="18"/>
              </w:rPr>
              <w:t>Todos los equipos de impresión y escaneo se encuentran operativos.</w:t>
            </w:r>
          </w:p>
        </w:tc>
      </w:tr>
      <w:tr>
        <w:tc>
          <w:tcPr>
            <w:tcW w:type="dxa" w:w="2351"/>
          </w:tcPr>
          <w:p>
            <w:r/>
            <w:r>
              <w:rPr>
                <w:b w:val="0"/>
                <w:sz w:val="18"/>
              </w:rPr>
              <w:t>3</w:t>
            </w:r>
          </w:p>
        </w:tc>
        <w:tc>
          <w:tcPr>
            <w:tcW w:type="dxa" w:w="2351"/>
          </w:tcPr>
          <w:p>
            <w:r/>
            <w:r>
              <w:rPr>
                <w:b w:val="0"/>
                <w:sz w:val="18"/>
              </w:rPr>
              <w:t>Licenciamiento de software (Windows 10 Pro + Office 365)</w:t>
            </w:r>
          </w:p>
        </w:tc>
        <w:tc>
          <w:tcPr>
            <w:tcW w:type="dxa" w:w="2351"/>
          </w:tcPr>
          <w:p>
            <w:r/>
            <w:r>
              <w:rPr>
                <w:b w:val="0"/>
                <w:sz w:val="18"/>
              </w:rPr>
              <w:t>SÍ</w:t>
            </w:r>
          </w:p>
        </w:tc>
        <w:tc>
          <w:tcPr>
            <w:tcW w:type="dxa" w:w="2351"/>
          </w:tcPr>
          <w:p>
            <w:r/>
            <w:r>
              <w:rPr>
                <w:b w:val="0"/>
                <w:sz w:val="18"/>
              </w:rPr>
              <w:t>Los equipos cuentan con el sistema operativo y la suite ofimática licenciados conforme al contrato.</w:t>
            </w:r>
          </w:p>
        </w:tc>
      </w:tr>
      <w:tr>
        <w:tc>
          <w:tcPr>
            <w:tcW w:type="dxa" w:w="2351"/>
          </w:tcPr>
          <w:p>
            <w:r/>
            <w:r>
              <w:rPr>
                <w:b w:val="0"/>
                <w:sz w:val="18"/>
              </w:rPr>
              <w:t>4</w:t>
            </w:r>
          </w:p>
        </w:tc>
        <w:tc>
          <w:tcPr>
            <w:tcW w:type="dxa" w:w="2351"/>
          </w:tcPr>
          <w:p>
            <w:r/>
            <w:r>
              <w:rPr>
                <w:b w:val="0"/>
                <w:sz w:val="18"/>
              </w:rPr>
              <w:t>Suministro de tóner para impresoras</w:t>
            </w:r>
          </w:p>
        </w:tc>
        <w:tc>
          <w:tcPr>
            <w:tcW w:type="dxa" w:w="2351"/>
          </w:tcPr>
          <w:p>
            <w:r/>
            <w:r>
              <w:rPr>
                <w:b w:val="0"/>
                <w:sz w:val="18"/>
              </w:rPr>
              <w:t>SÍ</w:t>
            </w:r>
          </w:p>
        </w:tc>
        <w:tc>
          <w:tcPr>
            <w:tcW w:type="dxa" w:w="2351"/>
          </w:tcPr>
          <w:p>
            <w:r/>
            <w:r>
              <w:rPr>
                <w:b w:val="0"/>
                <w:sz w:val="18"/>
              </w:rPr>
              <w:t>El proveedor ha suministrado los tóner requeridos para las impresoras láser y de inyección.</w:t>
            </w:r>
          </w:p>
        </w:tc>
      </w:tr>
      <w:tr>
        <w:tc>
          <w:tcPr>
            <w:tcW w:type="dxa" w:w="2351"/>
          </w:tcPr>
          <w:p>
            <w:r/>
            <w:r>
              <w:rPr>
                <w:b w:val="0"/>
                <w:sz w:val="18"/>
              </w:rPr>
              <w:t>5</w:t>
            </w:r>
          </w:p>
        </w:tc>
        <w:tc>
          <w:tcPr>
            <w:tcW w:type="dxa" w:w="2351"/>
          </w:tcPr>
          <w:p>
            <w:r/>
            <w:r>
              <w:rPr>
                <w:b w:val="0"/>
                <w:sz w:val="18"/>
              </w:rPr>
              <w:t>Mantenimiento preventivo de equipos</w:t>
            </w:r>
          </w:p>
        </w:tc>
        <w:tc>
          <w:tcPr>
            <w:tcW w:type="dxa" w:w="2351"/>
          </w:tcPr>
          <w:p>
            <w:r/>
            <w:r>
              <w:rPr>
                <w:b w:val="0"/>
                <w:sz w:val="18"/>
              </w:rPr>
              <w:t>NO</w:t>
            </w:r>
          </w:p>
        </w:tc>
        <w:tc>
          <w:tcPr>
            <w:tcW w:type="dxa" w:w="2351"/>
          </w:tcPr>
          <w:p>
            <w:r/>
            <w:r>
              <w:rPr>
                <w:b w:val="0"/>
                <w:sz w:val="18"/>
              </w:rPr>
              <w:t>Durante el primer trimestre de 2026, el proveedor NO ha realizado mantenimientos preventivos programados. Solo se han atendido solicitudes de mantenimiento correctivo.</w:t>
            </w:r>
          </w:p>
        </w:tc>
      </w:tr>
      <w:tr>
        <w:tc>
          <w:tcPr>
            <w:tcW w:type="dxa" w:w="2351"/>
          </w:tcPr>
          <w:p>
            <w:r/>
            <w:r>
              <w:rPr>
                <w:b w:val="0"/>
                <w:sz w:val="18"/>
              </w:rPr>
              <w:t>6</w:t>
            </w:r>
          </w:p>
        </w:tc>
        <w:tc>
          <w:tcPr>
            <w:tcW w:type="dxa" w:w="2351"/>
          </w:tcPr>
          <w:p>
            <w:r/>
            <w:r>
              <w:rPr>
                <w:b w:val="0"/>
                <w:sz w:val="18"/>
              </w:rPr>
              <w:t>Mantenimiento correctivo (atención de fallas reportadas)</w:t>
            </w:r>
          </w:p>
        </w:tc>
        <w:tc>
          <w:tcPr>
            <w:tcW w:type="dxa" w:w="2351"/>
          </w:tcPr>
          <w:p>
            <w:r/>
            <w:r>
              <w:rPr>
                <w:b w:val="0"/>
                <w:sz w:val="18"/>
              </w:rPr>
              <w:t>SÍ</w:t>
            </w:r>
          </w:p>
        </w:tc>
        <w:tc>
          <w:tcPr>
            <w:tcW w:type="dxa" w:w="2351"/>
          </w:tcPr>
          <w:p>
            <w:r/>
            <w:r>
              <w:rPr>
                <w:b w:val="0"/>
                <w:sz w:val="18"/>
              </w:rPr>
              <w:t>El proveedor ha atendido las fallas reportadas en un tiempo inferior a 48 horas, de acuerdo con lo requerido.</w:t>
            </w:r>
          </w:p>
        </w:tc>
      </w:tr>
      <w:tr>
        <w:tc>
          <w:tcPr>
            <w:tcW w:type="dxa" w:w="2351"/>
          </w:tcPr>
          <w:p>
            <w:r/>
            <w:r>
              <w:rPr>
                <w:b w:val="0"/>
                <w:sz w:val="18"/>
              </w:rPr>
              <w:t>7</w:t>
            </w:r>
          </w:p>
        </w:tc>
        <w:tc>
          <w:tcPr>
            <w:tcW w:type="dxa" w:w="2351"/>
          </w:tcPr>
          <w:p>
            <w:r/>
            <w:r>
              <w:rPr>
                <w:b w:val="0"/>
                <w:sz w:val="18"/>
              </w:rPr>
              <w:t>Suministro de repuestos (cuando aplica)</w:t>
            </w:r>
          </w:p>
        </w:tc>
        <w:tc>
          <w:tcPr>
            <w:tcW w:type="dxa" w:w="2351"/>
          </w:tcPr>
          <w:p>
            <w:r/>
            <w:r>
              <w:rPr>
                <w:b w:val="0"/>
                <w:sz w:val="18"/>
              </w:rPr>
              <w:t>SÍ</w:t>
            </w:r>
          </w:p>
        </w:tc>
        <w:tc>
          <w:tcPr>
            <w:tcW w:type="dxa" w:w="2351"/>
          </w:tcPr>
          <w:p>
            <w:r/>
            <w:r>
              <w:rPr>
                <w:b w:val="0"/>
                <w:sz w:val="18"/>
              </w:rPr>
              <w:t>No se han requerido repuestos significativos en este período. El proveedor ha cumplido cuando se ha necesitado.</w:t>
            </w:r>
          </w:p>
        </w:tc>
      </w:tr>
      <w:tr>
        <w:tc>
          <w:tcPr>
            <w:tcW w:type="dxa" w:w="2351"/>
          </w:tcPr>
          <w:p>
            <w:r/>
            <w:r>
              <w:rPr>
                <w:b w:val="0"/>
                <w:sz w:val="18"/>
              </w:rPr>
              <w:t>8</w:t>
            </w:r>
          </w:p>
        </w:tc>
        <w:tc>
          <w:tcPr>
            <w:tcW w:type="dxa" w:w="2351"/>
          </w:tcPr>
          <w:p>
            <w:r/>
            <w:r>
              <w:rPr>
                <w:b w:val="0"/>
                <w:sz w:val="18"/>
              </w:rPr>
              <w:t>Estado físico general de los equipos</w:t>
            </w:r>
          </w:p>
        </w:tc>
        <w:tc>
          <w:tcPr>
            <w:tcW w:type="dxa" w:w="2351"/>
          </w:tcPr>
          <w:p>
            <w:r/>
            <w:r>
              <w:rPr>
                <w:b w:val="0"/>
                <w:sz w:val="18"/>
              </w:rPr>
              <w:t>SÍ</w:t>
            </w:r>
          </w:p>
        </w:tc>
        <w:tc>
          <w:tcPr>
            <w:tcW w:type="dxa" w:w="2351"/>
          </w:tcPr>
          <w:p>
            <w:r/>
            <w:r>
              <w:rPr>
                <w:b w:val="0"/>
                <w:sz w:val="18"/>
              </w:rPr>
              <w:t>Los equipos se encuentran en buen estado físico, sin daños visibles ni deterioro anormal.</w:t>
            </w:r>
          </w:p>
        </w:tc>
      </w:tr>
    </w:tbl>
    <w:p/>
    <w:p>
      <w:pPr>
        <w:pStyle w:val="Heading2"/>
      </w:pPr>
      <w:r>
        <w:t>4. HALLAZGOS Y OBSERVACIONES</w:t>
      </w:r>
    </w:p>
    <w:p>
      <w:pPr>
        <w:jc w:val="both"/>
      </w:pPr>
      <w:r>
        <w:rPr>
          <w:b/>
        </w:rPr>
        <w:t xml:space="preserve">4.1 Hallazgo – Mantenimiento preventivo: </w:t>
      </w:r>
      <w:r>
        <w:t>Se evidencia que durante el período objeto de seguimiento, el contratista Computar S.A.S. NO ha realizado mantenimientos preventivos programados a los equipos de cómputo, impresoras ni escáner. Los mantenimientos que se han realizado corresponden únicamente a mantenimientos correctivos solicitados por la entidad ante la ocurrencia de fallas. El contrato establece que el servicio incluye mantenimiento preventivo y correctivo, por lo que se requiere al proveedor adelantar los mantenimientos preventivos correspondientes.</w:t>
      </w:r>
    </w:p>
    <w:p>
      <w:pPr>
        <w:jc w:val="both"/>
      </w:pPr>
      <w:r>
        <w:rPr>
          <w:b/>
        </w:rPr>
        <w:t xml:space="preserve">4.2 Aspecto positivo – Tiempo de respuesta: </w:t>
      </w:r>
      <w:r>
        <w:t>Se reconoce que el proveedor ha atendido las solicitudes de mantenimiento correctivo (reporte de fallas) en un tiempo inferior a cuarenta y ocho (48) horas, lo cual se considera satisfactorio para las necesidades operativas de la entidad.</w:t>
      </w:r>
    </w:p>
    <w:p>
      <w:pPr>
        <w:jc w:val="both"/>
      </w:pPr>
      <w:r>
        <w:rPr>
          <w:b/>
        </w:rPr>
        <w:t xml:space="preserve">4.3 Estado general: </w:t>
      </w:r>
      <w:r>
        <w:t>A la fecha del presente seguimiento, la totalidad de los equipos objeto del contrato (26 computadores portátiles, 4 impresoras láser, 1 impresora de inyección y 1 escáner) se encuentran operativos y en buen estado, cumpliendo con las especificaciones técnicas pactadas en el contrato.</w:t>
      </w:r>
    </w:p>
    <w:p/>
    <w:p>
      <w:pPr>
        <w:pStyle w:val="Heading2"/>
      </w:pPr>
      <w:r>
        <w:t>5. REQUERIMIENTOS AL CONTRATISTA</w:t>
      </w:r>
    </w:p>
    <w:p>
      <w:pPr>
        <w:pStyle w:val="ListParagraph"/>
        <w:ind w:left="340"/>
      </w:pPr>
      <w:r>
        <w:t>•  Se requiere a Computar S.A.S. programar y ejecutar los mantenimientos preventivos a la totalidad de los equipos objeto del contrato (computadores, impresoras y escáner), conforme a las condiciones pactadas contractualmente. Se solicita remitir cronograma de mantenimiento preventivo a la Dirección Administrativa y Financiera de Promueve Más S.A.S.</w:t>
      </w:r>
    </w:p>
    <w:p>
      <w:pPr>
        <w:pStyle w:val="ListParagraph"/>
        <w:ind w:left="340"/>
      </w:pPr>
      <w:r>
        <w:t>•  Se recomienda establecer una periodicidad mínima trimestral para los mantenimientos preventivos, con registro en acta de los equipos intervenidos.</w:t>
      </w:r>
    </w:p>
    <w:p/>
    <w:p>
      <w:pPr>
        <w:pStyle w:val="Heading2"/>
      </w:pPr>
      <w:r>
        <w:t>6. CONCLUSIÓN</w:t>
      </w:r>
    </w:p>
    <w:p>
      <w:pPr>
        <w:jc w:val="both"/>
      </w:pPr>
      <w:r>
        <w:t>Con base en la verificación realizada durante el período Enero – Marzo de 2026 (Primer trimestre), se concluye que el contratista Computar S.A.S. ha cumplido parcialmente con las obligaciones derivadas del contrato de alquiler de equipos de cómputo e impresión, en la medida en que todos los equipos se encuentran operativos y disponibles, el suministro de tóner ha sido oportuno y la atención de fallas se ha realizado dentro de tiempos razonables. No obstante, se evidencia el incumplimiento en la ejecución de los mantenimientos preventivos programados, aspecto sobre el cual se formula el requerimiento correspondiente al proveedor.</w:t>
      </w:r>
    </w:p>
    <w:p/>
    <w:p/>
    <w:p>
      <w:pPr>
        <w:pStyle w:val="Heading2"/>
      </w:pPr>
      <w:r>
        <w:t>7. FIRMAS</w:t>
      </w:r>
    </w:p>
    <w:p/>
    <w:tbl>
      <w:tblPr>
        <w:tblW w:type="auto" w:w="0"/>
        <w:tblLook w:firstColumn="1" w:firstRow="1" w:lastColumn="0" w:lastRow="0" w:noHBand="0" w:noVBand="1" w:val="04A0"/>
      </w:tblPr>
      <w:tblGrid>
        <w:gridCol w:w="9406"/>
      </w:tblGrid>
      <w:tr>
        <w:tc>
          <w:tcPr>
            <w:tcW w:type="dxa" w:w="9406"/>
          </w:tcPr>
          <w:p>
            <w:r/>
            <w:r>
              <w:rPr>
                <w:b w:val="0"/>
                <w:sz w:val="20"/>
              </w:rPr>
            </w:r>
          </w:p>
        </w:tc>
      </w:tr>
      <w:tr>
        <w:tc>
          <w:tcPr>
            <w:tcW w:type="dxa" w:w="9406"/>
          </w:tcPr>
          <w:p>
            <w:r/>
            <w:r>
              <w:rPr>
                <w:b w:val="0"/>
                <w:sz w:val="20"/>
              </w:rPr>
              <w:t>_______________________________________</w:t>
            </w:r>
          </w:p>
        </w:tc>
      </w:tr>
      <w:tr>
        <w:tc>
          <w:tcPr>
            <w:tcW w:type="dxa" w:w="9406"/>
          </w:tcPr>
          <w:p>
            <w:r/>
            <w:r>
              <w:rPr>
                <w:b/>
                <w:sz w:val="20"/>
              </w:rPr>
              <w:t>HAMILTON QUINTERO GARCÍA</w:t>
            </w:r>
          </w:p>
        </w:tc>
      </w:tr>
      <w:tr>
        <w:tc>
          <w:tcPr>
            <w:tcW w:type="dxa" w:w="9406"/>
          </w:tcPr>
          <w:p>
            <w:r/>
            <w:r>
              <w:rPr>
                <w:b w:val="0"/>
                <w:sz w:val="20"/>
              </w:rPr>
              <w:t>Técnico Administrativo y Financiero</w:t>
              <w:br/>
              <w:t>Promueve Más S.A.S.</w:t>
              <w:br/>
              <w:t>Dirección Administrativa y Financiera</w:t>
            </w:r>
          </w:p>
        </w:tc>
      </w:tr>
    </w:tbl>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