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2"/>
      </w:tblGrid>
      <w:tr>
        <w:tc>
          <w:tcPr>
            <w:tcW w:type="dxa" w:w="9632"/>
            <w:vAlign w:val="center"/>
            <w:shd w:fill="203864"/>
          </w:tcPr>
          <w:p>
            <w:pPr>
              <w:spacing w:after="0"/>
              <w:jc w:val="center"/>
            </w:pPr>
            <w:r/>
            <w:r>
              <w:rPr>
                <w:rFonts w:ascii="Arial" w:hAnsi="Arial"/>
                <w:b/>
                <w:color w:val="FFFFFF"/>
                <w:sz w:val="26"/>
              </w:rPr>
              <w:t>PROMUEVE MÁS S.A.S.</w:t>
            </w:r>
          </w:p>
        </w:tc>
      </w:tr>
    </w:tbl>
    <w:p>
      <w:pPr>
        <w:jc w:val="center"/>
      </w:pPr>
      <w:r>
        <w:rPr>
          <w:rFonts w:ascii="Arial" w:hAnsi="Arial"/>
          <w:b/>
          <w:color w:val="203864"/>
          <w:sz w:val="28"/>
        </w:rPr>
        <w:t>INFORME DE SEGUIMIENTO A LA SEGURIDAD</w:t>
        <w:br/>
        <w:t>DEL ARCHIVO CENTRAL E HISTÓRICO</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tcPr>
          <w:p>
            <w:pPr>
              <w:spacing w:after="0"/>
              <w:jc w:val="center"/>
            </w:pPr>
            <w:r/>
            <w:r>
              <w:rPr>
                <w:rFonts w:ascii="Arial" w:hAnsi="Arial"/>
                <w:b/>
                <w:sz w:val="17"/>
              </w:rPr>
              <w:t>Código: INF-GD-003</w:t>
            </w:r>
          </w:p>
        </w:tc>
        <w:tc>
          <w:tcPr>
            <w:tcW w:type="dxa" w:w="3211"/>
            <w:vAlign w:val="center"/>
          </w:tcPr>
          <w:p>
            <w:pPr>
              <w:spacing w:after="0"/>
              <w:jc w:val="center"/>
            </w:pPr>
            <w:r/>
            <w:r>
              <w:rPr>
                <w:rFonts w:ascii="Arial" w:hAnsi="Arial"/>
                <w:b/>
                <w:sz w:val="17"/>
              </w:rPr>
              <w:t>Versión: 1.0</w:t>
            </w:r>
          </w:p>
        </w:tc>
        <w:tc>
          <w:tcPr>
            <w:tcW w:type="dxa" w:w="3211"/>
            <w:vAlign w:val="center"/>
          </w:tcPr>
          <w:p>
            <w:pPr>
              <w:spacing w:after="0"/>
              <w:jc w:val="center"/>
            </w:pPr>
            <w:r/>
            <w:r>
              <w:rPr>
                <w:rFonts w:ascii="Arial" w:hAnsi="Arial"/>
                <w:b/>
                <w:sz w:val="17"/>
              </w:rPr>
              <w:t>Fecha: Julio de 2026</w:t>
            </w:r>
          </w:p>
        </w:tc>
      </w:tr>
    </w:tbl>
    <w:p/>
    <w:p>
      <w:pPr>
        <w:jc w:val="both"/>
      </w:pPr>
      <w:r>
        <w:t>El presente informe documenta el seguimiento semestral a la seguridad y condiciones de conservación del archivo institucional de Promueve Más S.A.S., correspondiente al primer semestre de 2026, en cumplimiento de la actividad "Seguimientos a la Seguridad del archivo" del Plan Institucional de Archivos (PINAR).</w:t>
      </w:r>
    </w:p>
    <w:p>
      <w:pPr>
        <w:pStyle w:val="Heading1"/>
      </w:pPr>
      <w:r>
        <w:t>1. DATOS DE LA VERIFICACIÓN</w:t>
      </w:r>
    </w:p>
    <w:tbl>
      <w:tblPr>
        <w:tblStyle w:val="TableGrid"/>
        <w:tblW w:type="auto" w:w="0"/>
        <w:tblLook w:firstColumn="1" w:firstRow="1" w:lastColumn="0" w:lastRow="0" w:noHBand="0" w:noVBand="1" w:val="04A0"/>
      </w:tblPr>
      <w:tblGrid>
        <w:gridCol w:w="4816"/>
        <w:gridCol w:w="4816"/>
      </w:tblGrid>
      <w:tr>
        <w:tc>
          <w:tcPr>
            <w:tcW w:type="dxa" w:w="4816"/>
            <w:vAlign w:val="center"/>
            <w:shd w:fill="2F5597"/>
          </w:tcPr>
          <w:p>
            <w:pPr>
              <w:spacing w:after="0"/>
              <w:jc w:val="left"/>
            </w:pPr>
            <w:r/>
            <w:r>
              <w:rPr>
                <w:rFonts w:ascii="Arial" w:hAnsi="Arial"/>
                <w:b/>
                <w:color w:val="FFFFFF"/>
                <w:sz w:val="18"/>
              </w:rPr>
              <w:t>Archivo verificado</w:t>
            </w:r>
          </w:p>
        </w:tc>
        <w:tc>
          <w:tcPr>
            <w:tcW w:type="dxa" w:w="4816"/>
            <w:vAlign w:val="center"/>
          </w:tcPr>
          <w:p>
            <w:pPr>
              <w:spacing w:after="0"/>
              <w:jc w:val="left"/>
            </w:pPr>
            <w:r/>
            <w:r>
              <w:rPr>
                <w:rFonts w:ascii="Arial" w:hAnsi="Arial"/>
                <w:b w:val="0"/>
                <w:sz w:val="18"/>
              </w:rPr>
              <w:t>Archivo histórico – bodega de custodia de GDI</w:t>
            </w:r>
          </w:p>
        </w:tc>
      </w:tr>
      <w:tr>
        <w:tc>
          <w:tcPr>
            <w:tcW w:type="dxa" w:w="4816"/>
            <w:vAlign w:val="center"/>
            <w:shd w:fill="2F5597"/>
          </w:tcPr>
          <w:p>
            <w:pPr>
              <w:spacing w:after="0"/>
              <w:jc w:val="left"/>
            </w:pPr>
            <w:r/>
            <w:r>
              <w:rPr>
                <w:rFonts w:ascii="Arial" w:hAnsi="Arial"/>
                <w:b/>
                <w:color w:val="FFFFFF"/>
                <w:sz w:val="18"/>
              </w:rPr>
              <w:t>Fecha de la visita</w:t>
            </w:r>
          </w:p>
        </w:tc>
        <w:tc>
          <w:tcPr>
            <w:tcW w:type="dxa" w:w="4816"/>
            <w:vAlign w:val="center"/>
          </w:tcPr>
          <w:p>
            <w:pPr>
              <w:spacing w:after="0"/>
              <w:jc w:val="left"/>
            </w:pPr>
            <w:r/>
            <w:r>
              <w:rPr>
                <w:rFonts w:ascii="Arial" w:hAnsi="Arial"/>
                <w:b w:val="0"/>
                <w:sz w:val="18"/>
              </w:rPr>
              <w:t>[PENDIENTE — completar con la fecha exacta de la visita]</w:t>
            </w:r>
          </w:p>
        </w:tc>
      </w:tr>
      <w:tr>
        <w:tc>
          <w:tcPr>
            <w:tcW w:type="dxa" w:w="4816"/>
            <w:vAlign w:val="center"/>
            <w:shd w:fill="2F5597"/>
          </w:tcPr>
          <w:p>
            <w:pPr>
              <w:spacing w:after="0"/>
              <w:jc w:val="left"/>
            </w:pPr>
            <w:r/>
            <w:r>
              <w:rPr>
                <w:rFonts w:ascii="Arial" w:hAnsi="Arial"/>
                <w:b/>
                <w:color w:val="FFFFFF"/>
                <w:sz w:val="18"/>
              </w:rPr>
              <w:t>Realizada por</w:t>
            </w:r>
          </w:p>
        </w:tc>
        <w:tc>
          <w:tcPr>
            <w:tcW w:type="dxa" w:w="4816"/>
            <w:vAlign w:val="center"/>
          </w:tcPr>
          <w:p>
            <w:pPr>
              <w:spacing w:after="0"/>
              <w:jc w:val="left"/>
            </w:pPr>
            <w:r/>
            <w:r>
              <w:rPr>
                <w:rFonts w:ascii="Arial" w:hAnsi="Arial"/>
                <w:b w:val="0"/>
                <w:sz w:val="18"/>
              </w:rPr>
              <w:t>Hamilton Quintero García – Técnico Administrativo y Financiero</w:t>
            </w:r>
          </w:p>
        </w:tc>
      </w:tr>
      <w:tr>
        <w:tc>
          <w:tcPr>
            <w:tcW w:type="dxa" w:w="4816"/>
            <w:vAlign w:val="center"/>
            <w:shd w:fill="2F5597"/>
          </w:tcPr>
          <w:p>
            <w:pPr>
              <w:spacing w:after="0"/>
              <w:jc w:val="left"/>
            </w:pPr>
            <w:r/>
            <w:r>
              <w:rPr>
                <w:rFonts w:ascii="Arial" w:hAnsi="Arial"/>
                <w:b/>
                <w:color w:val="FFFFFF"/>
                <w:sz w:val="18"/>
              </w:rPr>
              <w:t>Custodio del archivo histórico</w:t>
            </w:r>
          </w:p>
        </w:tc>
        <w:tc>
          <w:tcPr>
            <w:tcW w:type="dxa" w:w="4816"/>
            <w:vAlign w:val="center"/>
          </w:tcPr>
          <w:p>
            <w:pPr>
              <w:spacing w:after="0"/>
              <w:jc w:val="left"/>
            </w:pPr>
            <w:r/>
            <w:r>
              <w:rPr>
                <w:rFonts w:ascii="Arial" w:hAnsi="Arial"/>
                <w:b w:val="0"/>
                <w:sz w:val="18"/>
              </w:rPr>
              <w:t>GDI</w:t>
            </w:r>
          </w:p>
        </w:tc>
      </w:tr>
      <w:tr>
        <w:tc>
          <w:tcPr>
            <w:tcW w:type="dxa" w:w="4816"/>
            <w:vAlign w:val="center"/>
            <w:shd w:fill="2F5597"/>
          </w:tcPr>
          <w:p>
            <w:pPr>
              <w:spacing w:after="0"/>
              <w:jc w:val="left"/>
            </w:pPr>
            <w:r/>
            <w:r>
              <w:rPr>
                <w:rFonts w:ascii="Arial" w:hAnsi="Arial"/>
                <w:b/>
                <w:color w:val="FFFFFF"/>
                <w:sz w:val="18"/>
              </w:rPr>
              <w:t>Periodicidad del seguimiento</w:t>
            </w:r>
          </w:p>
        </w:tc>
        <w:tc>
          <w:tcPr>
            <w:tcW w:type="dxa" w:w="4816"/>
            <w:vAlign w:val="center"/>
          </w:tcPr>
          <w:p>
            <w:pPr>
              <w:spacing w:after="0"/>
              <w:jc w:val="left"/>
            </w:pPr>
            <w:r/>
            <w:r>
              <w:rPr>
                <w:rFonts w:ascii="Arial" w:hAnsi="Arial"/>
                <w:b w:val="0"/>
                <w:sz w:val="18"/>
              </w:rPr>
              <w:t>Semestral, conforme al PINAR 2026</w:t>
            </w:r>
          </w:p>
        </w:tc>
      </w:tr>
    </w:tbl>
    <w:p>
      <w:pPr>
        <w:pStyle w:val="Heading1"/>
      </w:pPr>
      <w:r>
        <w:t>2. OBJETIVO DE LA VERIFICACIÓN</w:t>
      </w:r>
    </w:p>
    <w:p>
      <w:pPr>
        <w:jc w:val="both"/>
      </w:pPr>
      <w:r>
        <w:t>Verificar en sitio las condiciones de seguridad, custodia y conservación en las que GDI mantiene el archivo histórico de Promueve Más S.A.S., como parte del seguimiento semestral establecido en el PINAR 2026, y dejar constancia documental y fotográfica de dicha verificación.</w:t>
      </w:r>
    </w:p>
    <w:p>
      <w:pPr>
        <w:pStyle w:val="Heading1"/>
      </w:pPr>
      <w:r>
        <w:t>3. REGISTRO FOTOGRÁFICO</w:t>
      </w:r>
    </w:p>
    <w:p>
      <w:pPr>
        <w:jc w:val="both"/>
      </w:pPr>
      <w:r>
        <w:t>[ESPACIO RESERVADO PARA EL REGISTRO FOTOGRÁFICO DE LA VISITA A LA BODEGA DE GDI]</w:t>
      </w:r>
    </w:p>
    <w:p>
      <w:pPr>
        <w:jc w:val="center"/>
      </w:pPr>
      <w:r>
        <w:rPr>
          <w:i/>
        </w:rPr>
        <w:t>Las fotografías de la visita aún no han sido incorporadas a este documento.</w:t>
        <w:br/>
        <w:t>Una vez remitidas, se insertarán en esta sección junto con su respectiva descripción</w:t>
        <w:br/>
        <w:t>(fecha, área fotografiada y observación puntual de cada imagen).</w:t>
      </w:r>
    </w:p>
    <w:tbl>
      <w:tblPr>
        <w:tblStyle w:val="TableGrid"/>
        <w:tblW w:type="auto" w:w="0"/>
        <w:tblLook w:firstColumn="1" w:firstRow="1" w:lastColumn="0" w:lastRow="0" w:noHBand="0" w:noVBand="1" w:val="04A0"/>
      </w:tblPr>
      <w:tblGrid>
        <w:gridCol w:w="3211"/>
        <w:gridCol w:w="3211"/>
        <w:gridCol w:w="3211"/>
      </w:tblGrid>
      <w:tr>
        <w:tc>
          <w:tcPr>
            <w:tcW w:type="dxa" w:w="3211"/>
            <w:vAlign w:val="center"/>
            <w:shd w:fill="2F5597"/>
          </w:tcPr>
          <w:p>
            <w:pPr>
              <w:spacing w:after="0"/>
              <w:jc w:val="center"/>
            </w:pPr>
            <w:r/>
            <w:r>
              <w:rPr>
                <w:rFonts w:ascii="Arial" w:hAnsi="Arial"/>
                <w:b/>
                <w:color w:val="FFFFFF"/>
                <w:sz w:val="18"/>
              </w:rPr>
              <w:t>N.° de fotografía</w:t>
            </w:r>
          </w:p>
        </w:tc>
        <w:tc>
          <w:tcPr>
            <w:tcW w:type="dxa" w:w="3211"/>
            <w:vAlign w:val="center"/>
            <w:shd w:fill="2F5597"/>
          </w:tcPr>
          <w:p>
            <w:pPr>
              <w:spacing w:after="0"/>
              <w:jc w:val="center"/>
            </w:pPr>
            <w:r/>
            <w:r>
              <w:rPr>
                <w:rFonts w:ascii="Arial" w:hAnsi="Arial"/>
                <w:b/>
                <w:color w:val="FFFFFF"/>
                <w:sz w:val="18"/>
              </w:rPr>
              <w:t>Área / elemento fotografiado</w:t>
            </w:r>
          </w:p>
        </w:tc>
        <w:tc>
          <w:tcPr>
            <w:tcW w:type="dxa" w:w="3211"/>
            <w:vAlign w:val="center"/>
            <w:shd w:fill="2F5597"/>
          </w:tcPr>
          <w:p>
            <w:pPr>
              <w:spacing w:after="0"/>
              <w:jc w:val="center"/>
            </w:pPr>
            <w:r/>
            <w:r>
              <w:rPr>
                <w:rFonts w:ascii="Arial" w:hAnsi="Arial"/>
                <w:b/>
                <w:color w:val="FFFFFF"/>
                <w:sz w:val="18"/>
              </w:rPr>
              <w:t>Observación</w:t>
            </w:r>
          </w:p>
        </w:tc>
      </w:tr>
      <w:tr>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r>
      <w:tr>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r>
      <w:tr>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r>
      <w:tr>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r>
      <w:tr>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r>
      <w:tr>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c>
          <w:tcPr>
            <w:tcW w:type="dxa" w:w="3211"/>
            <w:vAlign w:val="center"/>
          </w:tcPr>
          <w:p>
            <w:pPr>
              <w:spacing w:after="0"/>
              <w:jc w:val="left"/>
            </w:pPr>
            <w:r/>
            <w:r>
              <w:rPr>
                <w:rFonts w:ascii="Arial" w:hAnsi="Arial"/>
                <w:b w:val="0"/>
                <w:sz w:val="18"/>
              </w:rPr>
            </w:r>
          </w:p>
        </w:tc>
      </w:tr>
    </w:tbl>
    <w:p>
      <w:pPr>
        <w:pStyle w:val="Heading1"/>
      </w:pPr>
      <w:r>
        <w:t>4. HALLAZGOS DE LA VERIFICACIÓN</w:t>
      </w:r>
    </w:p>
    <w:p>
      <w:pPr>
        <w:jc w:val="both"/>
      </w:pPr>
      <w:r>
        <w:t>Cumple con todos los estándares de seguridad conforme lo dicta el Archivo General de la Nación.</w:t>
      </w:r>
    </w:p>
    <w:p>
      <w:pPr>
        <w:pStyle w:val="Heading1"/>
      </w:pPr>
      <w:r>
        <w:t>5. RECOMENDACIONES DE LA VISITA</w:t>
      </w:r>
    </w:p>
    <w:p>
      <w:pPr>
        <w:jc w:val="both"/>
      </w:pPr>
      <w:r>
        <w:t>No se identificaron hallazgos que requieran acciones correctivas. Se recomienda mantener la periodicidad semestral de este seguimiento y conservar el registro fotográfico como evidencia documental de cada verificación.</w:t>
      </w:r>
    </w:p>
    <w:p>
      <w:pPr>
        <w:pStyle w:val="Heading1"/>
      </w:pPr>
      <w:r>
        <w:t>6. CONCLUSIÓN</w:t>
      </w:r>
    </w:p>
    <w:p>
      <w:pPr>
        <w:jc w:val="both"/>
      </w:pPr>
      <w:r>
        <w:t>El presente informe constituye la evidencia documental del seguimiento semestral a la seguridad del archivo histórico, correspondiente al primer semestre de 2026, en cumplimiento de la actividad respectiva del PINAR. La verificación en sitio determinó que el archivo histórico custodiado por GDI cumple con los estándares de seguridad establecidos por el Archivo General de la Nación. El documento se encuentra pendiente de completar con el registro fotográfico de la visita, el cual se incorporará como anexo una vez sea remitido por el responsable.</w:t>
      </w:r>
    </w:p>
    <w:p>
      <w:pPr>
        <w:pStyle w:val="Heading1"/>
      </w:pPr>
      <w:r>
        <w:t>7. RESPONSABLE DEL INFORME</w:t>
      </w:r>
    </w:p>
    <w:p/>
    <w:p/>
    <w:p>
      <w:r>
        <w:t>________________________________________</w:t>
      </w:r>
    </w:p>
    <w:p>
      <w:r>
        <w:rPr>
          <w:b/>
        </w:rPr>
        <w:t>HAMILTON QUINTERO GARCÍA</w:t>
      </w:r>
    </w:p>
    <w:p>
      <w:r>
        <w:t>Técnico Administrativo y Financiero</w:t>
      </w:r>
    </w:p>
    <w:p>
      <w:r>
        <w:t>Promueve Más S.A.S.</w:t>
      </w:r>
    </w:p>
    <w:sectPr w:rsidR="00FC693F" w:rsidRPr="0006063C" w:rsidSect="00034616">
      <w:headerReference w:type="default" r:id="rId9"/>
      <w:footerReference w:type="default" r:id="rId10"/>
      <w:pgSz w:w="12240" w:h="15840"/>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PROMUEVE MÁS S.A.S. – Calle 18 # 7C-47 – Tel: 3104191960 – operaciones@promuevemas.com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59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