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2"/>
      </w:tblGrid>
      <w:tr>
        <w:tc>
          <w:tcPr>
            <w:tcW w:type="dxa" w:w="9632"/>
            <w:vAlign w:val="center"/>
            <w:shd w:fill="203864"/>
          </w:tcPr>
          <w:p>
            <w:pPr>
              <w:spacing w:after="0"/>
              <w:jc w:val="center"/>
            </w:pPr>
            <w:r/>
            <w:r>
              <w:rPr>
                <w:rFonts w:ascii="Arial" w:hAnsi="Arial"/>
                <w:b/>
                <w:color w:val="FFFFFF"/>
                <w:sz w:val="26"/>
              </w:rPr>
              <w:t>PROMUEVE MÁS S.A.S.</w:t>
            </w:r>
          </w:p>
        </w:tc>
      </w:tr>
    </w:tbl>
    <w:p>
      <w:pPr>
        <w:jc w:val="center"/>
      </w:pPr>
      <w:r>
        <w:rPr>
          <w:rFonts w:ascii="Arial" w:hAnsi="Arial"/>
          <w:b/>
          <w:color w:val="203864"/>
          <w:sz w:val="28"/>
        </w:rPr>
        <w:t>LINEAMIENTOS PARA LA ORGANIZACIÓN DEL</w:t>
        <w:br/>
        <w:t>ARCHIVO PRIMARIO POR ÁREAS</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tcPr>
          <w:p>
            <w:pPr>
              <w:spacing w:after="0"/>
              <w:jc w:val="center"/>
            </w:pPr>
            <w:r/>
            <w:r>
              <w:rPr>
                <w:rFonts w:ascii="Arial" w:hAnsi="Arial"/>
                <w:b/>
                <w:sz w:val="17"/>
              </w:rPr>
              <w:t>Código: LIN-GD-002</w:t>
            </w:r>
          </w:p>
        </w:tc>
        <w:tc>
          <w:tcPr>
            <w:tcW w:type="dxa" w:w="3211"/>
            <w:vAlign w:val="center"/>
          </w:tcPr>
          <w:p>
            <w:pPr>
              <w:spacing w:after="0"/>
              <w:jc w:val="center"/>
            </w:pPr>
            <w:r/>
            <w:r>
              <w:rPr>
                <w:rFonts w:ascii="Arial" w:hAnsi="Arial"/>
                <w:b/>
                <w:sz w:val="17"/>
              </w:rPr>
              <w:t>Versión: 1.0</w:t>
            </w:r>
          </w:p>
        </w:tc>
        <w:tc>
          <w:tcPr>
            <w:tcW w:type="dxa" w:w="3211"/>
            <w:vAlign w:val="center"/>
          </w:tcPr>
          <w:p>
            <w:pPr>
              <w:spacing w:after="0"/>
              <w:jc w:val="center"/>
            </w:pPr>
            <w:r/>
            <w:r>
              <w:rPr>
                <w:rFonts w:ascii="Arial" w:hAnsi="Arial"/>
                <w:b/>
                <w:sz w:val="17"/>
              </w:rPr>
              <w:t>Fecha: Julio de 2026</w:t>
            </w:r>
          </w:p>
        </w:tc>
      </w:tr>
    </w:tbl>
    <w:p/>
    <w:p>
      <w:pPr>
        <w:jc w:val="both"/>
      </w:pPr>
      <w:r>
        <w:t>El presente documento establece los lineamientos mínimos que cada área o dependencia de Promueve Más S.A.S. debe observar para la custodia y organización de su archivo primario (archivo de gestión) durante la vigencia 2026, como parte de la actividad de Organización del Archivo Central del Plan Institucional de Archivos (PINAR). Cada área es responsable de su archivo primario hasta el momento de su transferencia formal al archivo central, al cierre de la vigencia o cuando la Dirección Administrativa y Financiera lo requiera.</w:t>
      </w:r>
    </w:p>
    <w:p>
      <w:pPr>
        <w:pStyle w:val="Heading1"/>
      </w:pPr>
      <w:r>
        <w:t>1. OBJETIVO</w:t>
      </w:r>
    </w:p>
    <w:p>
      <w:pPr>
        <w:jc w:val="both"/>
      </w:pPr>
      <w:r>
        <w:t>Establecer los criterios técnicos y las responsabilidades de cada área para mantener su archivo de gestión organizado, íntegro y en condiciones adecuadas de conservación, de manera que su posterior transferencia al archivo central se realice de forma ordenada y verificable.</w:t>
      </w:r>
    </w:p>
    <w:p>
      <w:pPr>
        <w:pStyle w:val="Heading1"/>
      </w:pPr>
      <w:r>
        <w:t>2. ALCANCE</w:t>
      </w:r>
    </w:p>
    <w:p>
      <w:pPr>
        <w:jc w:val="both"/>
      </w:pPr>
      <w:r>
        <w:t>Aplica a todas las áreas y dependencias de Promueve Más S.A.S. que produzcan, reciban o custodien documentación física o electrónica en el desarrollo de sus funciones, durante la vigencia 2026.</w:t>
      </w:r>
    </w:p>
    <w:p>
      <w:pPr>
        <w:pStyle w:val="Heading1"/>
      </w:pPr>
      <w:r>
        <w:t>3. LINEAMIENTOS GENERALES</w:t>
      </w:r>
    </w:p>
    <w:p>
      <w:pPr>
        <w:pStyle w:val="ListBullet"/>
        <w:jc w:val="both"/>
      </w:pPr>
      <w:r>
        <w:t>Cada área debe mantener su archivo de gestión ordenado cronológica y/o temáticamente, agrupado por asuntos o series documentales, evitando la mezcla de documentos de distinta naturaleza dentro de una misma carpeta.</w:t>
      </w:r>
    </w:p>
    <w:p>
      <w:pPr>
        <w:pStyle w:val="ListBullet"/>
        <w:jc w:val="both"/>
      </w:pPr>
      <w:r>
        <w:t>Los documentos deben conservarse en carpetas identificadas con rótulo visible que indique, como mínimo: nombre del área, asunto o serie, y fechas extremas.</w:t>
      </w:r>
    </w:p>
    <w:p>
      <w:pPr>
        <w:pStyle w:val="ListBullet"/>
      </w:pPr>
      <w:r>
        <w:t>Toda unidad documental (carpeta) debe estar debidamente foliada: cada hoja se numera en orden consecutivo, sin omisiones ni repeticiones, en el margen superior derecho, utilizando lápiz de mina negra. La foliación es responsabilidad del área productora y es requisito indispensable para la transferencia al archivo central.</w:t>
      </w:r>
    </w:p>
    <w:p>
      <w:pPr>
        <w:pStyle w:val="ListBullet"/>
        <w:jc w:val="both"/>
      </w:pPr>
      <w:r>
        <w:t>Se debe evitar el uso de ganchos metálicos, clips oxidables, cintas adhesivas directamente sobre el papel y cualquier material que pueda deteriorar el soporte documental.</w:t>
      </w:r>
    </w:p>
    <w:p>
      <w:pPr>
        <w:pStyle w:val="ListBullet"/>
        <w:jc w:val="both"/>
      </w:pPr>
      <w:r>
        <w:t>Los documentos deben conservarse en un espacio libre de humedad, luz solar directa y riesgo de contacto con líquidos, alimentos o plagas.</w:t>
      </w:r>
    </w:p>
    <w:p>
      <w:pPr>
        <w:pStyle w:val="ListBullet"/>
        <w:jc w:val="both"/>
      </w:pPr>
      <w:r>
        <w:t>No se debe eliminar, destruir o transferir documentación por iniciativa propia del área, sin la autorización previa de la Dirección Administrativa y Financiera y sin observar las Tablas de Retención Documental vigentes una vez sean aprobadas.</w:t>
      </w:r>
    </w:p>
    <w:p>
      <w:pPr>
        <w:pStyle w:val="ListBullet"/>
        <w:jc w:val="both"/>
      </w:pPr>
      <w:r>
        <w:t>Cada área debe designar un responsable de la custodia de su archivo primario, quien atenderá las solicitudes de consulta y facilitará las visitas de seguimiento que realice la Dirección Administrativa y Financiera.</w:t>
      </w:r>
    </w:p>
    <w:p>
      <w:pPr>
        <w:pStyle w:val="ListBullet"/>
        <w:jc w:val="both"/>
      </w:pPr>
      <w:r>
        <w:t>Al cierre de cada vigencia, o cuando se le indique, el área deberá transferir su archivo primario al archivo central mediante el Formato de Transferencia Documental Primaria (FOR-GD-001), previa elaboración del inventario correspondiente.</w:t>
      </w:r>
    </w:p>
    <w:p>
      <w:pPr>
        <w:pStyle w:val="Heading1"/>
      </w:pPr>
      <w:r>
        <w:t>4. RESPONSABILIDADES</w:t>
      </w:r>
    </w:p>
    <w:tbl>
      <w:tblPr>
        <w:tblStyle w:val="TableGrid"/>
        <w:tblW w:type="auto" w:w="0"/>
        <w:tblLook w:firstColumn="1" w:firstRow="1" w:lastColumn="0" w:lastRow="0" w:noHBand="0" w:noVBand="1" w:val="04A0"/>
      </w:tblPr>
      <w:tblGrid>
        <w:gridCol w:w="4816"/>
        <w:gridCol w:w="4816"/>
      </w:tblGrid>
      <w:tr>
        <w:tc>
          <w:tcPr>
            <w:tcW w:type="dxa" w:w="4816"/>
            <w:vAlign w:val="center"/>
            <w:shd w:fill="2F5597"/>
          </w:tcPr>
          <w:p>
            <w:pPr>
              <w:spacing w:after="0"/>
              <w:jc w:val="left"/>
            </w:pPr>
            <w:r/>
            <w:r>
              <w:rPr>
                <w:rFonts w:ascii="Arial" w:hAnsi="Arial"/>
                <w:b/>
                <w:color w:val="FFFFFF"/>
                <w:sz w:val="18"/>
              </w:rPr>
              <w:t>Cada área o dependencia</w:t>
            </w:r>
          </w:p>
        </w:tc>
        <w:tc>
          <w:tcPr>
            <w:tcW w:type="dxa" w:w="4816"/>
            <w:vAlign w:val="center"/>
          </w:tcPr>
          <w:p>
            <w:pPr>
              <w:spacing w:after="0"/>
              <w:jc w:val="left"/>
            </w:pPr>
            <w:r/>
            <w:r>
              <w:rPr>
                <w:rFonts w:ascii="Arial" w:hAnsi="Arial"/>
                <w:b w:val="0"/>
                <w:sz w:val="18"/>
              </w:rPr>
              <w:t>Custodiar, organizar y conservar su archivo primario conforme a los presentes lineamientos, y transferirlo oportunamente al archivo central.</w:t>
            </w:r>
          </w:p>
        </w:tc>
      </w:tr>
      <w:tr>
        <w:tc>
          <w:tcPr>
            <w:tcW w:type="dxa" w:w="4816"/>
            <w:vAlign w:val="center"/>
            <w:shd w:fill="2F5597"/>
          </w:tcPr>
          <w:p>
            <w:pPr>
              <w:spacing w:after="0"/>
              <w:jc w:val="left"/>
            </w:pPr>
            <w:r/>
            <w:r>
              <w:rPr>
                <w:rFonts w:ascii="Arial" w:hAnsi="Arial"/>
                <w:b/>
                <w:color w:val="FFFFFF"/>
                <w:sz w:val="18"/>
              </w:rPr>
              <w:t>Dirección Administrativa y Financiera</w:t>
            </w:r>
          </w:p>
        </w:tc>
        <w:tc>
          <w:tcPr>
            <w:tcW w:type="dxa" w:w="4816"/>
            <w:vAlign w:val="center"/>
          </w:tcPr>
          <w:p>
            <w:pPr>
              <w:spacing w:after="0"/>
              <w:jc w:val="left"/>
            </w:pPr>
            <w:r/>
            <w:r>
              <w:rPr>
                <w:rFonts w:ascii="Arial" w:hAnsi="Arial"/>
                <w:b w:val="0"/>
                <w:sz w:val="18"/>
              </w:rPr>
              <w:t>Realizar seguimiento periódico al cumplimiento de estos lineamientos, brindar orientación a las áreas y coordinar las transferencias documentales.</w:t>
            </w:r>
          </w:p>
        </w:tc>
      </w:tr>
      <w:tr>
        <w:tc>
          <w:tcPr>
            <w:tcW w:type="dxa" w:w="4816"/>
            <w:vAlign w:val="center"/>
            <w:shd w:fill="2F5597"/>
          </w:tcPr>
          <w:p>
            <w:pPr>
              <w:spacing w:after="0"/>
              <w:jc w:val="left"/>
            </w:pPr>
            <w:r/>
            <w:r>
              <w:rPr>
                <w:rFonts w:ascii="Arial" w:hAnsi="Arial"/>
                <w:b/>
                <w:color w:val="FFFFFF"/>
                <w:sz w:val="18"/>
              </w:rPr>
              <w:t>Todo el personal</w:t>
            </w:r>
          </w:p>
        </w:tc>
        <w:tc>
          <w:tcPr>
            <w:tcW w:type="dxa" w:w="4816"/>
            <w:vAlign w:val="center"/>
          </w:tcPr>
          <w:p>
            <w:pPr>
              <w:spacing w:after="0"/>
              <w:jc w:val="left"/>
            </w:pPr>
            <w:r/>
            <w:r>
              <w:rPr>
                <w:rFonts w:ascii="Arial" w:hAnsi="Arial"/>
                <w:b w:val="0"/>
                <w:sz w:val="18"/>
              </w:rPr>
              <w:t>Dar aplicación a estos lineamientos en el manejo diario de la documentación de su respectiva área.</w:t>
            </w:r>
          </w:p>
        </w:tc>
      </w:tr>
    </w:tbl>
    <w:p>
      <w:pPr>
        <w:pStyle w:val="Heading1"/>
      </w:pPr>
      <w:r>
        <w:t>5. VIGENCIA</w:t>
      </w:r>
    </w:p>
    <w:p>
      <w:pPr>
        <w:jc w:val="both"/>
      </w:pPr>
      <w:r>
        <w:t>Los presentes lineamientos rigen a partir de su firma por cada área y hasta que sean actualizados o sustituidos por un documento posterior, o hasta la aprobación de las Tablas de Retención Documental de la entidad, momento en el cual deberán ajustarse a lo que estas dispongan.</w:t>
      </w:r>
    </w:p>
    <w:p>
      <w:pPr>
        <w:pStyle w:val="Heading1"/>
      </w:pPr>
      <w:r>
        <w:t>6. CONSTANCIA DE RECIBIDO Y COMPROMISO POR ÁREA</w:t>
      </w:r>
    </w:p>
    <w:p>
      <w:pPr>
        <w:jc w:val="both"/>
      </w:pPr>
      <w:r>
        <w:t>Cada área/dependencia relacionada a continuación certifica haber recibido, comprendido y aceptado aplicar los presentes lineamientos para la organización de su archivo primario.</w:t>
      </w:r>
    </w:p>
    <w:tbl>
      <w:tblPr>
        <w:tblStyle w:val="TableGrid"/>
        <w:tblW w:type="auto" w:w="0"/>
        <w:tblLook w:firstColumn="1" w:firstRow="1" w:lastColumn="0" w:lastRow="0" w:noHBand="0" w:noVBand="1" w:val="04A0"/>
      </w:tblPr>
      <w:tblGrid>
        <w:gridCol w:w="2408"/>
        <w:gridCol w:w="2408"/>
        <w:gridCol w:w="2408"/>
        <w:gridCol w:w="2408"/>
      </w:tblGrid>
      <w:tr>
        <w:tc>
          <w:tcPr>
            <w:tcW w:type="dxa" w:w="2408"/>
            <w:vAlign w:val="center"/>
            <w:shd w:fill="2F5597"/>
          </w:tcPr>
          <w:p>
            <w:pPr>
              <w:spacing w:after="0"/>
              <w:jc w:val="center"/>
            </w:pPr>
            <w:r/>
            <w:r>
              <w:rPr>
                <w:rFonts w:ascii="Arial" w:hAnsi="Arial"/>
                <w:b/>
                <w:color w:val="FFFFFF"/>
                <w:sz w:val="18"/>
              </w:rPr>
              <w:t>Área / dependencia</w:t>
            </w:r>
          </w:p>
        </w:tc>
        <w:tc>
          <w:tcPr>
            <w:tcW w:type="dxa" w:w="2408"/>
            <w:vAlign w:val="center"/>
            <w:shd w:fill="2F5597"/>
          </w:tcPr>
          <w:p>
            <w:pPr>
              <w:spacing w:after="0"/>
              <w:jc w:val="center"/>
            </w:pPr>
            <w:r/>
            <w:r>
              <w:rPr>
                <w:rFonts w:ascii="Arial" w:hAnsi="Arial"/>
                <w:b/>
                <w:color w:val="FFFFFF"/>
                <w:sz w:val="18"/>
              </w:rPr>
              <w:t>Responsable del archivo</w:t>
            </w:r>
          </w:p>
        </w:tc>
        <w:tc>
          <w:tcPr>
            <w:tcW w:type="dxa" w:w="2408"/>
            <w:vAlign w:val="center"/>
            <w:shd w:fill="2F5597"/>
          </w:tcPr>
          <w:p>
            <w:pPr>
              <w:spacing w:after="0"/>
              <w:jc w:val="center"/>
            </w:pPr>
            <w:r/>
            <w:r>
              <w:rPr>
                <w:rFonts w:ascii="Arial" w:hAnsi="Arial"/>
                <w:b/>
                <w:color w:val="FFFFFF"/>
                <w:sz w:val="18"/>
              </w:rPr>
              <w:t>Firma</w:t>
            </w:r>
          </w:p>
        </w:tc>
        <w:tc>
          <w:tcPr>
            <w:tcW w:type="dxa" w:w="2408"/>
            <w:vAlign w:val="center"/>
            <w:shd w:fill="2F5597"/>
          </w:tcPr>
          <w:p>
            <w:pPr>
              <w:spacing w:after="0"/>
              <w:jc w:val="center"/>
            </w:pPr>
            <w:r/>
            <w:r>
              <w:rPr>
                <w:rFonts w:ascii="Arial" w:hAnsi="Arial"/>
                <w:b/>
                <w:color w:val="FFFFFF"/>
                <w:sz w:val="18"/>
              </w:rPr>
              <w:t>Fecha</w:t>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r>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c>
          <w:tcPr>
            <w:tcW w:type="dxa" w:w="2408"/>
            <w:vAlign w:val="center"/>
          </w:tcPr>
          <w:p>
            <w:pPr>
              <w:spacing w:after="0"/>
              <w:jc w:val="left"/>
            </w:pPr>
            <w:r/>
            <w:r>
              <w:rPr>
                <w:rFonts w:ascii="Arial" w:hAnsi="Arial"/>
                <w:b w:val="0"/>
                <w:sz w:val="18"/>
              </w:rPr>
            </w:r>
          </w:p>
        </w:tc>
      </w:tr>
    </w:tbl>
    <w:p>
      <w:r>
        <w:br w:type="page"/>
      </w:r>
    </w:p>
    <w:p>
      <w:pPr>
        <w:pStyle w:val="Heading1"/>
      </w:pPr>
      <w:r>
        <w:t>CONTROL DE VERSIONES</w:t>
      </w:r>
    </w:p>
    <w:tbl>
      <w:tblPr>
        <w:tblStyle w:val="TableGrid"/>
        <w:tblW w:type="auto" w:w="0"/>
        <w:tblLook w:firstColumn="1" w:firstRow="1" w:lastColumn="0" w:lastRow="0" w:noHBand="0" w:noVBand="1" w:val="04A0"/>
      </w:tblPr>
      <w:tblGrid>
        <w:gridCol w:w="2408"/>
        <w:gridCol w:w="2408"/>
        <w:gridCol w:w="2408"/>
        <w:gridCol w:w="2408"/>
      </w:tblGrid>
      <w:tr>
        <w:tc>
          <w:tcPr>
            <w:tcW w:type="dxa" w:w="2408"/>
            <w:vAlign w:val="center"/>
            <w:shd w:fill="2F5597"/>
          </w:tcPr>
          <w:p>
            <w:pPr>
              <w:spacing w:after="0"/>
              <w:jc w:val="center"/>
            </w:pPr>
            <w:r/>
            <w:r>
              <w:rPr>
                <w:rFonts w:ascii="Arial" w:hAnsi="Arial"/>
                <w:b/>
                <w:color w:val="FFFFFF"/>
                <w:sz w:val="18"/>
              </w:rPr>
              <w:t>Versión</w:t>
            </w:r>
          </w:p>
        </w:tc>
        <w:tc>
          <w:tcPr>
            <w:tcW w:type="dxa" w:w="2408"/>
            <w:vAlign w:val="center"/>
            <w:shd w:fill="2F5597"/>
          </w:tcPr>
          <w:p>
            <w:pPr>
              <w:spacing w:after="0"/>
              <w:jc w:val="center"/>
            </w:pPr>
            <w:r/>
            <w:r>
              <w:rPr>
                <w:rFonts w:ascii="Arial" w:hAnsi="Arial"/>
                <w:b/>
                <w:color w:val="FFFFFF"/>
                <w:sz w:val="18"/>
              </w:rPr>
              <w:t>Fecha</w:t>
            </w:r>
          </w:p>
        </w:tc>
        <w:tc>
          <w:tcPr>
            <w:tcW w:type="dxa" w:w="2408"/>
            <w:vAlign w:val="center"/>
            <w:shd w:fill="2F5597"/>
          </w:tcPr>
          <w:p>
            <w:pPr>
              <w:spacing w:after="0"/>
              <w:jc w:val="center"/>
            </w:pPr>
            <w:r/>
            <w:r>
              <w:rPr>
                <w:rFonts w:ascii="Arial" w:hAnsi="Arial"/>
                <w:b/>
                <w:color w:val="FFFFFF"/>
                <w:sz w:val="18"/>
              </w:rPr>
              <w:t>Descripción del cambio</w:t>
            </w:r>
          </w:p>
        </w:tc>
        <w:tc>
          <w:tcPr>
            <w:tcW w:type="dxa" w:w="2408"/>
            <w:vAlign w:val="center"/>
            <w:shd w:fill="2F5597"/>
          </w:tcPr>
          <w:p>
            <w:pPr>
              <w:spacing w:after="0"/>
              <w:jc w:val="center"/>
            </w:pPr>
            <w:r/>
            <w:r>
              <w:rPr>
                <w:rFonts w:ascii="Arial" w:hAnsi="Arial"/>
                <w:b/>
                <w:color w:val="FFFFFF"/>
                <w:sz w:val="18"/>
              </w:rPr>
              <w:t>Elaborado por</w:t>
            </w:r>
          </w:p>
        </w:tc>
      </w:tr>
      <w:tr>
        <w:tc>
          <w:tcPr>
            <w:tcW w:type="dxa" w:w="2408"/>
            <w:vAlign w:val="center"/>
          </w:tcPr>
          <w:p>
            <w:pPr>
              <w:spacing w:after="0"/>
              <w:jc w:val="left"/>
            </w:pPr>
            <w:r/>
            <w:r>
              <w:rPr>
                <w:rFonts w:ascii="Arial" w:hAnsi="Arial"/>
                <w:b w:val="0"/>
                <w:sz w:val="17"/>
              </w:rPr>
              <w:t>1.0</w:t>
            </w:r>
          </w:p>
        </w:tc>
        <w:tc>
          <w:tcPr>
            <w:tcW w:type="dxa" w:w="2408"/>
            <w:vAlign w:val="center"/>
          </w:tcPr>
          <w:p>
            <w:pPr>
              <w:spacing w:after="0"/>
              <w:jc w:val="left"/>
            </w:pPr>
            <w:r/>
            <w:r>
              <w:rPr>
                <w:rFonts w:ascii="Arial" w:hAnsi="Arial"/>
                <w:b w:val="0"/>
                <w:sz w:val="17"/>
              </w:rPr>
              <w:t>Julio de 2026</w:t>
            </w:r>
          </w:p>
        </w:tc>
        <w:tc>
          <w:tcPr>
            <w:tcW w:type="dxa" w:w="2408"/>
            <w:vAlign w:val="center"/>
          </w:tcPr>
          <w:p>
            <w:pPr>
              <w:spacing w:after="0"/>
              <w:jc w:val="left"/>
            </w:pPr>
            <w:r/>
            <w:r>
              <w:rPr>
                <w:rFonts w:ascii="Arial" w:hAnsi="Arial"/>
                <w:b w:val="0"/>
                <w:sz w:val="17"/>
              </w:rPr>
              <w:t>Emisión inicial de los lineamientos, en el marco del PINAR 2026, pendiente de firma de cada área</w:t>
            </w:r>
          </w:p>
        </w:tc>
        <w:tc>
          <w:tcPr>
            <w:tcW w:type="dxa" w:w="2408"/>
            <w:vAlign w:val="center"/>
          </w:tcPr>
          <w:p>
            <w:pPr>
              <w:spacing w:after="0"/>
              <w:jc w:val="left"/>
            </w:pPr>
            <w:r/>
            <w:r>
              <w:rPr>
                <w:rFonts w:ascii="Arial" w:hAnsi="Arial"/>
                <w:b w:val="0"/>
                <w:sz w:val="17"/>
              </w:rPr>
              <w:t>Hamilton Quintero García</w:t>
            </w:r>
          </w:p>
        </w:tc>
      </w:tr>
    </w:tbl>
    <w:sectPr w:rsidR="00FC693F" w:rsidRPr="0006063C" w:rsidSect="00034616">
      <w:headerReference w:type="default" r:id="rId9"/>
      <w:footerReference w:type="default" r:id="rId10"/>
      <w:pgSz w:w="12240" w:h="15840"/>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PROMUEVE MÁS S.A.S. – Calle 18 # 7C-47 – Tel: 3104191960 – operaciones@promuevemas.com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