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F5597"/>
          <w:sz w:val="40"/>
        </w:rPr>
        <w:t>PROMUEVE MÁS S.A.S.</w:t>
      </w:r>
    </w:p>
    <w:p>
      <w:pPr>
        <w:jc w:val="center"/>
      </w:pPr>
      <w:r>
        <w:rPr>
          <w:b/>
        </w:rPr>
        <w:t>DIRECCIÓN ADMINISTRATIVA Y FINANCIERA</w:t>
      </w:r>
    </w:p>
    <w:p/>
    <w:p/>
    <w:p/>
    <w:p>
      <w:pPr>
        <w:jc w:val="center"/>
      </w:pPr>
      <w:r>
        <w:rPr>
          <w:b/>
          <w:color w:val="203864"/>
          <w:sz w:val="38"/>
        </w:rPr>
        <w:t>INFORME TRIMESTRAL DE MONITOREO</w:t>
        <w:br/>
        <w:t>DE CIBERSEGURIDAD DE LA PÁGINA INSTITUCIONAL</w:t>
      </w:r>
    </w:p>
    <w:p>
      <w:pPr>
        <w:jc w:val="center"/>
      </w:pPr>
      <w:r>
        <w:rPr>
          <w:b/>
          <w:sz w:val="26"/>
        </w:rPr>
        <w:t>Diagnóstico externo, remediación y verificación técnica</w:t>
      </w:r>
    </w:p>
    <w:p>
      <w:pPr>
        <w:jc w:val="center"/>
      </w:pPr>
      <w:r>
        <w:rPr>
          <w:b/>
        </w:rPr>
        <w:t>Segundo trimestre de 2026 – Corte al 30 de junio de 2026</w:t>
      </w:r>
    </w:p>
    <w:p/>
    <w:p/>
    <w:p/>
    <w:p>
      <w:pPr>
        <w:jc w:val="center"/>
      </w:pPr>
      <w:r>
        <w:t>Elaborado por: Hamilton Quintero García</w:t>
        <w:br/>
        <w:t>Técnico Administrativo y Financiero</w:t>
      </w:r>
    </w:p>
    <w:p/>
    <w:p/>
    <w:p>
      <w:pPr>
        <w:jc w:val="center"/>
      </w:pPr>
      <w:r>
        <w:t>Manizales, Caldas</w:t>
        <w:br/>
        <w:t>Julio de 2026</w:t>
      </w:r>
    </w:p>
    <w:p>
      <w:r>
        <w:br w:type="page"/>
      </w:r>
    </w:p>
    <w:p>
      <w:pPr>
        <w:pStyle w:val="Heading1"/>
      </w:pPr>
      <w:r>
        <w:t>INFORMACIÓN GENERAL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Entidad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Promueve Más S.A.S.</w:t>
            </w:r>
          </w:p>
        </w:tc>
      </w:tr>
      <w:tr>
        <w:tc>
          <w:tcPr>
            <w:tcW w:type="dxa" w:w="4873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Actividad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Monitoreo de ataques cibernéticos a la página institucional</w:t>
            </w:r>
          </w:p>
        </w:tc>
      </w:tr>
      <w:tr>
        <w:tc>
          <w:tcPr>
            <w:tcW w:type="dxa" w:w="4873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Dominio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promuevemas.com</w:t>
            </w:r>
          </w:p>
        </w:tc>
      </w:tr>
      <w:tr>
        <w:tc>
          <w:tcPr>
            <w:tcW w:type="dxa" w:w="4873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Período evaluado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1 de abril al 30 de junio de 2026</w:t>
            </w:r>
          </w:p>
        </w:tc>
      </w:tr>
      <w:tr>
        <w:tc>
          <w:tcPr>
            <w:tcW w:type="dxa" w:w="4873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Fecha de corte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30 de junio de 2026</w:t>
            </w:r>
          </w:p>
        </w:tc>
      </w:tr>
      <w:tr>
        <w:tc>
          <w:tcPr>
            <w:tcW w:type="dxa" w:w="4873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Ejecutado con acciones de remediación en curso</w:t>
            </w:r>
          </w:p>
        </w:tc>
      </w:tr>
      <w:tr>
        <w:tc>
          <w:tcPr>
            <w:tcW w:type="dxa" w:w="4873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Responsable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Dirección Administrativa y Financiera – Gestión de TI</w:t>
            </w:r>
          </w:p>
        </w:tc>
      </w:tr>
    </w:tbl>
    <w:p>
      <w:pPr>
        <w:pStyle w:val="Heading1"/>
      </w:pPr>
      <w:r>
        <w:t>1. INTRODUCCIÓN</w:t>
      </w:r>
    </w:p>
    <w:p>
      <w:pPr>
        <w:jc w:val="both"/>
      </w:pPr>
      <w:r>
        <w:t>Durante el segundo trimestre de 2026 Promueve Más S.A.S. recibió una evaluación externa de la superficie de ataque del dominio promuevemas.com, estableció una línea base de seguridad y ejecutó un plan técnico de remediación. Esta actividad forma parte de la implementación inicial del Plan de Tratamiento de Riesgos, práctica que no existía formalmente en 2025.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759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mparacion_2025_202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759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6"/>
        </w:rPr>
        <w:t>Gráfica 1. Evolución 2025–2026 de las prácticas institucionales de gestión de riesgos y monitoreo web.</w:t>
      </w:r>
    </w:p>
    <w:p>
      <w:pPr>
        <w:pStyle w:val="Heading1"/>
      </w:pPr>
      <w:r>
        <w:t>2. OBJETIVO</w:t>
      </w:r>
    </w:p>
    <w:p>
      <w:pPr>
        <w:jc w:val="both"/>
      </w:pPr>
      <w:r>
        <w:t>Presentar los resultados del monitoreo externo recibido el 29 de mayo de 2026, documentar las acciones de remediación y verificación ejecutadas el 25 de junio, identificar asuntos pendientes y establecer la continuidad del seguimiento.</w:t>
      </w:r>
    </w:p>
    <w:p>
      <w:pPr>
        <w:pStyle w:val="Heading1"/>
      </w:pPr>
      <w:r>
        <w:t>3. FUENTES Y ALCANCE</w:t>
      </w:r>
    </w:p>
    <w:p>
      <w:pPr>
        <w:pStyle w:val="ListBullet"/>
        <w:spacing w:after="80"/>
        <w:jc w:val="both"/>
      </w:pPr>
      <w:r>
        <w:t>Informe técnico de exposición y superficie de ataque OSINT de ColCERT/MinTIC, 29 de mayo de 2026.</w:t>
      </w:r>
    </w:p>
    <w:p>
      <w:pPr>
        <w:pStyle w:val="ListBullet"/>
        <w:spacing w:after="80"/>
        <w:jc w:val="both"/>
      </w:pPr>
      <w:r>
        <w:t>SecurityScorecard del dominio promuevemas.com, puntaje inicial 73/100.</w:t>
      </w:r>
    </w:p>
    <w:p>
      <w:pPr>
        <w:pStyle w:val="ListBullet"/>
        <w:spacing w:after="80"/>
        <w:jc w:val="both"/>
      </w:pPr>
      <w:r>
        <w:t>Informe técnico de remediación ejecutado el 25 de junio de 2026.</w:t>
      </w:r>
    </w:p>
    <w:p>
      <w:pPr>
        <w:pStyle w:val="ListBullet"/>
        <w:spacing w:after="80"/>
        <w:jc w:val="both"/>
      </w:pPr>
      <w:r>
        <w:t>Verificaciones técnicas y evidencias de configuración disponibles.</w:t>
      </w:r>
    </w:p>
    <w:p>
      <w:pPr>
        <w:pStyle w:val="ListBullet"/>
        <w:spacing w:after="80"/>
        <w:jc w:val="both"/>
      </w:pPr>
      <w:r>
        <w:t>El análisis no equivale a una prueba de penetración ni demuestra por sí solo explotación exitosa.</w:t>
      </w:r>
    </w:p>
    <w:p>
      <w:pPr>
        <w:pStyle w:val="Heading1"/>
      </w:pPr>
      <w:r>
        <w:t>4. LÍNEA BASE EXTERNA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274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inea_base_securityscorec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74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6"/>
        </w:rPr>
        <w:t>Gráfica 2. Factores reportados por SecurityScorecard. La principal debilidad se concentró en seguridad de aplicación web.</w:t>
      </w:r>
    </w:p>
    <w:p>
      <w:pPr>
        <w:jc w:val="both"/>
      </w:pPr>
      <w:r>
        <w:t>SecurityScorecard asignó una calificación general C, equivalente a 73/100. Nueve factores se reportaron con 100 puntos y la seguridad de aplicación web obtuvo 55/100. El reporte indicó 16 observaciones de vulnerabilidades del sitio, sin hallazgos de malware, filtración de información o puertos abiertos en esa fuente específica.</w:t>
      </w:r>
    </w:p>
    <w:p>
      <w:pPr>
        <w:pStyle w:val="Heading1"/>
      </w:pPr>
      <w:r>
        <w:t>5. LECTURA DEL INFORME OSINT</w:t>
      </w:r>
    </w:p>
    <w:p>
      <w:pPr>
        <w:jc w:val="both"/>
      </w:pPr>
      <w:r>
        <w:t>El informe OSINT evaluó once nombres DNS que resolvían a la misma dirección IP pública 148.113.168.25. Reportó tres categorías principales: divulgación tecnológica, exposición potencial de servicios administrativos y ausencia de encabezados HTTP en las respuestas analizadas. La repetición de estas categorías sobre los once nombres generó treinta y tres ocurrencias; no corresponde a treinta y tres vulnerabilidades técnicas distintas.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038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ctura_hallazg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6"/>
        </w:rPr>
        <w:t>Gráfica 3. Diferencia entre categorías de hallazgo, nombres DNS evaluados y ocurrencias reportadas.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Hallazgo</w:t>
            </w:r>
          </w:p>
        </w:tc>
        <w:tc>
          <w:tcPr>
            <w:tcW w:type="dxa" w:w="3249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Clasificación origen</w:t>
            </w:r>
          </w:p>
        </w:tc>
        <w:tc>
          <w:tcPr>
            <w:tcW w:type="dxa" w:w="3249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Interpretación institucional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Software expuesto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Alta en el informe origen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 observó identificación del servidor LiteSpeed; debe distinguirse producto visible de versión vulnerable.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Servicios o puertos de administración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Requiere validación del proveedor por tratarse de infraestructura alojada y posiblemente compartida.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Encabezados HTTP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Media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Fueron implementados y posteriormente verificados en el dominio principal.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Subdominios huérfanos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 identificados</w:t>
            </w:r>
          </w:p>
        </w:tc>
        <w:tc>
          <w:tcPr>
            <w:tcW w:type="dxa" w:w="324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Resultado favorable; no se evidenció riesgo de takeover en el análisis presentado.</w:t>
            </w:r>
          </w:p>
        </w:tc>
      </w:tr>
    </w:tbl>
    <w:p>
      <w:pPr>
        <w:pStyle w:val="Heading1"/>
      </w:pPr>
      <w:r>
        <w:t>6. ACCIONES DE REMEDIACIÓN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7290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vance_remedi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9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6"/>
        </w:rPr>
        <w:t>Gráfica 4. De trece acciones definidas, diez fueron ejecutadas y tres quedaron dependientes del proveedor.</w:t>
      </w:r>
    </w:p>
    <w:p>
      <w:pPr>
        <w:jc w:val="both"/>
      </w:pPr>
      <w:r>
        <w:t>El avance del plan técnico al 30 de junio fue del 76,92 %. Las acciones ejecutadas fortalecieron certificados, redirección HTTPS, encabezados HTTP, manejo de cookies, autenticación de correo, acceso a cPanel y protección de WordPress. Las afirmaciones se presentan de manera prudente: el fortalecimiento de un control no garantiza ausencia total de vulnerabilidades.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N.°</w:t>
            </w:r>
          </w:p>
        </w:tc>
        <w:tc>
          <w:tcPr>
            <w:tcW w:type="dxa" w:w="2436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2436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436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Observación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Verificación de certificados SSL/TLS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Ejecutada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Certificados activos; cobertura debe comprobarse por nombres SAN.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Eliminación de autorización en Remote Database Access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Ejecutada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 equivale por sí sola al cierre del puerto 3306.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Redirección HTTP a HTTPS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Ejecutada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Redirección permanente y funcionamiento verificado.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Encabezados HTTP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Ejecutada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HSTS, CSP, X-Frame-Options, nosniff, Referrer y Permissions Policy.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Fortalecimiento de cookies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Ejecutada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Debe verificarse periódicamente por cada cookie y plugin.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DMARC p=quarantine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Ejecutada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Requiere monitoreo para evitar afectación de remitentes legítimos.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Estandarización URL de webmail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Ejecutada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 URL institucional facilita identificación; 2096 no se califica por sí mismo como inseguro.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2FA de cPanel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Verificado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 registra como control operativo; ya había sido reportado previamente por el área.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Ocultamiento de versión WordPress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Ejecutada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Meta generator y X-Powered-By tratados.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Wordfence/WAF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Ejecutada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Actualizado y activo; requiere seguimiento de escaneos y alertas.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Cierre o filtrado del puerto 3306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Pendiente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Dependiente de Latin American Hosting.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Restricción de accesos administrativos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Pendiente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Debe evaluarse sin afectar soporte o trabajo remoto autorizado.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Ocultamiento de firma LiteSpeed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Pendiente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Dependiente de configuración del servidor.</w:t>
            </w:r>
          </w:p>
        </w:tc>
      </w:tr>
    </w:tbl>
    <w:p>
      <w:pPr>
        <w:pStyle w:val="Heading1"/>
      </w:pPr>
      <w:r>
        <w:t>7. ESTADO DE CONTROLES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1378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stado_contro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37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6"/>
        </w:rPr>
        <w:t>Gráfica 5. Estado resumido de controles al cierre del segundo trimestre.</w:t>
      </w:r>
    </w:p>
    <w:p>
      <w:pPr>
        <w:pStyle w:val="Heading1"/>
      </w:pPr>
      <w:r>
        <w:t>8. RESULTADOS DEL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4873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Monitoreo trimestral previsto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Monitoreo documentado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Cumplimiento trimestral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100 %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Acciones de remediación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Acciones ejecutadas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Acciones pendientes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Avance de remediación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76,92 %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Compromisos exitosos confirmados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Ninguno evidenciado en las fuentes revisadas</w:t>
            </w:r>
          </w:p>
        </w:tc>
      </w:tr>
    </w:tbl>
    <w:p>
      <w:pPr>
        <w:jc w:val="both"/>
      </w:pPr>
      <w:r>
        <w:t>La expresión “ninguno evidenciado” no equivale a certificar que no existieron intentos de ataque. Significa que las fuentes revisadas no aportaron evidencia de malware, filtración o compromiso exitoso durante el período.</w:t>
      </w:r>
    </w:p>
    <w:p>
      <w:pPr>
        <w:pStyle w:val="Heading2"/>
      </w:pPr>
      <w:r>
        <w:t>8.1 Consolidado del primer semestre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356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onitoreos_semestrales_2025_202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35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6"/>
        </w:rPr>
        <w:t>Gráfica 6. En 2025 no existían monitoreos formales documentados; en el primer semestre de 2026 se documentaron dos ejercicios relacionados y diferenciados.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Período</w:t>
            </w:r>
          </w:p>
        </w:tc>
        <w:tc>
          <w:tcPr>
            <w:tcW w:type="dxa" w:w="2436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Ejercicio</w:t>
            </w:r>
          </w:p>
        </w:tc>
        <w:tc>
          <w:tcPr>
            <w:tcW w:type="dxa" w:w="2436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Evidencia / resultado</w:t>
            </w:r>
          </w:p>
        </w:tc>
        <w:tc>
          <w:tcPr>
            <w:tcW w:type="dxa" w:w="2436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Primer trimestre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Gestión inicial y solicitud de evaluación externa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Cierre técnico posterior al corte con informe del 29 de mayo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Ejecutado con observación documental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Segundo trimestre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Línea base externa y verificación post-remediación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Informe OSINT, SecurityScorecard e informe del 25 de junio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Ejecutado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Total semestre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2 ejercicios previstos / documentados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24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100 % con observación sobre oportunidad y trazabilidad del primer trimestre</w:t>
            </w:r>
          </w:p>
        </w:tc>
      </w:tr>
    </w:tbl>
    <w:p>
      <w:pPr>
        <w:jc w:val="both"/>
      </w:pPr>
      <w:r>
        <w:t>El resultado semestral distingue dos ejercicios: la evaluación externa que estableció la línea base y la verificación técnica posterior a las correcciones. La ausencia de copia del correo inicial y la recepción del resultado después del 31 de marzo se conservan como observaciones de oportunidad y trazabilidad; no se ocultan ni se presentan como evidencia disponible al corte del primer trimestre.</w:t>
      </w:r>
    </w:p>
    <w:p>
      <w:pPr>
        <w:pStyle w:val="Heading1"/>
      </w:pPr>
      <w:r>
        <w:t>9. ACCIONES PENDIENTES Y RECOMENDACIONES</w:t>
      </w:r>
    </w:p>
    <w:p>
      <w:pPr>
        <w:pStyle w:val="ListBullet"/>
        <w:spacing w:after="80"/>
        <w:jc w:val="both"/>
      </w:pPr>
      <w:r>
        <w:t>Obtener respuesta formal de Latin American Hosting sobre el puerto 3306 y los controles de firewall.</w:t>
      </w:r>
    </w:p>
    <w:p>
      <w:pPr>
        <w:pStyle w:val="ListBullet"/>
        <w:spacing w:after="80"/>
        <w:jc w:val="both"/>
      </w:pPr>
      <w:r>
        <w:t>Validar cuáles servicios corresponden efectivamente a Promueve Más en la IP alojada.</w:t>
      </w:r>
    </w:p>
    <w:p>
      <w:pPr>
        <w:pStyle w:val="ListBullet"/>
        <w:spacing w:after="80"/>
        <w:jc w:val="both"/>
      </w:pPr>
      <w:r>
        <w:t>Revisar periódicamente reportes DMARC y utilizar preferiblemente un buzón institucional para recibirlos.</w:t>
      </w:r>
    </w:p>
    <w:p>
      <w:pPr>
        <w:pStyle w:val="ListBullet"/>
        <w:spacing w:after="80"/>
        <w:jc w:val="both"/>
      </w:pPr>
      <w:r>
        <w:t>Conservar capturas de Security Headers, Wordfence, certificados y configuraciones sin exponer secretos.</w:t>
      </w:r>
    </w:p>
    <w:p>
      <w:pPr>
        <w:pStyle w:val="ListBullet"/>
        <w:spacing w:after="80"/>
        <w:jc w:val="both"/>
      </w:pPr>
      <w:r>
        <w:t>Repetir la evaluación externa y comparar resultados con la línea base de 73/100.</w:t>
      </w:r>
    </w:p>
    <w:p>
      <w:pPr>
        <w:pStyle w:val="ListBullet"/>
        <w:spacing w:after="80"/>
        <w:jc w:val="both"/>
      </w:pPr>
      <w:r>
        <w:t>Documentar trimestralmente intentos bloqueados, alertas, escaneos, indisponibilidades y acciones tomadas.</w:t>
      </w:r>
    </w:p>
    <w:p>
      <w:pPr>
        <w:pStyle w:val="Heading1"/>
      </w:pPr>
      <w:r>
        <w:t>10. EVENTO POSTERIOR AL CORTE</w:t>
      </w:r>
    </w:p>
    <w:p>
      <w:pPr>
        <w:jc w:val="both"/>
      </w:pPr>
      <w:r>
        <w:t>El 14 de julio de 2026 se remitió a ColCERT una nueva solicitud de análisis de vulnerabilidades y huella digital del dominio institucional. Esta gestión no se contabiliza dentro del segundo trimestre, debido a que ocurrió después del 30 de junio; se registra como inicio anticipado del seguimiento del tercer trimestre y como solicitud de validación externa de las correcciones implementadas.</w:t>
      </w:r>
    </w:p>
    <w:p>
      <w:pPr>
        <w:pStyle w:val="Heading1"/>
      </w:pPr>
      <w:r>
        <w:t>11. CONCLUSIONES</w:t>
      </w:r>
    </w:p>
    <w:p>
      <w:pPr>
        <w:jc w:val="both"/>
      </w:pPr>
      <w:r>
        <w:t>El segundo trimestre registra un monitoreo ejecutado y sustentado mediante el informe OSINT, el SecurityScorecard y la verificación post-remediación. La organización pasó de no contar con monitoreo formal en 2025 a disponer en 2026 de una línea base, un plan de remediación, responsables, evidencias y continuidad de seguimiento.</w:t>
      </w:r>
    </w:p>
    <w:p>
      <w:pPr>
        <w:jc w:val="both"/>
      </w:pPr>
      <w:r>
        <w:t>El proceso no se considera cerrado: tres acciones permanecen sujetas al proveedor y el puntaje proyectado de mejora no debe presentarse como resultado alcanzado hasta que una nueva evaluación externa lo confirme. La condición correcta al corte es “ejecutado con remediación en curso”.</w:t>
      </w:r>
    </w:p>
    <w:p>
      <w:pPr>
        <w:pStyle w:val="Heading1"/>
      </w:pPr>
      <w:r>
        <w:t>12. EVIDENCIAS</w:t>
      </w:r>
    </w:p>
    <w:p>
      <w:pPr>
        <w:pStyle w:val="ListBullet"/>
        <w:spacing w:after="80"/>
        <w:jc w:val="both"/>
      </w:pPr>
      <w:r>
        <w:t>Informe técnico OSINT de ColCERT/MinTIC, 29 de mayo de 2026.</w:t>
      </w:r>
    </w:p>
    <w:p>
      <w:pPr>
        <w:pStyle w:val="ListBullet"/>
        <w:spacing w:after="80"/>
        <w:jc w:val="both"/>
      </w:pPr>
      <w:r>
        <w:t>SecurityScorecard inicial de promuevemas.com.</w:t>
      </w:r>
    </w:p>
    <w:p>
      <w:pPr>
        <w:pStyle w:val="ListBullet"/>
        <w:spacing w:after="80"/>
        <w:jc w:val="both"/>
      </w:pPr>
      <w:r>
        <w:t>Informe técnico de remediación, 25 de junio de 2026.</w:t>
      </w:r>
    </w:p>
    <w:p>
      <w:pPr>
        <w:pStyle w:val="ListBullet"/>
        <w:spacing w:after="80"/>
        <w:jc w:val="both"/>
      </w:pPr>
      <w:r>
        <w:t>Capturas y soportes de configuración técnica.</w:t>
      </w:r>
    </w:p>
    <w:p>
      <w:pPr>
        <w:pStyle w:val="ListBullet"/>
        <w:spacing w:after="80"/>
        <w:jc w:val="both"/>
      </w:pPr>
      <w:r>
        <w:t>Solicitud a Latin American Hosting por acciones pendientes.</w:t>
      </w:r>
    </w:p>
    <w:p>
      <w:pPr>
        <w:pStyle w:val="ListBullet"/>
        <w:spacing w:after="80"/>
        <w:jc w:val="both"/>
      </w:pPr>
      <w:r>
        <w:t>Correo del 14 de julio de 2026 a ColCERT, como evento posterior al corte.</w:t>
      </w:r>
    </w:p>
    <w:p>
      <w:pPr>
        <w:pStyle w:val="Heading1"/>
      </w:pPr>
      <w:r>
        <w:t>13. RESPONSABLE</w:t>
      </w:r>
    </w:p>
    <w:p>
      <w:r>
        <w:br/>
        <w:br/>
        <w:t>________________________________________</w:t>
      </w:r>
    </w:p>
    <w:p>
      <w:r>
        <w:rPr>
          <w:b/>
        </w:rPr>
        <w:t>HAMILTON QUINTERO GARCÍA</w:t>
      </w:r>
    </w:p>
    <w:p>
      <w:r>
        <w:t>Técnico Administrativo y Financiero</w:t>
        <w:br/>
        <w:t>Promueve Más S.A.S.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PROMUEVE MÁS S.A.S. – Calle 18 # 7C-47 – Tel: 3104191960 – operaciones@promuevemas.com  |  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2F5597"/>
        <w:sz w:val="18"/>
      </w:rPr>
      <w:t>PROMUEVE MÁS S.A.S.  |  NIT 901.403.758-2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F559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F559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2F5597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