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0"/>
      </w:pPr>
      <w:r>
        <w:rPr>
          <w:b/>
        </w:rPr>
        <w:t>PROMUEVE MÁS S.A.S.</w:t>
      </w:r>
    </w:p>
    <w:p>
      <w:r>
        <w:rPr>
          <w:b/>
          <w:i w:val="0"/>
        </w:rPr>
        <w:t>NIT:</w:t>
      </w:r>
      <w:r>
        <w:rPr>
          <w:b w:val="0"/>
        </w:rPr>
        <w:t xml:space="preserve"> 901403758-2 </w:t>
      </w:r>
      <w:r>
        <w:rPr>
          <w:b/>
          <w:i w:val="0"/>
        </w:rPr>
        <w:t>Domicilio:</w:t>
      </w:r>
      <w:r>
        <w:rPr>
          <w:b w:val="0"/>
        </w:rPr>
        <w:t xml:space="preserve"> Calle 18 N.º 7C-47, barrio Campo Hermoso, Manizales, Caldas </w:t>
      </w:r>
      <w:r>
        <w:rPr>
          <w:b/>
          <w:i w:val="0"/>
        </w:rPr>
        <w:t>Dependencia solicitante:</w:t>
      </w:r>
      <w:r>
        <w:rPr>
          <w:b w:val="0"/>
        </w:rPr>
        <w:t xml:space="preserve"> Logística </w:t>
      </w:r>
      <w:r>
        <w:rPr>
          <w:b/>
          <w:i w:val="0"/>
        </w:rPr>
        <w:t>Contrato de referencia:</w:t>
      </w:r>
      <w:r>
        <w:rPr>
          <w:b w:val="0"/>
        </w:rPr>
        <w:t xml:space="preserve"> Contrato Interadministrativo N.º 15092025-1496, celebrado entre la Secretaría de Infraestructura del Departamento de Caldas y Promueve Más S.A.S. </w:t>
      </w:r>
      <w:r>
        <w:rPr>
          <w:b/>
          <w:i w:val="0"/>
        </w:rPr>
        <w:t>Fecha:</w:t>
      </w:r>
      <w:r>
        <w:rPr>
          <w:b w:val="0"/>
        </w:rPr>
        <w:t xml:space="preserve"> 22 de julio de 2026</w:t>
      </w:r>
    </w:p>
    <w:p>
      <w:pPr>
        <w:pStyle w:val="Title"/>
      </w:pPr>
      <w:r>
        <w:rPr>
          <w:b/>
          <w:sz w:val="23"/>
        </w:rPr>
        <w:t>JUSTIFICACIÓN DE LA NECESIDAD Y ESPECIFICACIÓN TÉCNICA PARA SOLICITAR COTIZACIONES</w:t>
      </w:r>
    </w:p>
    <w:p>
      <w:pPr>
        <w:spacing w:after="120"/>
        <w:jc w:val="center"/>
      </w:pPr>
      <w:r>
        <w:rPr>
          <w:b/>
          <w:color w:val="1F4E78"/>
          <w:sz w:val="19"/>
        </w:rPr>
        <w:t>SERVICIO INTEGRAL DE RASTREO, MONITOREO, SOPORTE, HOMOLOGACIÓN Y SUMINISTRO EVENTUAL DE DISPOSITIVOS GPS</w:t>
      </w:r>
    </w:p>
    <w:p>
      <w:pPr>
        <w:pStyle w:val="Heading1"/>
      </w:pPr>
      <w:r>
        <w:rPr>
          <w:b w:val="0"/>
        </w:rPr>
        <w:t>1. Presentación y antecedente contractual</w:t>
      </w:r>
    </w:p>
    <w:p>
      <w:r>
        <w:rPr>
          <w:b w:val="0"/>
        </w:rPr>
        <w:t>Promueve Más S.A.S. es una empresa de economía mixta, de derecho privado, constituida como Sociedad por Acciones Simplificada, de carácter comercial y filial del Instituto de Financiamiento, Promoción y Desarrollo de Caldas – INFICALDAS. Su organización se enmarca en la Ley 1258 de 2008 y en las disposiciones aplicables de la Ley 489 de 1998.</w:t>
      </w:r>
    </w:p>
    <w:p>
      <w:r>
        <w:rPr>
          <w:b w:val="0"/>
        </w:rPr>
        <w:t>Mediante el Contrato Interadministrativo N.º 15092025-1496, Promueve Más S.A.S. administra, opera y mantiene maquinaria adscrita a la Secretaría de Infraestructura para el mantenimiento periódico y rutinario de la red vial departamental. La operación comprende maquinaria pesada, volquetas y camionetas de propiedad del Departamento de Caldas que trabajan en las diferentes subregiones y municipios del departamento.</w:t>
      </w:r>
    </w:p>
    <w:p>
      <w:r>
        <w:rPr>
          <w:b w:val="0"/>
        </w:rPr>
        <w:t>El contrato exige administrar, custodiar y controlar los equipos; conocer su ubicación, estado y novedades; controlar recorridos, tiempos de operación, paradas y horas de trabajo; apoyar la programación de mantenimientos; conservar información disponible para consulta; presentar informes semanales; facilitar el acceso de la supervisión; y realizar monitoreo continuo mediante GPS. También incorpora el cumplimiento de la Resolución 2086 de 2014 respecto de la maquinaria sometida a ese régimen.</w:t>
      </w:r>
    </w:p>
    <w:p>
      <w:pPr>
        <w:pStyle w:val="Heading1"/>
      </w:pPr>
      <w:r>
        <w:rPr>
          <w:b w:val="0"/>
        </w:rPr>
        <w:t>2. Justificación de la necesidad</w:t>
      </w:r>
    </w:p>
    <w:p>
      <w:r>
        <w:rPr>
          <w:b w:val="0"/>
        </w:rPr>
        <w:t>La dispersión territorial de la flota, la operación en zonas rurales, la atención de emergencias y la obligación de presentar información verificable hacen necesario mantener un sistema centralizado de georreferenciación, monitoreo y trazabilidad. El servicio permitirá:</w:t>
      </w:r>
    </w:p>
    <w:p>
      <w:pPr>
        <w:pStyle w:val="ListBullet"/>
      </w:pPr>
      <w:r>
        <w:rPr>
          <w:b w:val="0"/>
        </w:rPr>
        <w:t>conocer la ubicación y el estado de conexión de los activos;</w:t>
      </w:r>
    </w:p>
    <w:p>
      <w:pPr>
        <w:pStyle w:val="ListBullet"/>
      </w:pPr>
      <w:r>
        <w:rPr>
          <w:b w:val="0"/>
        </w:rPr>
        <w:t>validar recorridos, distancias, velocidades, encendidos, apagados, paradas, ralentí y horas de motor;</w:t>
      </w:r>
    </w:p>
    <w:p>
      <w:pPr>
        <w:pStyle w:val="ListBullet"/>
      </w:pPr>
      <w:r>
        <w:rPr>
          <w:b w:val="0"/>
        </w:rPr>
        <w:t>generar evidencia para los informes y requerimientos de la supervisión;</w:t>
      </w:r>
    </w:p>
    <w:p>
      <w:pPr>
        <w:pStyle w:val="ListBullet"/>
      </w:pPr>
      <w:r>
        <w:rPr>
          <w:b w:val="0"/>
        </w:rPr>
        <w:t>apoyar la custodia de bienes públicos, el control operativo y la programación del mantenimiento;</w:t>
      </w:r>
    </w:p>
    <w:p>
      <w:pPr>
        <w:pStyle w:val="ListBullet"/>
      </w:pPr>
      <w:r>
        <w:rPr>
          <w:b w:val="0"/>
        </w:rPr>
        <w:t>detectar desconexiones, pérdidas de reporte y eventos atípicos;</w:t>
      </w:r>
    </w:p>
    <w:p>
      <w:pPr>
        <w:pStyle w:val="ListBullet"/>
      </w:pPr>
      <w:r>
        <w:rPr>
          <w:b w:val="0"/>
        </w:rPr>
        <w:t>conservar y exportar la información histórica; y</w:t>
      </w:r>
    </w:p>
    <w:p>
      <w:pPr>
        <w:pStyle w:val="ListBullet"/>
      </w:pPr>
      <w:r>
        <w:rPr>
          <w:b w:val="0"/>
        </w:rPr>
        <w:t>aportar controles e indicadores para la gestión del riesgo vial.</w:t>
      </w:r>
    </w:p>
    <w:p>
      <w:r>
        <w:rPr>
          <w:b w:val="0"/>
        </w:rPr>
        <w:t>Los activos administrados cuentan actualmente con dispositivos Teltonika FMC130 4G. Para preservar la infraestructura existente y evitar reemplazos injustificados, la plataforma ofrecida deberá recibir, configurar, homologar e integrar dichos equipos cuando se encuentren operativos y sean técnicamente aptos. Los dispositivos nuevos se solicitarán únicamente por falla no reparable, obsolescencia acreditada o incorporación de un activo sin terminal, siempre con autorización previa.</w:t>
      </w:r>
    </w:p>
    <w:p>
      <w:pPr>
        <w:pStyle w:val="Heading1"/>
      </w:pPr>
      <w:r>
        <w:rPr>
          <w:b w:val="0"/>
        </w:rPr>
        <w:t>3. Objeto de la solicitud</w:t>
      </w:r>
    </w:p>
    <w:p>
      <w:r>
        <w:rPr>
          <w:b w:val="0"/>
        </w:rPr>
        <w:t>Solicitar cotizaciones informativas para un servicio integral de plataforma en la nube, rastreo GNSS/GPS, transmisión de datos, monitoreo, soporte, mantenimiento, homologación, instalación, desinstalación, traslado y suministro eventual de dispositivos para la maquinaria pesada, volquetas y camionetas administradas por Promueve Más S.A.S. en el departamento de Caldas.</w:t>
      </w:r>
    </w:p>
    <w:p>
      <w:r>
        <w:rPr>
          <w:b w:val="0"/>
        </w:rPr>
        <w:t>La solución deberá ser compatible con los Teltonika FMC130 4G existentes, cumplir la regulación aplicable a cada clase de activo y permitir la consulta mediante plataforma web y aplicación móvil.</w:t>
      </w:r>
    </w:p>
    <w:p>
      <w:r>
        <w:br w:type="page"/>
      </w:r>
    </w:p>
    <w:p>
      <w:pPr>
        <w:pStyle w:val="Heading1"/>
      </w:pPr>
      <w:r>
        <w:rPr>
          <w:b w:val="0"/>
        </w:rPr>
        <w:t>4. Marco normativo esencial</w:t>
      </w:r>
    </w:p>
    <w:p>
      <w:r>
        <w:rPr>
          <w:b/>
          <w:i w:val="0"/>
        </w:rPr>
        <w:t>Control especial de maquinaria.</w:t>
      </w:r>
      <w:r>
        <w:rPr>
          <w:b w:val="0"/>
        </w:rPr>
        <w:t xml:space="preserve"> El Decreto 723 de 2014, compilado en el Decreto 1070 de 2015, establece medidas de registro, control y monitoreo para la maquinaria incluida en las subpartidas expresamente reguladas. Los artículos 2.2.6.6 y 2.2.6.10 a 2.2.6.12 disponen, entre otros aspectos, la incorporación permanente de GPS u otro dispositivo autorizado, el registro del IMEI y del serial asociados a la máquina, la continuidad del servicio, la integración para consulta de la Policía Nacional y la conservación de la trazabilidad por mínimo un año.</w:t>
      </w:r>
    </w:p>
    <w:p>
      <w:r>
        <w:rPr>
          <w:b w:val="0"/>
        </w:rPr>
        <w:t>La Resolución 2086 de 2014 desarrolla condiciones sobre identificación, instalación, georreferenciación WGS 84, fecha y hora, respaldo eléctrico, precisión, disponibilidad, placa de identificación, registro, almacenamiento e integración con la Policía Nacional. Para los activos efectivamente sometidos a este régimen, el prestador del monitoreo deberá estar autorizado por la Policía Nacional y conservar vigente su habilitación.</w:t>
      </w:r>
    </w:p>
    <w:p>
      <w:r>
        <w:rPr>
          <w:b w:val="0"/>
        </w:rPr>
        <w:t>La aplicación de estos requisitos deberá verificarse de acuerdo con la clasificación técnica o arancelaria de cada activo. La denominación general “maquinaria pesada” o “maquinaria amarilla” no reemplaza esa validación. La referencia Teltonika FMC130 tampoco acredita por sí sola el cumplimiento: deberá comprobarse la solución completa, incluidos terminal, instalación, respaldo, comunicaciones, plataforma, proveedor habilitado, registro, integración y conservación de datos.</w:t>
      </w:r>
    </w:p>
    <w:p>
      <w:r>
        <w:rPr>
          <w:b/>
          <w:i w:val="0"/>
        </w:rPr>
        <w:t>Plan Estratégico de Seguridad Vial.</w:t>
      </w:r>
      <w:r>
        <w:rPr>
          <w:b w:val="0"/>
        </w:rPr>
        <w:t xml:space="preserve"> La Ley 1503 de 2011, modificada por el Decreto Ley 2106 de 2019, la Ley 2050 de 2020, el Decreto 1252 de 2021 y la Resolución 20223040040595 de 2022 conforman el marco aplicable al PESV. El rastreo no sustituye su diseño e implementación, pero aporta evidencia para la gestión de velocidades, desplazamientos, mantenimiento, riesgos viales e indicadores.</w:t>
      </w:r>
    </w:p>
    <w:p>
      <w:r>
        <w:rPr>
          <w:b w:val="0"/>
        </w:rPr>
        <w:t>La obligación específica de GPS para la maquinaria regulada proviene del Decreto 1070 de 2015 y de la Resolución 2086 de 2014. Para volquetas, camionetas y demás activos no comprendidos en las subpartidas especiales, el monitoreo se fundamenta principalmente en el contrato interadministrativo, el control operacional y el apoyo al PESV.</w:t>
      </w:r>
    </w:p>
    <w:p>
      <w:r>
        <w:rPr>
          <w:b/>
          <w:i w:val="0"/>
        </w:rPr>
        <w:t>Información.</w:t>
      </w:r>
      <w:r>
        <w:rPr>
          <w:b w:val="0"/>
        </w:rPr>
        <w:t xml:space="preserve"> El proveedor será titular o licenciante de su plataforma, pero no adquirirá propiedad sobre los datos operacionales. Promueve Más S.A.S. y el Departamento de Caldas conservarán los derechos de acceso, consulta, uso institucional y exportación. El tratamiento de información deberá observar la confidencialidad contractual y, cuando corresponda, la Ley 1581 de 2012.</w:t>
      </w:r>
    </w:p>
    <w:p>
      <w:pPr>
        <w:pStyle w:val="Heading1"/>
      </w:pPr>
      <w:r>
        <w:rPr>
          <w:b w:val="0"/>
        </w:rPr>
        <w:t>5. Alcance mínimo del servicio</w:t>
      </w:r>
    </w:p>
    <w:p>
      <w:r>
        <w:rPr>
          <w:b w:val="0"/>
        </w:rPr>
        <w:t>La cotización deberá contemplar precios unitarios para:</w:t>
      </w:r>
    </w:p>
    <w:p>
      <w:pPr>
        <w:pStyle w:val="ListNumber"/>
      </w:pPr>
      <w:r>
        <w:rPr>
          <w:b w:val="0"/>
        </w:rPr>
        <w:t>inventario, configuración, homologación e integración de terminales FMC130 existentes;</w:t>
      </w:r>
    </w:p>
    <w:p>
      <w:pPr>
        <w:pStyle w:val="ListNumber"/>
      </w:pPr>
      <w:r>
        <w:rPr>
          <w:b w:val="0"/>
        </w:rPr>
        <w:t>plataforma en la nube, conectividad móvil, SIM o eSIM y plan de datos por activo;</w:t>
      </w:r>
    </w:p>
    <w:p>
      <w:pPr>
        <w:pStyle w:val="ListNumber"/>
      </w:pPr>
      <w:r>
        <w:rPr>
          <w:b w:val="0"/>
        </w:rPr>
        <w:t>monitoreo permanente, soporte remoto y recepción de incidentes 24 horas al día, 7 días a la semana;</w:t>
      </w:r>
    </w:p>
    <w:p>
      <w:pPr>
        <w:pStyle w:val="ListNumber"/>
      </w:pPr>
      <w:r>
        <w:rPr>
          <w:b w:val="0"/>
        </w:rPr>
        <w:t>diagnóstico y mantenimiento preventivo y correctivo de terminal, alimentación, cableado y elementos asociados;</w:t>
      </w:r>
    </w:p>
    <w:p>
      <w:pPr>
        <w:pStyle w:val="ListNumber"/>
      </w:pPr>
      <w:r>
        <w:rPr>
          <w:b w:val="0"/>
        </w:rPr>
        <w:t>instalación, reinstalación, desinstalación y traslado autorizado de dispositivos;</w:t>
      </w:r>
    </w:p>
    <w:p>
      <w:pPr>
        <w:pStyle w:val="ListNumber"/>
      </w:pPr>
      <w:r>
        <w:rPr>
          <w:b w:val="0"/>
        </w:rPr>
        <w:t>suministro eventual de terminales nuevos, previa necesidad acreditada y autorización;</w:t>
      </w:r>
    </w:p>
    <w:p>
      <w:pPr>
        <w:pStyle w:val="ListNumber"/>
      </w:pPr>
      <w:r>
        <w:rPr>
          <w:b w:val="0"/>
        </w:rPr>
        <w:t>suministro e instalación de placa de identificación cuando legalmente corresponda;</w:t>
      </w:r>
    </w:p>
    <w:p>
      <w:pPr>
        <w:pStyle w:val="ListNumber"/>
      </w:pPr>
      <w:r>
        <w:rPr>
          <w:b w:val="0"/>
        </w:rPr>
        <w:t>capacitación, informes periódicos y atención de requerimientos; y</w:t>
      </w:r>
    </w:p>
    <w:p>
      <w:pPr>
        <w:pStyle w:val="ListNumber"/>
      </w:pPr>
      <w:r>
        <w:rPr>
          <w:b w:val="0"/>
        </w:rPr>
        <w:t>atención presencial y gastos de desplazamiento previamente autorizados fuera de Manizales y Villamaría.</w:t>
      </w:r>
    </w:p>
    <w:p>
      <w:r>
        <w:rPr>
          <w:b w:val="0"/>
        </w:rPr>
        <w:t>Quedan expresamente excluidos el botón de pánico y el bloqueo remoto del motor.</w:t>
      </w:r>
    </w:p>
    <w:p>
      <w:r>
        <w:br w:type="page"/>
      </w:r>
    </w:p>
    <w:p>
      <w:pPr>
        <w:pStyle w:val="Heading1"/>
      </w:pPr>
      <w:r>
        <w:rPr>
          <w:b w:val="0"/>
        </w:rPr>
        <w:t>6. Funcionalidades mínimas de la plataforma</w:t>
      </w:r>
    </w:p>
    <w:p>
      <w:r>
        <w:rPr>
          <w:b/>
          <w:i w:val="0"/>
        </w:rPr>
        <w:t>Localización y trazabilidad</w:t>
      </w:r>
    </w:p>
    <w:p>
      <w:pPr>
        <w:pStyle w:val="ListBullet"/>
      </w:pPr>
      <w:r>
        <w:rPr>
          <w:b w:val="0"/>
        </w:rPr>
        <w:t>ubicación del activo con fecha y hora, estado de conexión y última transmisión;</w:t>
      </w:r>
    </w:p>
    <w:p>
      <w:pPr>
        <w:pStyle w:val="ListBullet"/>
      </w:pPr>
      <w:r>
        <w:rPr>
          <w:b w:val="0"/>
        </w:rPr>
        <w:t>actualización ordinaria máxima cada 60 segundos cuando el activo esté en movimiento y exista cobertura;</w:t>
      </w:r>
    </w:p>
    <w:p>
      <w:pPr>
        <w:pStyle w:val="ListBullet"/>
      </w:pPr>
      <w:r>
        <w:rPr>
          <w:b w:val="0"/>
        </w:rPr>
        <w:t>historial de recorridos, reproducción de rutas y consulta por activo y periodo;</w:t>
      </w:r>
    </w:p>
    <w:p>
      <w:pPr>
        <w:pStyle w:val="ListBullet"/>
      </w:pPr>
      <w:r>
        <w:rPr>
          <w:b w:val="0"/>
        </w:rPr>
        <w:t>almacenamiento local durante ausencia de cobertura y retransmisión al recuperarla;</w:t>
      </w:r>
    </w:p>
    <w:p>
      <w:pPr>
        <w:pStyle w:val="ListBullet"/>
      </w:pPr>
      <w:r>
        <w:rPr>
          <w:b w:val="0"/>
        </w:rPr>
        <w:t>geocercas, puntos de control y alertas de entrada, salida o permanencia;</w:t>
      </w:r>
    </w:p>
    <w:p>
      <w:pPr>
        <w:pStyle w:val="ListBullet"/>
      </w:pPr>
      <w:r>
        <w:rPr>
          <w:b w:val="0"/>
        </w:rPr>
        <w:t>cartografía mediante Google Maps, Google Earth y Street View, o soluciones equivalentes; y</w:t>
      </w:r>
    </w:p>
    <w:p>
      <w:pPr>
        <w:pStyle w:val="ListBullet"/>
      </w:pPr>
      <w:r>
        <w:rPr>
          <w:b w:val="0"/>
        </w:rPr>
        <w:t>acceso web y aplicación compatible con Android e iOS, o aplicación web equivalente.</w:t>
      </w:r>
    </w:p>
    <w:p>
      <w:r>
        <w:rPr>
          <w:b w:val="0"/>
        </w:rPr>
        <w:t>El intervalo de 60 segundos es un requisito operativo de esta especificación y no se presenta como una frecuencia mínima ordenada por la Resolución 2086 de 2014.</w:t>
      </w:r>
    </w:p>
    <w:p>
      <w:r>
        <w:rPr>
          <w:b/>
          <w:i w:val="0"/>
        </w:rPr>
        <w:t>Control operativo</w:t>
      </w:r>
    </w:p>
    <w:p>
      <w:pPr>
        <w:pStyle w:val="ListBullet"/>
      </w:pPr>
      <w:r>
        <w:rPr>
          <w:b w:val="0"/>
        </w:rPr>
        <w:t>lectura de ignición, encendido y apagado;</w:t>
      </w:r>
    </w:p>
    <w:p>
      <w:pPr>
        <w:pStyle w:val="ListBullet"/>
      </w:pPr>
      <w:r>
        <w:rPr>
          <w:b w:val="0"/>
        </w:rPr>
        <w:t>horas de motor, indicando la fuente y la regla de cálculo;</w:t>
      </w:r>
    </w:p>
    <w:p>
      <w:pPr>
        <w:pStyle w:val="ListBullet"/>
      </w:pPr>
      <w:r>
        <w:rPr>
          <w:b w:val="0"/>
        </w:rPr>
        <w:t>kilómetros y distancias, identificando si proceden del GNSS, odómetro u otra fuente;</w:t>
      </w:r>
    </w:p>
    <w:p>
      <w:pPr>
        <w:pStyle w:val="ListBullet"/>
      </w:pPr>
      <w:r>
        <w:rPr>
          <w:b w:val="0"/>
        </w:rPr>
        <w:t>paradas, tiempo de inactividad y ralentí técnicamente medible;</w:t>
      </w:r>
    </w:p>
    <w:p>
      <w:pPr>
        <w:pStyle w:val="ListBullet"/>
      </w:pPr>
      <w:r>
        <w:rPr>
          <w:b w:val="0"/>
        </w:rPr>
        <w:t>velocidad instantánea, máxima y eventos de exceso de velocidad;</w:t>
      </w:r>
    </w:p>
    <w:p>
      <w:pPr>
        <w:pStyle w:val="ListBullet"/>
      </w:pPr>
      <w:r>
        <w:rPr>
          <w:b w:val="0"/>
        </w:rPr>
        <w:t>desconexión de alimentación, apertura de circuito o pérdida de reporte;</w:t>
      </w:r>
    </w:p>
    <w:p>
      <w:pPr>
        <w:pStyle w:val="ListBullet"/>
      </w:pPr>
      <w:r>
        <w:rPr>
          <w:b w:val="0"/>
        </w:rPr>
        <w:t>estado de batería y respaldo, cuando el terminal lo permita;</w:t>
      </w:r>
    </w:p>
    <w:p>
      <w:pPr>
        <w:pStyle w:val="ListBullet"/>
      </w:pPr>
      <w:r>
        <w:rPr>
          <w:b w:val="0"/>
        </w:rPr>
        <w:t>indicadores de conducción basados en eventos y parámetros informados; y</w:t>
      </w:r>
    </w:p>
    <w:p>
      <w:pPr>
        <w:pStyle w:val="ListBullet"/>
      </w:pPr>
      <w:r>
        <w:rPr>
          <w:b w:val="0"/>
        </w:rPr>
        <w:t>agrupación por tipo de activo, zona o frente de trabajo.</w:t>
      </w:r>
    </w:p>
    <w:p>
      <w:r>
        <w:rPr>
          <w:b w:val="0"/>
        </w:rPr>
        <w:t>Las alertas de “posible manipulación” deberán basarse en eventos objetivos y no se presentarán como prueba concluyente de intervención humana. Las horas efectivamente trabajadas solo podrán informarse cuando exista una señal o algoritmo sustentado que permita diferenciarlas de las horas de ignición o de motor.</w:t>
      </w:r>
    </w:p>
    <w:p>
      <w:r>
        <w:rPr>
          <w:b/>
          <w:i w:val="0"/>
        </w:rPr>
        <w:t>Mantenimiento y reportes</w:t>
      </w:r>
    </w:p>
    <w:p>
      <w:r>
        <w:rPr>
          <w:b w:val="0"/>
        </w:rPr>
        <w:t>La plataforma permitirá programar mantenimientos por fecha, kilómetros u horas de motor, generar alertas de vencimiento y consultar intervenciones. Como mínimo deberá producir y exportar en CSV o Excel y PDF:</w:t>
      </w:r>
    </w:p>
    <w:p>
      <w:pPr>
        <w:pStyle w:val="ListBullet"/>
      </w:pPr>
      <w:r>
        <w:rPr>
          <w:b w:val="0"/>
        </w:rPr>
        <w:t>ubicación y última transmisión;</w:t>
      </w:r>
    </w:p>
    <w:p>
      <w:pPr>
        <w:pStyle w:val="ListBullet"/>
      </w:pPr>
      <w:r>
        <w:rPr>
          <w:b w:val="0"/>
        </w:rPr>
        <w:t>recorridos, rutas, kilómetros y distancias;</w:t>
      </w:r>
    </w:p>
    <w:p>
      <w:pPr>
        <w:pStyle w:val="ListBullet"/>
      </w:pPr>
      <w:r>
        <w:rPr>
          <w:b w:val="0"/>
        </w:rPr>
        <w:t>encendidos, apagados, horas de motor, paradas y ralentí;</w:t>
      </w:r>
    </w:p>
    <w:p>
      <w:pPr>
        <w:pStyle w:val="ListBullet"/>
      </w:pPr>
      <w:r>
        <w:rPr>
          <w:b w:val="0"/>
        </w:rPr>
        <w:t>velocidades, geocercas y eventos;</w:t>
      </w:r>
    </w:p>
    <w:p>
      <w:pPr>
        <w:pStyle w:val="ListBullet"/>
      </w:pPr>
      <w:r>
        <w:rPr>
          <w:b w:val="0"/>
        </w:rPr>
        <w:t>desconexiones y activos sin reporte;</w:t>
      </w:r>
    </w:p>
    <w:p>
      <w:pPr>
        <w:pStyle w:val="ListBullet"/>
      </w:pPr>
      <w:r>
        <w:rPr>
          <w:b w:val="0"/>
        </w:rPr>
        <w:t>mantenimientos programados, ejecutados y vencidos; e</w:t>
      </w:r>
    </w:p>
    <w:p>
      <w:pPr>
        <w:pStyle w:val="ListBullet"/>
      </w:pPr>
      <w:r>
        <w:rPr>
          <w:b w:val="0"/>
        </w:rPr>
        <w:t>informes diarios, semanales, mensuales o por periodos personalizados.</w:t>
      </w:r>
    </w:p>
    <w:p>
      <w:r>
        <w:rPr>
          <w:b w:val="0"/>
        </w:rPr>
        <w:t>El proveedor remitirá semanalmente un consolidado de conectividad, activos sin reporte, fallas, intervenciones y novedades relevantes, además de la información adicional solicitada por Promueve Más S.A.S. o por los supervisores autorizados.</w:t>
      </w:r>
    </w:p>
    <w:p>
      <w:pPr>
        <w:pStyle w:val="Heading1"/>
      </w:pPr>
      <w:r>
        <w:rPr>
          <w:b w:val="0"/>
        </w:rPr>
        <w:t>7. Usuarios y capacitación</w:t>
      </w:r>
    </w:p>
    <w:p>
      <w:r>
        <w:rPr>
          <w:b w:val="0"/>
        </w:rPr>
        <w:t>El número de usuarios y perfiles será definido por Logística. El cotizante indicará cuántos usuarios incluye, sus límites y el precio de usuarios adicionales. Podrán habilitarse perfiles de consulta para supervisores del contrato interadministrativo. La capacitación inicial cubrirá navegación, históricos, geocercas, alertas, reportes, mantenimiento, aplicación móvil y procedimiento para incidentes, con entrega de material digital.</w:t>
      </w:r>
    </w:p>
    <w:p>
      <w:r>
        <w:br w:type="page"/>
      </w:r>
    </w:p>
    <w:p>
      <w:pPr>
        <w:pStyle w:val="Heading1"/>
      </w:pPr>
      <w:r>
        <w:rPr>
          <w:b w:val="0"/>
        </w:rPr>
        <w:t>8. Dispositivos, instalación e identificación</w:t>
      </w:r>
    </w:p>
    <w:p>
      <w:r>
        <w:rPr>
          <w:b/>
          <w:i w:val="0"/>
        </w:rPr>
        <w:t>Equipos existentes.</w:t>
      </w:r>
      <w:r>
        <w:rPr>
          <w:b w:val="0"/>
        </w:rPr>
        <w:t xml:space="preserve"> El proveedor deberá demostrar mediante prueba que su plataforma recibe e interpreta correctamente el protocolo y las tramas de los Teltonika FMC130 4G. La homologación comprenderá servidor y puerto, APN, transmisión, identificación, eventos, entradas, respaldo, asociación terminal-activo y pruebas de comunicación. No podrá exigir reemplazos cuando los dispositivos sean aptos, salvo que para un activo regulado no se demuestre el cumplimiento de la solución integral.</w:t>
      </w:r>
    </w:p>
    <w:p>
      <w:r>
        <w:rPr>
          <w:b/>
          <w:i w:val="0"/>
        </w:rPr>
        <w:t>Equipos nuevos o de reposición.</w:t>
      </w:r>
      <w:r>
        <w:rPr>
          <w:b w:val="0"/>
        </w:rPr>
        <w:t xml:space="preserve"> Cuando sean autorizados, deberán ser nuevos, originales, de procedencia demostrable, compatibles con la plataforma y con prestaciones equivalentes o superiores al FMC130 4G. Como mínimo deberán contar con receptor GNSS, conectividad 4G, batería de respaldo, memoria local, IMEI y serial verificables, lectura de ignición, compatibilidad eléctrica con el activo y garantía mínima de doce meses. Para maquinaria regulada, el cotizante acreditará la arquitectura de comunicación y demás requisitos exigibles. No se aceptarán equipos usados, remanufacturados o con identificadores alterados.</w:t>
      </w:r>
    </w:p>
    <w:p>
      <w:r>
        <w:rPr>
          <w:b/>
          <w:i w:val="0"/>
        </w:rPr>
        <w:t>Placa.</w:t>
      </w:r>
      <w:r>
        <w:rPr>
          <w:b w:val="0"/>
        </w:rPr>
        <w:t xml:space="preserve"> En la maquinaria que legalmente la requiera se instalará, en la estación del operador o cabina, una placa de aluminio de 8 × 5 cm, calibre 16 y fijada con remaches. Incluirá serial e IMEI del GPS, serial de la maquinaria, chasis y motor. Los datos deberán coincidir con el acta de instalación; si falta algún identificador, se dejará constancia y no se inventará ni alterará información.</w:t>
      </w:r>
    </w:p>
    <w:p>
      <w:r>
        <w:rPr>
          <w:b/>
          <w:i w:val="0"/>
        </w:rPr>
        <w:t>Instalación y cambios.</w:t>
      </w:r>
      <w:r>
        <w:rPr>
          <w:b w:val="0"/>
        </w:rPr>
        <w:t xml:space="preserve"> El terminal y sus conexiones se protegerán contra vibración, humedad, polvo, calor y manipulación. Ninguna intervención podrá modificar circuitos críticos ni afectar garantías sin autorización. Cada trabajo generará un acta con activo, GPS, IMEI, serial, SIM, fecha, lugar, técnico, configuración, fotografías, prueba y datos de la placa. Todo cambio requerirá diagnóstico y autorización; cuando haya reposición se actualizará la asociación en plataforma y se apoyará la actualización ante el RUNT y las autoridades cuando corresponda.</w:t>
      </w:r>
    </w:p>
    <w:p>
      <w:pPr>
        <w:pStyle w:val="Heading1"/>
      </w:pPr>
      <w:r>
        <w:rPr>
          <w:b w:val="0"/>
        </w:rPr>
        <w:t>9. Niveles de servicio y cobertura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5156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1F4E78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5156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1F4E78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Requisito mínimo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sz w:val="16"/>
              </w:rPr>
              <w:t>Plataforma y recepción de incidentes</w:t>
            </w:r>
          </w:p>
        </w:tc>
        <w:tc>
          <w:tcPr>
            <w:tcW w:type="dxa" w:w="5156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sz w:val="16"/>
              </w:rPr>
              <w:t>24 horas al día, 7 días a la semana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F4F4F4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sz w:val="16"/>
              </w:rPr>
              <w:t>Disponibilidad mensual de plataforma</w:t>
            </w:r>
          </w:p>
        </w:tc>
        <w:tc>
          <w:tcPr>
            <w:tcW w:type="dxa" w:w="5156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F4F4F4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sz w:val="16"/>
              </w:rPr>
              <w:t>99 %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sz w:val="16"/>
              </w:rPr>
              <w:t>Diagnóstico remoto inicial</w:t>
            </w:r>
          </w:p>
        </w:tc>
        <w:tc>
          <w:tcPr>
            <w:tcW w:type="dxa" w:w="5156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sz w:val="16"/>
              </w:rPr>
              <w:t>8 horas hábiles desde la radicación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F4F4F4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sz w:val="16"/>
              </w:rPr>
              <w:t>Corrección de falla atribuible al servicio</w:t>
            </w:r>
          </w:p>
        </w:tc>
        <w:tc>
          <w:tcPr>
            <w:tcW w:type="dxa" w:w="5156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F4F4F4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sz w:val="16"/>
              </w:rPr>
              <w:t>Máximo 48 horas hábiles desde la radicación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sz w:val="16"/>
              </w:rPr>
              <w:t>Actualización ordinaria</w:t>
            </w:r>
          </w:p>
        </w:tc>
        <w:tc>
          <w:tcPr>
            <w:tcW w:type="dxa" w:w="5156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sz w:val="16"/>
              </w:rPr>
              <w:t>Máximo 60 segundos en movimiento y con cobertura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F4F4F4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sz w:val="16"/>
              </w:rPr>
              <w:t>Operación sin cobertura</w:t>
            </w:r>
          </w:p>
        </w:tc>
        <w:tc>
          <w:tcPr>
            <w:tcW w:type="dxa" w:w="5156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F4F4F4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sz w:val="16"/>
              </w:rPr>
              <w:t>Memoria local y retransmisión automática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sz w:val="16"/>
              </w:rPr>
              <w:t>Conservación de cada registro</w:t>
            </w:r>
          </w:p>
        </w:tc>
        <w:tc>
          <w:tcPr>
            <w:tcW w:type="dxa" w:w="5156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sz w:val="16"/>
              </w:rPr>
              <w:t>Mínimo 12 meses desde su generación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F4F4F4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sz w:val="16"/>
              </w:rPr>
              <w:t>Garantía de equipo nuevo e instalación</w:t>
            </w:r>
          </w:p>
        </w:tc>
        <w:tc>
          <w:tcPr>
            <w:tcW w:type="dxa" w:w="5156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F4F4F4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sz w:val="16"/>
              </w:rPr>
              <w:t>Mínimo 12 meses</w:t>
            </w:r>
          </w:p>
        </w:tc>
      </w:tr>
    </w:tbl>
    <w:p>
      <w:r>
        <w:rPr>
          <w:b w:val="0"/>
        </w:rPr>
        <w:t>La corrección significa restablecer el servicio mediante reparación, reconfiguración o sustitución. El plazo solo se suspenderá por fuerza mayor acreditada o por falta de acceso al activo imputable a Promueve Más S.A.S.; la falta de personal, repuestos o capacidad del proveedor no lo suspende.</w:t>
      </w:r>
    </w:p>
    <w:p>
      <w:r>
        <w:rPr>
          <w:b w:val="0"/>
        </w:rPr>
        <w:t xml:space="preserve">La disponibilidad se calculará mensualmente como: </w:t>
      </w:r>
      <w:r>
        <w:rPr>
          <w:b/>
          <w:i w:val="0"/>
        </w:rPr>
        <w:t>[(minutos totales − minutos de indisponibilidad imputable al proveedor) / minutos totales] × 100</w:t>
      </w:r>
      <w:r>
        <w:rPr>
          <w:b w:val="0"/>
        </w:rPr>
        <w:t>. Las pérdidas de cobertura móvil de un activo se reportarán separadamente.</w:t>
      </w:r>
    </w:p>
    <w:p>
      <w:r>
        <w:rPr>
          <w:b w:val="0"/>
        </w:rPr>
        <w:t>El servicio cubrirá todo el departamento de Caldas. El proveedor deberá demostrar capacidad remota y presencial, personal, repuestos y equipos de sustitución, sin exigencia de domicilio específico. Los desplazamientos autorizados fuera de Manizales y Villamaría se cotizarán por kilómetro de ida y regreso desde la sede de Promueve Más S.A.S. e incluirán vehículo, combustible, técnico y peajes.</w:t>
      </w:r>
    </w:p>
    <w:p>
      <w:r>
        <w:br w:type="page"/>
      </w:r>
    </w:p>
    <w:p>
      <w:pPr>
        <w:pStyle w:val="Heading1"/>
      </w:pPr>
      <w:r>
        <w:rPr>
          <w:b w:val="0"/>
        </w:rPr>
        <w:t>10. Custodia y entrega de información</w:t>
      </w:r>
    </w:p>
    <w:p>
      <w:r>
        <w:rPr>
          <w:b w:val="0"/>
        </w:rPr>
        <w:t>El proveedor alojará la información con medidas de disponibilidad, integridad, confidencialidad y recuperación. Cada registro se conservará por mínimo doce meses desde su generación y los datos deberán permanecer accesibles hasta su entrega final. No podrán venderse, cederse ni utilizarse para fines diferentes del servicio o del cumplimiento legal.</w:t>
      </w:r>
    </w:p>
    <w:p>
      <w:r>
        <w:rPr>
          <w:b w:val="0"/>
        </w:rPr>
        <w:t>Antes de finalizar el acceso, el proveedor entregará la información completa generada durante la ejecución —históricos, eventos, catálogos e informes— en CSV o XLSX y PDF, junto con un diccionario de campos. La entrega no podrá condicionarse al pago de licencias o cargos no informados en la cotización y definidos en el eventual contrato.</w:t>
      </w:r>
    </w:p>
    <w:p>
      <w:pPr>
        <w:pStyle w:val="Heading1"/>
      </w:pPr>
      <w:r>
        <w:rPr>
          <w:b w:val="0"/>
        </w:rPr>
        <w:t>11. Información y evidencias del cotizante</w:t>
      </w:r>
    </w:p>
    <w:p>
      <w:r>
        <w:rPr>
          <w:b w:val="0"/>
        </w:rPr>
        <w:t>El cotizante deberá suministrar:</w:t>
      </w:r>
    </w:p>
    <w:p>
      <w:pPr>
        <w:pStyle w:val="ListNumber"/>
      </w:pPr>
      <w:r>
        <w:rPr>
          <w:b w:val="0"/>
        </w:rPr>
        <w:t>identificación del prestador efectivo y prueba de habilitación vigente ante la Policía Nacional para los activos sometidos al régimen especial;</w:t>
      </w:r>
    </w:p>
    <w:p>
      <w:pPr>
        <w:pStyle w:val="ListNumber"/>
      </w:pPr>
      <w:r>
        <w:rPr>
          <w:b w:val="0"/>
        </w:rPr>
        <w:t>relación jurídica con el tercero habilitado, cuando la plataforma o autorización no sea propia;</w:t>
      </w:r>
    </w:p>
    <w:p>
      <w:pPr>
        <w:pStyle w:val="ListNumber"/>
      </w:pPr>
      <w:r>
        <w:rPr>
          <w:b w:val="0"/>
        </w:rPr>
        <w:t>ficha técnica y evidencia de compatibilidad con Teltonika FMC130 4G;</w:t>
      </w:r>
    </w:p>
    <w:p>
      <w:pPr>
        <w:pStyle w:val="ListNumber"/>
      </w:pPr>
      <w:r>
        <w:rPr>
          <w:b w:val="0"/>
        </w:rPr>
        <w:t>fichas, procedencia y garantía de los equipos nuevos ofrecidos;</w:t>
      </w:r>
    </w:p>
    <w:p>
      <w:pPr>
        <w:pStyle w:val="ListNumber"/>
      </w:pPr>
      <w:r>
        <w:rPr>
          <w:b w:val="0"/>
        </w:rPr>
        <w:t>experiencia verificable en rastreo y soporte de flotas, pública o privada equivalente;</w:t>
      </w:r>
    </w:p>
    <w:p>
      <w:pPr>
        <w:pStyle w:val="ListNumber"/>
      </w:pPr>
      <w:r>
        <w:rPr>
          <w:b w:val="0"/>
        </w:rPr>
        <w:t>descripción de mesa de ayuda, escalamiento y atención presencial en Caldas;</w:t>
      </w:r>
    </w:p>
    <w:p>
      <w:pPr>
        <w:pStyle w:val="ListNumber"/>
      </w:pPr>
      <w:r>
        <w:rPr>
          <w:b w:val="0"/>
        </w:rPr>
        <w:t>disponibilidad de personal, repuestos y dispositivos de sustitución; y</w:t>
      </w:r>
    </w:p>
    <w:p>
      <w:pPr>
        <w:pStyle w:val="ListNumber"/>
      </w:pPr>
      <w:r>
        <w:rPr>
          <w:b w:val="0"/>
        </w:rPr>
        <w:t>aceptación de realizar una prueba funcional sobre los FMC130 que determine Promueve Más S.A.S. antes de una eventual aceptación técnica.</w:t>
      </w:r>
    </w:p>
    <w:p>
      <w:r>
        <w:rPr>
          <w:b w:val="0"/>
        </w:rPr>
        <w:t>Para cada activo regulado deberá diligenciarse una matriz de conformidad que relacione requisito normativo, componente que lo satisface, evidencia, resultado de prueba, proveedor habilitado, cumplimiento y limitaciones.</w:t>
      </w:r>
    </w:p>
    <w:p>
      <w:pPr>
        <w:pStyle w:val="Heading1"/>
      </w:pPr>
      <w:r>
        <w:rPr>
          <w:b w:val="0"/>
        </w:rPr>
        <w:t>12. Información económica requerida</w:t>
      </w:r>
    </w:p>
    <w:p>
      <w:r>
        <w:rPr>
          <w:b w:val="0"/>
        </w:rPr>
        <w:t>No se solicitará valor total mientras no estén definidas las cantidades y el plazo. La cotización informativa deberá discriminar valor antes de impuestos, IVA y precio unitario total: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3437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1F4E78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Ítem</w:t>
            </w:r>
          </w:p>
        </w:tc>
        <w:tc>
          <w:tcPr>
            <w:tcW w:type="dxa" w:w="3437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1F4E78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Concepto</w:t>
            </w:r>
          </w:p>
        </w:tc>
        <w:tc>
          <w:tcPr>
            <w:tcW w:type="dxa" w:w="3437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1F4E78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Unidad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sz w:val="15"/>
              </w:rPr>
              <w:t>1</w:t>
            </w:r>
          </w:p>
        </w:tc>
        <w:tc>
          <w:tcPr>
            <w:tcW w:type="dxa" w:w="3437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sz w:val="15"/>
              </w:rPr>
              <w:t>Plataforma, conectividad y monitoreo con GPS existente</w:t>
            </w:r>
          </w:p>
        </w:tc>
        <w:tc>
          <w:tcPr>
            <w:tcW w:type="dxa" w:w="3437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sz w:val="15"/>
              </w:rPr>
              <w:t>Activo/mes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F4F4F4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3437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F4F4F4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sz w:val="15"/>
              </w:rPr>
              <w:t>Homologación y activación de FMC130 existente</w:t>
            </w:r>
          </w:p>
        </w:tc>
        <w:tc>
          <w:tcPr>
            <w:tcW w:type="dxa" w:w="3437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F4F4F4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sz w:val="15"/>
              </w:rPr>
              <w:t>Dispositivo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sz w:val="15"/>
              </w:rPr>
              <w:t>3</w:t>
            </w:r>
          </w:p>
        </w:tc>
        <w:tc>
          <w:tcPr>
            <w:tcW w:type="dxa" w:w="3437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sz w:val="15"/>
              </w:rPr>
              <w:t>Instalación o reinstalación, incluida placa cuando aplique</w:t>
            </w:r>
          </w:p>
        </w:tc>
        <w:tc>
          <w:tcPr>
            <w:tcW w:type="dxa" w:w="3437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sz w:val="15"/>
              </w:rPr>
              <w:t>Dispositivo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F4F4F4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3437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F4F4F4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sz w:val="15"/>
              </w:rPr>
              <w:t>Suministro eventual de GPS nuevo compatible</w:t>
            </w:r>
          </w:p>
        </w:tc>
        <w:tc>
          <w:tcPr>
            <w:tcW w:type="dxa" w:w="3437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F4F4F4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sz w:val="15"/>
              </w:rPr>
              <w:t>Dispositivo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sz w:val="15"/>
              </w:rPr>
              <w:t>5</w:t>
            </w:r>
          </w:p>
        </w:tc>
        <w:tc>
          <w:tcPr>
            <w:tcW w:type="dxa" w:w="3437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sz w:val="15"/>
              </w:rPr>
              <w:t>Desinstalación y traslado entre activos</w:t>
            </w:r>
          </w:p>
        </w:tc>
        <w:tc>
          <w:tcPr>
            <w:tcW w:type="dxa" w:w="3437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sz w:val="15"/>
              </w:rPr>
              <w:t>Dispositivo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F4F4F4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sz w:val="15"/>
              </w:rPr>
              <w:t>6</w:t>
            </w:r>
          </w:p>
        </w:tc>
        <w:tc>
          <w:tcPr>
            <w:tcW w:type="dxa" w:w="3437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F4F4F4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sz w:val="15"/>
              </w:rPr>
              <w:t>Diagnóstico o mantenimiento presencial en Manizales o Villamaría</w:t>
            </w:r>
          </w:p>
        </w:tc>
        <w:tc>
          <w:tcPr>
            <w:tcW w:type="dxa" w:w="3437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F4F4F4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sz w:val="15"/>
              </w:rPr>
              <w:t>Hora de técnico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sz w:val="15"/>
              </w:rPr>
              <w:t>7</w:t>
            </w:r>
          </w:p>
        </w:tc>
        <w:tc>
          <w:tcPr>
            <w:tcW w:type="dxa" w:w="3437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sz w:val="15"/>
              </w:rPr>
              <w:t>Desplazamiento fuera de Manizales y Villamaría</w:t>
            </w:r>
          </w:p>
        </w:tc>
        <w:tc>
          <w:tcPr>
            <w:tcW w:type="dxa" w:w="3437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sz w:val="15"/>
              </w:rPr>
              <w:t>Kilómetro ida y regreso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F4F4F4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sz w:val="15"/>
              </w:rPr>
              <w:t>8</w:t>
            </w:r>
          </w:p>
        </w:tc>
        <w:tc>
          <w:tcPr>
            <w:tcW w:type="dxa" w:w="3437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F4F4F4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sz w:val="15"/>
              </w:rPr>
              <w:t>Usuario adicional, si genera costo</w:t>
            </w:r>
          </w:p>
        </w:tc>
        <w:tc>
          <w:tcPr>
            <w:tcW w:type="dxa" w:w="3437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shd w:fill="F4F4F4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sz w:val="15"/>
              </w:rPr>
              <w:t>Usuario/mes</w:t>
            </w:r>
          </w:p>
        </w:tc>
      </w:tr>
    </w:tbl>
    <w:p>
      <w:r>
        <w:rPr>
          <w:b w:val="0"/>
        </w:rPr>
        <w:t>También se indicarán vigencia de la cotización, garantías, tiempos, costos incluidos, límites de usuarios, valores no recurrentes, reajustes, exclusiones y supuestos. No se incluirán botón de pánico, bloqueo remoto del motor ni cargos sin unidad verificable.</w:t>
      </w:r>
    </w:p>
    <w:p>
      <w:pPr>
        <w:pStyle w:val="Heading1"/>
      </w:pPr>
      <w:r>
        <w:rPr>
          <w:b w:val="0"/>
        </w:rPr>
        <w:t>13. Naturaleza de la solicitud y conclusión</w:t>
      </w:r>
    </w:p>
    <w:p>
      <w:r>
        <w:rPr>
          <w:b w:val="0"/>
        </w:rPr>
        <w:t>Este documento es un insumo técnico para solicitar cotizaciones informativas y estudiar el mercado. No constituye invitación a contratar, oferta, promesa, adjudicación ni selección; su recepción no genera derechos o preferencias. Las cantidades, plazo, presupuesto, forma de pago, procedimiento, requisitos definitivos y factores de evaluación serán establecidos posteriormente por las áreas competentes.</w:t>
      </w:r>
    </w:p>
    <w:p>
      <w:r>
        <w:rPr>
          <w:b w:val="0"/>
        </w:rPr>
        <w:t>El servicio es necesario para cumplir las obligaciones de monitoreo y reporte del Contrato Interadministrativo N.º 15092025-1496, controlar los activos departamentales, respaldar la supervisión, apoyar el mantenimiento y la gestión del riesgo vial, y observar la regulación especial aplicable. Antes de contratar deberán verificarse la clasificación de los activos regulados, la conformidad de la solución FMC130, la vigencia de las autorizaciones y la revisión jurídica y contractual.</w:t>
      </w:r>
    </w:p>
    <w:p>
      <w:r>
        <w:rPr>
          <w:b/>
          <w:i w:val="0"/>
        </w:rPr>
        <w:t>Elaboró:</w:t>
      </w:r>
      <w:r>
        <w:rPr>
          <w:b w:val="0"/>
        </w:rPr>
        <w:t xml:space="preserve"> Dependencia de Logística – Promueve Más S.A.S.</w:t>
      </w:r>
    </w:p>
    <w:p>
      <w:r>
        <w:rPr>
          <w:b/>
          <w:i w:val="0"/>
        </w:rPr>
        <w:t>Fuentes principales:</w:t>
      </w:r>
      <w:r>
        <w:rPr>
          <w:b w:val="0"/>
        </w:rPr>
        <w:t xml:space="preserve"> Decreto 1070 de 2015; Resolución 2086 de 2014; Ley 1503 de 2011; Ley 2050 de 2020; Decreto 1252 de 2021; Resolución 20223040040595 de 2022; Ley 1581 de 2012.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22" w:right="964" w:bottom="822" w:left="964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1F4E78"/>
        <w:sz w:val="14"/>
      </w:rPr>
      <w:t xml:space="preserve">Promueve Más S.A.S. – Calle 18 N.º 7C-47 – Tel. 3104191960 – operaciones@promuevemas.com  |  Página </w:t>
    </w:r>
    <w:r>
      <w:rPr>
        <w:rFonts w:ascii="Aptos" w:hAnsi="Aptos"/>
        <w:color w:val="1F4E78"/>
        <w:sz w:val="14"/>
      </w:rPr>
      <w:fldChar w:fldCharType="begin"/>
      <w:instrText xml:space="preserve"> PAGE </w:instrText>
      <w:fldChar w:fldCharType="end"/>
    </w:r>
    <w:r>
      <w:rPr>
        <w:rFonts w:ascii="Aptos" w:hAnsi="Aptos"/>
        <w:color w:val="1F4E78"/>
        <w:sz w:val="14"/>
      </w:rPr>
      <w:t xml:space="preserve"> de </w:t>
    </w:r>
    <w:r>
      <w:rPr>
        <w:rFonts w:ascii="Aptos" w:hAnsi="Aptos"/>
        <w:color w:val="1F4E78"/>
        <w:sz w:val="14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F4E78"/>
        <w:sz w:val="14"/>
      </w:rPr>
      <w:t>PROMUEVE MÁS S.A.S.  |  ESPECIFICACIÓN TÉCNICA GPS – VERSIÓN ABREVIADA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50"/>
      <w:jc w:val="both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3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ind w:left="283" w:hanging="159"/>
      <w:contextualSpacing/>
    </w:pPr>
    <w:rPr>
      <w:rFonts w:ascii="Aptos" w:hAnsi="Aptos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"/>
      <w:ind w:left="283" w:hanging="159"/>
      <w:contextualSpacing/>
    </w:pPr>
    <w:rPr>
      <w:rFonts w:ascii="Aptos" w:hAnsi="Aptos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técnica GPS – versión abreviada</dc:title>
  <dc:subject>Solicitud de cotizaciones informativas</dc:subject>
  <dc:creator>Promueve Más S.A.S. – Logística</dc:creator>
  <cp:keywords/>
  <dc:description>Versión abreviada organizada en cinco páginas lógicas.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