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jc w:val="center"/>
      </w:pPr>
      <w:r>
        <w:rPr>
          <w:rFonts w:ascii="Calibri" w:hAnsi="Calibri"/>
          <w:b/>
          <w:i w:val="0"/>
          <w:color w:val="2E74B5"/>
          <w:sz w:val="20"/>
        </w:rPr>
        <w:t>BÁO CÁO PHÂN TÍCH DỰ ÁN MACHINE LEARNING</w:t>
      </w:r>
    </w:p>
    <w:p>
      <w:pPr>
        <w:jc w:val="center"/>
      </w:pPr>
      <w:r>
        <w:rPr>
          <w:rFonts w:ascii="Calibri" w:hAnsi="Calibri"/>
          <w:b/>
          <w:i w:val="0"/>
          <w:color w:val="1F4E79"/>
          <w:sz w:val="56"/>
        </w:rPr>
        <w:t>Dự Báo Rủi Ro</w:t>
        <w:br/>
        <w:t>Vỡ Nợ Khoản Vay</w:t>
      </w:r>
    </w:p>
    <w:p>
      <w:pPr>
        <w:jc w:val="center"/>
      </w:pPr>
      <w:r>
        <w:rPr>
          <w:rFonts w:ascii="Calibri" w:hAnsi="Calibri"/>
          <w:b w:val="0"/>
          <w:i w:val="0"/>
          <w:color w:val="5A626C"/>
          <w:sz w:val="26"/>
        </w:rPr>
        <w:t>Leakage-Safe Pipeline • Out-of-Time Validation • Cost-Sensitive Decision</w:t>
      </w:r>
    </w:p>
    <w:p>
      <w:pPr>
        <w:spacing w:after="68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F1F8"/>
          </w:tcPr>
          <w:p>
            <w:r>
              <w:rPr>
                <w:rFonts w:ascii="Calibri" w:hAnsi="Calibri"/>
                <w:b/>
                <w:i w:val="0"/>
                <w:color w:val="1F4E79"/>
                <w:sz w:val="21"/>
              </w:rPr>
              <w:t xml:space="preserve">Kết luận chính: </w:t>
            </w:r>
            <w:r>
              <w:rPr>
                <w:rFonts w:ascii="Calibri" w:hAnsi="Calibri"/>
                <w:b w:val="0"/>
                <w:i w:val="0"/>
                <w:sz w:val="21"/>
              </w:rPr>
              <w:t>Logistic Regression đã hiệu chỉnh xác suất, không sử dụng biến định giá, đạt PR-AUC 0,3384 và ROC-AUC 0,7195 trên tập test tương lai. Dự án phù hợp trình bày trong CV ở vai trò Data Scientist, ML Engineer hoặc Risk Data Analyst.</w:t>
            </w:r>
          </w:p>
        </w:tc>
      </w:tr>
    </w:tbl>
    <w:p>
      <w:pPr>
        <w:spacing w:after="0"/>
      </w:pPr>
    </w:p>
    <w:p>
      <w:pPr>
        <w:jc w:val="center"/>
      </w:pPr>
      <w:r>
        <w:rPr>
          <w:rFonts w:ascii="Calibri" w:hAnsi="Calibri"/>
          <w:b w:val="0"/>
          <w:i w:val="0"/>
          <w:color w:val="5A626C"/>
          <w:sz w:val="19"/>
        </w:rPr>
        <w:t>Phiên bản báo cáo: 31/08/2026  |  Mục đích: Portfolio / Phỏng vấn</w:t>
      </w:r>
    </w:p>
    <w:p>
      <w:r>
        <w:br w:type="page"/>
      </w:r>
    </w:p>
    <w:p>
      <w:pPr>
        <w:pStyle w:val="Heading1"/>
      </w:pPr>
      <w:r>
        <w:t>1. Tóm tắt điều hành</w:t>
      </w:r>
    </w:p>
    <w:p>
      <w:r>
        <w:t>Dự án giải quyết bài toán dự báo một khoản vay sẽ bị Charged Off hay Fully Paid từ thông tin có sẵn tại thời điểm cấp vay. Trọng tâm không phải tối đa hóa một metric đơn lẻ, mà là xây dựng quy trình đánh giá trung thực, tái lập và có thể phục vụ qua API hoặc giao diện web.</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vAlign w:val="center"/>
            <w:tcMar>
              <w:top w:w="80" w:type="dxa"/>
              <w:start w:w="120" w:type="dxa"/>
              <w:bottom w:w="80" w:type="dxa"/>
              <w:end w:w="120" w:type="dxa"/>
            </w:tcMar>
            <w:shd w:fill="2E74B5"/>
          </w:tcPr>
          <w:p>
            <w:r>
              <w:rPr>
                <w:rFonts w:ascii="Calibri" w:hAnsi="Calibri"/>
                <w:b/>
                <w:i w:val="0"/>
                <w:color w:val="FFFFFF"/>
                <w:sz w:val="19"/>
              </w:rPr>
              <w:t>Hạng mục</w:t>
            </w:r>
          </w:p>
        </w:tc>
        <w:tc>
          <w:tcPr>
            <w:tcW w:type="dxa" w:w="7160"/>
            <w:vAlign w:val="center"/>
            <w:tcMar>
              <w:top w:w="80" w:type="dxa"/>
              <w:start w:w="120" w:type="dxa"/>
              <w:bottom w:w="80" w:type="dxa"/>
              <w:end w:w="120" w:type="dxa"/>
            </w:tcMar>
            <w:shd w:fill="2E74B5"/>
          </w:tcPr>
          <w:p>
            <w:r>
              <w:rPr>
                <w:rFonts w:ascii="Calibri" w:hAnsi="Calibri"/>
                <w:b/>
                <w:i w:val="0"/>
                <w:color w:val="FFFFFF"/>
                <w:sz w:val="19"/>
              </w:rPr>
              <w:t>Thiết kế đã chốt</w:t>
            </w:r>
          </w:p>
        </w:tc>
      </w:tr>
      <w:tr>
        <w:tc>
          <w:tcPr>
            <w:tcW w:type="dxa" w:w="2200"/>
          </w:tcPr>
          <w:p>
            <w:r>
              <w:rPr>
                <w:rFonts w:ascii="Calibri" w:hAnsi="Calibri"/>
                <w:b w:val="0"/>
                <w:i w:val="0"/>
                <w:sz w:val="18"/>
              </w:rPr>
              <w:t>Dữ liệu</w:t>
            </w:r>
          </w:p>
        </w:tc>
        <w:tc>
          <w:tcPr>
            <w:tcW w:type="dxa" w:w="7160"/>
          </w:tcPr>
          <w:p>
            <w:r>
              <w:rPr>
                <w:rFonts w:ascii="Calibri" w:hAnsi="Calibri"/>
                <w:b w:val="0"/>
                <w:i w:val="0"/>
                <w:sz w:val="18"/>
              </w:rPr>
              <w:t>38.577 khoản vay đã có kết quả cuối cùng; giai đoạn 2007–2011</w:t>
            </w:r>
          </w:p>
        </w:tc>
      </w:tr>
      <w:tr>
        <w:tc>
          <w:tcPr>
            <w:tcW w:type="dxa" w:w="2200"/>
            <w:shd w:fill="F2F4F7"/>
          </w:tcPr>
          <w:p>
            <w:r>
              <w:rPr>
                <w:rFonts w:ascii="Calibri" w:hAnsi="Calibri"/>
                <w:b w:val="0"/>
                <w:i w:val="0"/>
                <w:sz w:val="18"/>
              </w:rPr>
              <w:t>Đánh giá</w:t>
            </w:r>
          </w:p>
        </w:tc>
        <w:tc>
          <w:tcPr>
            <w:tcW w:type="dxa" w:w="7160"/>
            <w:shd w:fill="F2F4F7"/>
          </w:tcPr>
          <w:p>
            <w:r>
              <w:rPr>
                <w:rFonts w:ascii="Calibri" w:hAnsi="Calibri"/>
                <w:b w:val="0"/>
                <w:i w:val="0"/>
                <w:sz w:val="18"/>
              </w:rPr>
              <w:t>Train quá khứ, validation H1/2011, test H2/2011</w:t>
            </w:r>
          </w:p>
        </w:tc>
      </w:tr>
      <w:tr>
        <w:tc>
          <w:tcPr>
            <w:tcW w:type="dxa" w:w="2200"/>
          </w:tcPr>
          <w:p>
            <w:r>
              <w:rPr>
                <w:rFonts w:ascii="Calibri" w:hAnsi="Calibri"/>
                <w:b w:val="0"/>
                <w:i w:val="0"/>
                <w:sz w:val="18"/>
              </w:rPr>
              <w:t>Champion</w:t>
            </w:r>
          </w:p>
        </w:tc>
        <w:tc>
          <w:tcPr>
            <w:tcW w:type="dxa" w:w="7160"/>
          </w:tcPr>
          <w:p>
            <w:r>
              <w:rPr>
                <w:rFonts w:ascii="Calibri" w:hAnsi="Calibri"/>
                <w:b w:val="0"/>
                <w:i w:val="0"/>
                <w:sz w:val="18"/>
              </w:rPr>
              <w:t>Calibrated Logistic Regression, không dùng int_rate/sub_grade</w:t>
            </w:r>
          </w:p>
        </w:tc>
      </w:tr>
      <w:tr>
        <w:tc>
          <w:tcPr>
            <w:tcW w:type="dxa" w:w="2200"/>
            <w:shd w:fill="F2F4F7"/>
          </w:tcPr>
          <w:p>
            <w:r>
              <w:rPr>
                <w:rFonts w:ascii="Calibri" w:hAnsi="Calibri"/>
                <w:b w:val="0"/>
                <w:i w:val="0"/>
                <w:sz w:val="18"/>
              </w:rPr>
              <w:t>Metric chính</w:t>
            </w:r>
          </w:p>
        </w:tc>
        <w:tc>
          <w:tcPr>
            <w:tcW w:type="dxa" w:w="7160"/>
            <w:shd w:fill="F2F4F7"/>
          </w:tcPr>
          <w:p>
            <w:r>
              <w:rPr>
                <w:rFonts w:ascii="Calibri" w:hAnsi="Calibri"/>
                <w:b w:val="0"/>
                <w:i w:val="0"/>
                <w:sz w:val="18"/>
              </w:rPr>
              <w:t>PR-AUC do lớp Charged Off chiếm tỷ lệ thấp</w:t>
            </w:r>
          </w:p>
        </w:tc>
      </w:tr>
      <w:tr>
        <w:tc>
          <w:tcPr>
            <w:tcW w:type="dxa" w:w="2200"/>
          </w:tcPr>
          <w:p>
            <w:r>
              <w:rPr>
                <w:rFonts w:ascii="Calibri" w:hAnsi="Calibri"/>
                <w:b w:val="0"/>
                <w:i w:val="0"/>
                <w:sz w:val="18"/>
              </w:rPr>
              <w:t>Triển khai</w:t>
            </w:r>
          </w:p>
        </w:tc>
        <w:tc>
          <w:tcPr>
            <w:tcW w:type="dxa" w:w="7160"/>
          </w:tcPr>
          <w:p>
            <w:r>
              <w:rPr>
                <w:rFonts w:ascii="Calibri" w:hAnsi="Calibri"/>
                <w:b w:val="0"/>
                <w:i w:val="0"/>
                <w:sz w:val="18"/>
              </w:rPr>
              <w:t>Joblib artifact, FastAPI, Streamlit, Docker và GitHub Actions</w:t>
            </w:r>
          </w:p>
        </w:tc>
      </w:tr>
      <w:tr>
        <w:tc>
          <w:tcPr>
            <w:tcW w:type="dxa" w:w="2200"/>
            <w:shd w:fill="F2F4F7"/>
          </w:tcPr>
          <w:p>
            <w:r>
              <w:rPr>
                <w:rFonts w:ascii="Calibri" w:hAnsi="Calibri"/>
                <w:b w:val="0"/>
                <w:i w:val="0"/>
                <w:sz w:val="18"/>
              </w:rPr>
              <w:t>Quality gate</w:t>
            </w:r>
          </w:p>
        </w:tc>
        <w:tc>
          <w:tcPr>
            <w:tcW w:type="dxa" w:w="7160"/>
            <w:shd w:fill="F2F4F7"/>
          </w:tcPr>
          <w:p>
            <w:r>
              <w:rPr>
                <w:rFonts w:ascii="Calibri" w:hAnsi="Calibri"/>
                <w:b w:val="0"/>
                <w:i w:val="0"/>
                <w:sz w:val="18"/>
              </w:rPr>
              <w:t>10 kiểm thử tự động và smoke test API</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F1F8"/>
          </w:tcPr>
          <w:p>
            <w:r>
              <w:rPr>
                <w:rFonts w:ascii="Calibri" w:hAnsi="Calibri"/>
                <w:b/>
                <w:i w:val="0"/>
                <w:color w:val="1F4E79"/>
                <w:sz w:val="21"/>
              </w:rPr>
              <w:t xml:space="preserve">Phạm vi sử dụng: </w:t>
            </w:r>
            <w:r>
              <w:rPr>
                <w:rFonts w:ascii="Calibri" w:hAnsi="Calibri"/>
                <w:b w:val="0"/>
                <w:i w:val="0"/>
                <w:sz w:val="21"/>
              </w:rPr>
              <w:t>Đây là sản phẩm học tập và portfolio. Kết quả không được dùng để tự động phê duyệt, từ chối hoặc định giá khoản vay thực tế.</w:t>
            </w:r>
          </w:p>
        </w:tc>
      </w:tr>
    </w:tbl>
    <w:p>
      <w:pPr>
        <w:spacing w:after="0"/>
      </w:pPr>
    </w:p>
    <w:p>
      <w:pPr>
        <w:pStyle w:val="Heading1"/>
      </w:pPr>
      <w:r>
        <w:t>2. Dữ liệu và định nghĩa bài toán</w:t>
      </w:r>
    </w:p>
    <w:p>
      <w:pPr>
        <w:pStyle w:val="Heading2"/>
      </w:pPr>
      <w:r>
        <w:t>2.1. Dữ liệu chính</w:t>
      </w:r>
    </w:p>
    <w:p>
      <w:r>
        <w:t>Pipeline chính dùng bản LendingClub 111 cột với issue_d gốc từ tháng 06/2007 đến 12/2011. Các CSV bổ sung có schema hoặc nhãn khác được catalog hóa nhưng không gộp cơ học vào mô hình chính.</w:t>
      </w:r>
    </w:p>
    <w:tbl>
      <w:tblPr>
        <w:tblStyle w:val="TableGrid"/>
        <w:tblW w:type="dxa" w:w="9360"/>
        <w:jc w:val="left"/>
        <w:tblLayout w:type="fixed"/>
        <w:tblLook w:firstColumn="1" w:firstRow="1" w:lastColumn="0" w:lastRow="0" w:noHBand="0" w:noVBand="1" w:val="04A0"/>
        <w:tblInd w:w="120" w:type="dxa"/>
      </w:tblPr>
      <w:tblGrid>
        <w:gridCol w:w="3000"/>
        <w:gridCol w:w="1800"/>
        <w:gridCol w:w="4560"/>
      </w:tblGrid>
      <w:tr>
        <w:tc>
          <w:tcPr>
            <w:tcW w:type="dxa" w:w="3000"/>
            <w:vAlign w:val="center"/>
            <w:tcMar>
              <w:top w:w="80" w:type="dxa"/>
              <w:start w:w="120" w:type="dxa"/>
              <w:bottom w:w="80" w:type="dxa"/>
              <w:end w:w="120" w:type="dxa"/>
            </w:tcMar>
            <w:shd w:fill="2E74B5"/>
          </w:tcPr>
          <w:p>
            <w:r>
              <w:rPr>
                <w:rFonts w:ascii="Calibri" w:hAnsi="Calibri"/>
                <w:b/>
                <w:i w:val="0"/>
                <w:color w:val="FFFFFF"/>
                <w:sz w:val="19"/>
              </w:rPr>
              <w:t>Trạng thái</w:t>
            </w:r>
          </w:p>
        </w:tc>
        <w:tc>
          <w:tcPr>
            <w:tcW w:type="dxa" w:w="1800"/>
            <w:vAlign w:val="center"/>
            <w:tcMar>
              <w:top w:w="80" w:type="dxa"/>
              <w:start w:w="120" w:type="dxa"/>
              <w:bottom w:w="80" w:type="dxa"/>
              <w:end w:w="120" w:type="dxa"/>
            </w:tcMar>
            <w:shd w:fill="2E74B5"/>
          </w:tcPr>
          <w:p>
            <w:r>
              <w:rPr>
                <w:rFonts w:ascii="Calibri" w:hAnsi="Calibri"/>
                <w:b/>
                <w:i w:val="0"/>
                <w:color w:val="FFFFFF"/>
                <w:sz w:val="19"/>
              </w:rPr>
              <w:t>Số dòng</w:t>
            </w:r>
          </w:p>
        </w:tc>
        <w:tc>
          <w:tcPr>
            <w:tcW w:type="dxa" w:w="4560"/>
            <w:vAlign w:val="center"/>
            <w:tcMar>
              <w:top w:w="80" w:type="dxa"/>
              <w:start w:w="120" w:type="dxa"/>
              <w:bottom w:w="80" w:type="dxa"/>
              <w:end w:w="120" w:type="dxa"/>
            </w:tcMar>
            <w:shd w:fill="2E74B5"/>
          </w:tcPr>
          <w:p>
            <w:r>
              <w:rPr>
                <w:rFonts w:ascii="Calibri" w:hAnsi="Calibri"/>
                <w:b/>
                <w:i w:val="0"/>
                <w:color w:val="FFFFFF"/>
                <w:sz w:val="19"/>
              </w:rPr>
              <w:t>Xử lý</w:t>
            </w:r>
          </w:p>
        </w:tc>
      </w:tr>
      <w:tr>
        <w:tc>
          <w:tcPr>
            <w:tcW w:type="dxa" w:w="3000"/>
          </w:tcPr>
          <w:p>
            <w:r>
              <w:rPr>
                <w:rFonts w:ascii="Calibri" w:hAnsi="Calibri"/>
                <w:b w:val="0"/>
                <w:i w:val="0"/>
                <w:sz w:val="18"/>
              </w:rPr>
              <w:t>Fully Paid</w:t>
            </w:r>
          </w:p>
        </w:tc>
        <w:tc>
          <w:tcPr>
            <w:tcW w:type="dxa" w:w="1800"/>
          </w:tcPr>
          <w:p>
            <w:r>
              <w:rPr>
                <w:rFonts w:ascii="Calibri" w:hAnsi="Calibri"/>
                <w:b w:val="0"/>
                <w:i w:val="0"/>
                <w:sz w:val="18"/>
              </w:rPr>
              <w:t>32.950</w:t>
            </w:r>
          </w:p>
        </w:tc>
        <w:tc>
          <w:tcPr>
            <w:tcW w:type="dxa" w:w="4560"/>
          </w:tcPr>
          <w:p>
            <w:r>
              <w:rPr>
                <w:rFonts w:ascii="Calibri" w:hAnsi="Calibri"/>
                <w:b w:val="0"/>
                <w:i w:val="0"/>
                <w:sz w:val="18"/>
              </w:rPr>
              <w:t>Nhãn 0</w:t>
            </w:r>
          </w:p>
        </w:tc>
      </w:tr>
      <w:tr>
        <w:tc>
          <w:tcPr>
            <w:tcW w:type="dxa" w:w="3000"/>
            <w:shd w:fill="F2F4F7"/>
          </w:tcPr>
          <w:p>
            <w:r>
              <w:rPr>
                <w:rFonts w:ascii="Calibri" w:hAnsi="Calibri"/>
                <w:b w:val="0"/>
                <w:i w:val="0"/>
                <w:sz w:val="18"/>
              </w:rPr>
              <w:t>Charged Off</w:t>
            </w:r>
          </w:p>
        </w:tc>
        <w:tc>
          <w:tcPr>
            <w:tcW w:type="dxa" w:w="1800"/>
            <w:shd w:fill="F2F4F7"/>
          </w:tcPr>
          <w:p>
            <w:r>
              <w:rPr>
                <w:rFonts w:ascii="Calibri" w:hAnsi="Calibri"/>
                <w:b w:val="0"/>
                <w:i w:val="0"/>
                <w:sz w:val="18"/>
              </w:rPr>
              <w:t>5.627</w:t>
            </w:r>
          </w:p>
        </w:tc>
        <w:tc>
          <w:tcPr>
            <w:tcW w:type="dxa" w:w="4560"/>
            <w:shd w:fill="F2F4F7"/>
          </w:tcPr>
          <w:p>
            <w:r>
              <w:rPr>
                <w:rFonts w:ascii="Calibri" w:hAnsi="Calibri"/>
                <w:b w:val="0"/>
                <w:i w:val="0"/>
                <w:sz w:val="18"/>
              </w:rPr>
              <w:t>Nhãn 1</w:t>
            </w:r>
          </w:p>
        </w:tc>
      </w:tr>
      <w:tr>
        <w:tc>
          <w:tcPr>
            <w:tcW w:type="dxa" w:w="3000"/>
          </w:tcPr>
          <w:p>
            <w:r>
              <w:rPr>
                <w:rFonts w:ascii="Calibri" w:hAnsi="Calibri"/>
                <w:b w:val="0"/>
                <w:i w:val="0"/>
                <w:sz w:val="18"/>
              </w:rPr>
              <w:t>Current</w:t>
            </w:r>
          </w:p>
        </w:tc>
        <w:tc>
          <w:tcPr>
            <w:tcW w:type="dxa" w:w="1800"/>
          </w:tcPr>
          <w:p>
            <w:r>
              <w:rPr>
                <w:rFonts w:ascii="Calibri" w:hAnsi="Calibri"/>
                <w:b w:val="0"/>
                <w:i w:val="0"/>
                <w:sz w:val="18"/>
              </w:rPr>
              <w:t>1.140</w:t>
            </w:r>
          </w:p>
        </w:tc>
        <w:tc>
          <w:tcPr>
            <w:tcW w:type="dxa" w:w="4560"/>
          </w:tcPr>
          <w:p>
            <w:r>
              <w:rPr>
                <w:rFonts w:ascii="Calibri" w:hAnsi="Calibri"/>
                <w:b w:val="0"/>
                <w:i w:val="0"/>
                <w:sz w:val="18"/>
              </w:rPr>
              <w:t>Loại vì chưa kết thúc</w:t>
            </w:r>
          </w:p>
        </w:tc>
      </w:tr>
    </w:tbl>
    <w:p>
      <w:pPr>
        <w:spacing w:after="0"/>
      </w:pPr>
    </w:p>
    <w:p>
      <w:pPr>
        <w:pStyle w:val="Heading2"/>
      </w:pPr>
      <w:r>
        <w:t>2.2. Nhãn và thời điểm dự báo</w:t>
      </w:r>
    </w:p>
    <w:p>
      <w:pPr>
        <w:pStyle w:val="ListBullet"/>
        <w:spacing w:after="80"/>
      </w:pPr>
      <w:r>
        <w:rPr>
          <w:rFonts w:ascii="Calibri" w:hAnsi="Calibri"/>
          <w:b w:val="0"/>
          <w:i w:val="0"/>
          <w:sz w:val="21"/>
        </w:rPr>
        <w:t>Nhãn dương: Charged Off, biểu diễn khoản vay bị ghi giảm hoặc mất vốn.</w:t>
      </w:r>
    </w:p>
    <w:p>
      <w:pPr>
        <w:pStyle w:val="ListBullet"/>
        <w:spacing w:after="80"/>
      </w:pPr>
      <w:r>
        <w:rPr>
          <w:rFonts w:ascii="Calibri" w:hAnsi="Calibri"/>
          <w:b w:val="0"/>
          <w:i w:val="0"/>
          <w:sz w:val="21"/>
        </w:rPr>
        <w:t>Nhãn âm: Fully Paid, biểu diễn khoản vay đã thanh toán đầy đủ.</w:t>
      </w:r>
    </w:p>
    <w:p>
      <w:pPr>
        <w:pStyle w:val="ListBullet"/>
        <w:spacing w:after="80"/>
      </w:pPr>
      <w:r>
        <w:rPr>
          <w:rFonts w:ascii="Calibri" w:hAnsi="Calibri"/>
          <w:b w:val="0"/>
          <w:i w:val="0"/>
          <w:sz w:val="21"/>
        </w:rPr>
        <w:t>Thời điểm dự báo: sau khi điều khoản khoản vay hình thành nhưng trước khi phát sinh thanh toán.</w:t>
      </w:r>
    </w:p>
    <w:p>
      <w:pPr>
        <w:pStyle w:val="ListBullet"/>
        <w:spacing w:after="80"/>
      </w:pPr>
      <w:r>
        <w:rPr>
          <w:rFonts w:ascii="Calibri" w:hAnsi="Calibri"/>
          <w:b w:val="0"/>
          <w:i w:val="0"/>
          <w:sz w:val="21"/>
        </w:rPr>
        <w:t>Các khoản Current bị loại thay vì gán giả thành Fully Paid.</w:t>
      </w:r>
    </w:p>
    <w:p>
      <w:pPr>
        <w:pStyle w:val="Heading1"/>
      </w:pPr>
      <w:r>
        <w:t>3. Kiểm soát rò rỉ dữ liệu</w:t>
      </w:r>
    </w:p>
    <w:p>
      <w:r>
        <w:t>Danh sách đặc trưng được khai báo cho phép (allowlist). Vì vậy các cột hậu nghiệm không thể vô tình lọt vào model chỉ vì xuất hiện trong CSV.</w:t>
      </w:r>
    </w:p>
    <w:tbl>
      <w:tblPr>
        <w:tblStyle w:val="TableGrid"/>
        <w:tblW w:type="dxa" w:w="9360"/>
        <w:jc w:val="left"/>
        <w:tblLayout w:type="fixed"/>
        <w:tblLook w:firstColumn="1" w:firstRow="1" w:lastColumn="0" w:lastRow="0" w:noHBand="0" w:noVBand="1" w:val="04A0"/>
        <w:tblInd w:w="120" w:type="dxa"/>
      </w:tblPr>
      <w:tblGrid>
        <w:gridCol w:w="1800"/>
        <w:gridCol w:w="2800"/>
        <w:gridCol w:w="4760"/>
      </w:tblGrid>
      <w:tr>
        <w:tc>
          <w:tcPr>
            <w:tcW w:type="dxa" w:w="1800"/>
            <w:vAlign w:val="center"/>
            <w:tcMar>
              <w:top w:w="80" w:type="dxa"/>
              <w:start w:w="120" w:type="dxa"/>
              <w:bottom w:w="80" w:type="dxa"/>
              <w:end w:w="120" w:type="dxa"/>
            </w:tcMar>
            <w:shd w:fill="2E74B5"/>
          </w:tcPr>
          <w:p>
            <w:r>
              <w:rPr>
                <w:rFonts w:ascii="Calibri" w:hAnsi="Calibri"/>
                <w:b/>
                <w:i w:val="0"/>
                <w:color w:val="FFFFFF"/>
                <w:sz w:val="19"/>
              </w:rPr>
              <w:t>Nhóm bị loại</w:t>
            </w:r>
          </w:p>
        </w:tc>
        <w:tc>
          <w:tcPr>
            <w:tcW w:type="dxa" w:w="2800"/>
            <w:vAlign w:val="center"/>
            <w:tcMar>
              <w:top w:w="80" w:type="dxa"/>
              <w:start w:w="120" w:type="dxa"/>
              <w:bottom w:w="80" w:type="dxa"/>
              <w:end w:w="120" w:type="dxa"/>
            </w:tcMar>
            <w:shd w:fill="2E74B5"/>
          </w:tcPr>
          <w:p>
            <w:r>
              <w:rPr>
                <w:rFonts w:ascii="Calibri" w:hAnsi="Calibri"/>
                <w:b/>
                <w:i w:val="0"/>
                <w:color w:val="FFFFFF"/>
                <w:sz w:val="19"/>
              </w:rPr>
              <w:t>Ví dụ</w:t>
            </w:r>
          </w:p>
        </w:tc>
        <w:tc>
          <w:tcPr>
            <w:tcW w:type="dxa" w:w="4760"/>
            <w:vAlign w:val="center"/>
            <w:tcMar>
              <w:top w:w="80" w:type="dxa"/>
              <w:start w:w="120" w:type="dxa"/>
              <w:bottom w:w="80" w:type="dxa"/>
              <w:end w:w="120" w:type="dxa"/>
            </w:tcMar>
            <w:shd w:fill="2E74B5"/>
          </w:tcPr>
          <w:p>
            <w:r>
              <w:rPr>
                <w:rFonts w:ascii="Calibri" w:hAnsi="Calibri"/>
                <w:b/>
                <w:i w:val="0"/>
                <w:color w:val="FFFFFF"/>
                <w:sz w:val="19"/>
              </w:rPr>
              <w:t>Lý do</w:t>
            </w:r>
          </w:p>
        </w:tc>
      </w:tr>
      <w:tr>
        <w:tc>
          <w:tcPr>
            <w:tcW w:type="dxa" w:w="1800"/>
          </w:tcPr>
          <w:p>
            <w:r>
              <w:rPr>
                <w:rFonts w:ascii="Calibri" w:hAnsi="Calibri"/>
                <w:b w:val="0"/>
                <w:i w:val="0"/>
                <w:sz w:val="18"/>
              </w:rPr>
              <w:t>Kết quả</w:t>
            </w:r>
          </w:p>
        </w:tc>
        <w:tc>
          <w:tcPr>
            <w:tcW w:type="dxa" w:w="2800"/>
          </w:tcPr>
          <w:p>
            <w:r>
              <w:rPr>
                <w:rFonts w:ascii="Calibri" w:hAnsi="Calibri"/>
                <w:b w:val="0"/>
                <w:i w:val="0"/>
                <w:sz w:val="18"/>
              </w:rPr>
              <w:t>loan_status</w:t>
            </w:r>
          </w:p>
        </w:tc>
        <w:tc>
          <w:tcPr>
            <w:tcW w:type="dxa" w:w="4760"/>
          </w:tcPr>
          <w:p>
            <w:r>
              <w:rPr>
                <w:rFonts w:ascii="Calibri" w:hAnsi="Calibri"/>
                <w:b w:val="0"/>
                <w:i w:val="0"/>
                <w:sz w:val="18"/>
              </w:rPr>
              <w:t>Nguồn trực tiếp tạo nhãn</w:t>
            </w:r>
          </w:p>
        </w:tc>
      </w:tr>
      <w:tr>
        <w:tc>
          <w:tcPr>
            <w:tcW w:type="dxa" w:w="1800"/>
            <w:shd w:fill="F2F4F7"/>
          </w:tcPr>
          <w:p>
            <w:r>
              <w:rPr>
                <w:rFonts w:ascii="Calibri" w:hAnsi="Calibri"/>
                <w:b w:val="0"/>
                <w:i w:val="0"/>
                <w:sz w:val="18"/>
              </w:rPr>
              <w:t>Thanh toán</w:t>
            </w:r>
          </w:p>
        </w:tc>
        <w:tc>
          <w:tcPr>
            <w:tcW w:type="dxa" w:w="2800"/>
            <w:shd w:fill="F2F4F7"/>
          </w:tcPr>
          <w:p>
            <w:r>
              <w:rPr>
                <w:rFonts w:ascii="Calibri" w:hAnsi="Calibri"/>
                <w:b w:val="0"/>
                <w:i w:val="0"/>
                <w:sz w:val="18"/>
              </w:rPr>
              <w:t>total_pymnt, recoveries</w:t>
            </w:r>
          </w:p>
        </w:tc>
        <w:tc>
          <w:tcPr>
            <w:tcW w:type="dxa" w:w="4760"/>
            <w:shd w:fill="F2F4F7"/>
          </w:tcPr>
          <w:p>
            <w:r>
              <w:rPr>
                <w:rFonts w:ascii="Calibri" w:hAnsi="Calibri"/>
                <w:b w:val="0"/>
                <w:i w:val="0"/>
                <w:sz w:val="18"/>
              </w:rPr>
              <w:t>Chỉ biết sau giải ngân</w:t>
            </w:r>
          </w:p>
        </w:tc>
      </w:tr>
      <w:tr>
        <w:tc>
          <w:tcPr>
            <w:tcW w:type="dxa" w:w="1800"/>
          </w:tcPr>
          <w:p>
            <w:r>
              <w:rPr>
                <w:rFonts w:ascii="Calibri" w:hAnsi="Calibri"/>
                <w:b w:val="0"/>
                <w:i w:val="0"/>
                <w:sz w:val="18"/>
              </w:rPr>
              <w:t>Dư nợ</w:t>
            </w:r>
          </w:p>
        </w:tc>
        <w:tc>
          <w:tcPr>
            <w:tcW w:type="dxa" w:w="2800"/>
          </w:tcPr>
          <w:p>
            <w:r>
              <w:rPr>
                <w:rFonts w:ascii="Calibri" w:hAnsi="Calibri"/>
                <w:b w:val="0"/>
                <w:i w:val="0"/>
                <w:sz w:val="18"/>
              </w:rPr>
              <w:t>out_prncp</w:t>
            </w:r>
          </w:p>
        </w:tc>
        <w:tc>
          <w:tcPr>
            <w:tcW w:type="dxa" w:w="4760"/>
          </w:tcPr>
          <w:p>
            <w:r>
              <w:rPr>
                <w:rFonts w:ascii="Calibri" w:hAnsi="Calibri"/>
                <w:b w:val="0"/>
                <w:i w:val="0"/>
                <w:sz w:val="18"/>
              </w:rPr>
              <w:t>Phản ánh diễn biến sau cấp vay</w:t>
            </w:r>
          </w:p>
        </w:tc>
      </w:tr>
      <w:tr>
        <w:tc>
          <w:tcPr>
            <w:tcW w:type="dxa" w:w="1800"/>
            <w:shd w:fill="F2F4F7"/>
          </w:tcPr>
          <w:p>
            <w:r>
              <w:rPr>
                <w:rFonts w:ascii="Calibri" w:hAnsi="Calibri"/>
                <w:b w:val="0"/>
                <w:i w:val="0"/>
                <w:sz w:val="18"/>
              </w:rPr>
              <w:t>Mốc thời gian</w:t>
            </w:r>
          </w:p>
        </w:tc>
        <w:tc>
          <w:tcPr>
            <w:tcW w:type="dxa" w:w="2800"/>
            <w:shd w:fill="F2F4F7"/>
          </w:tcPr>
          <w:p>
            <w:r>
              <w:rPr>
                <w:rFonts w:ascii="Calibri" w:hAnsi="Calibri"/>
                <w:b w:val="0"/>
                <w:i w:val="0"/>
                <w:sz w:val="18"/>
              </w:rPr>
              <w:t>last_pymnt_d</w:t>
            </w:r>
          </w:p>
        </w:tc>
        <w:tc>
          <w:tcPr>
            <w:tcW w:type="dxa" w:w="4760"/>
            <w:shd w:fill="F2F4F7"/>
          </w:tcPr>
          <w:p>
            <w:r>
              <w:rPr>
                <w:rFonts w:ascii="Calibri" w:hAnsi="Calibri"/>
                <w:b w:val="0"/>
                <w:i w:val="0"/>
                <w:sz w:val="18"/>
              </w:rPr>
              <w:t>Thông tin tương lai so với thời điểm dự báo</w:t>
            </w:r>
          </w:p>
        </w:tc>
      </w:tr>
      <w:tr>
        <w:tc>
          <w:tcPr>
            <w:tcW w:type="dxa" w:w="1800"/>
          </w:tcPr>
          <w:p>
            <w:r>
              <w:rPr>
                <w:rFonts w:ascii="Calibri" w:hAnsi="Calibri"/>
                <w:b w:val="0"/>
                <w:i w:val="0"/>
                <w:sz w:val="18"/>
              </w:rPr>
              <w:t>Định danh</w:t>
            </w:r>
          </w:p>
        </w:tc>
        <w:tc>
          <w:tcPr>
            <w:tcW w:type="dxa" w:w="2800"/>
          </w:tcPr>
          <w:p>
            <w:r>
              <w:rPr>
                <w:rFonts w:ascii="Calibri" w:hAnsi="Calibri"/>
                <w:b w:val="0"/>
                <w:i w:val="0"/>
                <w:sz w:val="18"/>
              </w:rPr>
              <w:t>id, member_id</w:t>
            </w:r>
          </w:p>
        </w:tc>
        <w:tc>
          <w:tcPr>
            <w:tcW w:type="dxa" w:w="4760"/>
          </w:tcPr>
          <w:p>
            <w:r>
              <w:rPr>
                <w:rFonts w:ascii="Calibri" w:hAnsi="Calibri"/>
                <w:b w:val="0"/>
                <w:i w:val="0"/>
                <w:sz w:val="18"/>
              </w:rPr>
              <w:t>Không có giá trị tổng quát hóa ổn định</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F1F8"/>
          </w:tcPr>
          <w:p>
            <w:r>
              <w:rPr>
                <w:rFonts w:ascii="Calibri" w:hAnsi="Calibri"/>
                <w:b/>
                <w:i w:val="0"/>
                <w:color w:val="1F4E79"/>
                <w:sz w:val="21"/>
              </w:rPr>
              <w:t xml:space="preserve">Ablation pricing: </w:t>
            </w:r>
            <w:r>
              <w:rPr>
                <w:rFonts w:ascii="Calibri" w:hAnsi="Calibri"/>
                <w:b w:val="0"/>
                <w:i w:val="0"/>
                <w:sz w:val="21"/>
              </w:rPr>
              <w:t>Artifact chính loại int_rate và sub_grade. Phiên bản này đạt PR-AUC 0,3384, cao hơn nhẹ phiên bản có pricing 0,3366, đồng thời giảm nguy cơ học lại chính sách định giá của LendingClub.</w:t>
            </w:r>
          </w:p>
        </w:tc>
      </w:tr>
    </w:tbl>
    <w:p>
      <w:pPr>
        <w:spacing w:after="0"/>
      </w:pPr>
    </w:p>
    <w:p>
      <w:pPr>
        <w:pStyle w:val="Heading1"/>
      </w:pPr>
      <w:r>
        <w:t>4. Protocol đánh giá</w:t>
      </w:r>
    </w:p>
    <w:tbl>
      <w:tblPr>
        <w:tblStyle w:val="TableGrid"/>
        <w:tblW w:type="dxa" w:w="9360"/>
        <w:jc w:val="left"/>
        <w:tblLayout w:type="fixed"/>
        <w:tblLook w:firstColumn="1" w:firstRow="1" w:lastColumn="0" w:lastRow="0" w:noHBand="0" w:noVBand="1" w:val="04A0"/>
        <w:tblInd w:w="120" w:type="dxa"/>
      </w:tblPr>
      <w:tblGrid>
        <w:gridCol w:w="1600"/>
        <w:gridCol w:w="1900"/>
        <w:gridCol w:w="1400"/>
        <w:gridCol w:w="4460"/>
      </w:tblGrid>
      <w:tr>
        <w:tc>
          <w:tcPr>
            <w:tcW w:type="dxa" w:w="1600"/>
            <w:vAlign w:val="center"/>
            <w:tcMar>
              <w:top w:w="80" w:type="dxa"/>
              <w:start w:w="120" w:type="dxa"/>
              <w:bottom w:w="80" w:type="dxa"/>
              <w:end w:w="120" w:type="dxa"/>
            </w:tcMar>
            <w:shd w:fill="2E74B5"/>
          </w:tcPr>
          <w:p>
            <w:r>
              <w:rPr>
                <w:rFonts w:ascii="Calibri" w:hAnsi="Calibri"/>
                <w:b/>
                <w:i w:val="0"/>
                <w:color w:val="FFFFFF"/>
                <w:sz w:val="19"/>
              </w:rPr>
              <w:t>Tập</w:t>
            </w:r>
          </w:p>
        </w:tc>
        <w:tc>
          <w:tcPr>
            <w:tcW w:type="dxa" w:w="1900"/>
            <w:vAlign w:val="center"/>
            <w:tcMar>
              <w:top w:w="80" w:type="dxa"/>
              <w:start w:w="120" w:type="dxa"/>
              <w:bottom w:w="80" w:type="dxa"/>
              <w:end w:w="120" w:type="dxa"/>
            </w:tcMar>
            <w:shd w:fill="2E74B5"/>
          </w:tcPr>
          <w:p>
            <w:r>
              <w:rPr>
                <w:rFonts w:ascii="Calibri" w:hAnsi="Calibri"/>
                <w:b/>
                <w:i w:val="0"/>
                <w:color w:val="FFFFFF"/>
                <w:sz w:val="19"/>
              </w:rPr>
              <w:t>Khoảng thời gian</w:t>
            </w:r>
          </w:p>
        </w:tc>
        <w:tc>
          <w:tcPr>
            <w:tcW w:type="dxa" w:w="1400"/>
            <w:vAlign w:val="center"/>
            <w:tcMar>
              <w:top w:w="80" w:type="dxa"/>
              <w:start w:w="120" w:type="dxa"/>
              <w:bottom w:w="80" w:type="dxa"/>
              <w:end w:w="120" w:type="dxa"/>
            </w:tcMar>
            <w:shd w:fill="2E74B5"/>
          </w:tcPr>
          <w:p>
            <w:r>
              <w:rPr>
                <w:rFonts w:ascii="Calibri" w:hAnsi="Calibri"/>
                <w:b/>
                <w:i w:val="0"/>
                <w:color w:val="FFFFFF"/>
                <w:sz w:val="19"/>
              </w:rPr>
              <w:t>Số dòng</w:t>
            </w:r>
          </w:p>
        </w:tc>
        <w:tc>
          <w:tcPr>
            <w:tcW w:type="dxa" w:w="4460"/>
            <w:vAlign w:val="center"/>
            <w:tcMar>
              <w:top w:w="80" w:type="dxa"/>
              <w:start w:w="120" w:type="dxa"/>
              <w:bottom w:w="80" w:type="dxa"/>
              <w:end w:w="120" w:type="dxa"/>
            </w:tcMar>
            <w:shd w:fill="2E74B5"/>
          </w:tcPr>
          <w:p>
            <w:r>
              <w:rPr>
                <w:rFonts w:ascii="Calibri" w:hAnsi="Calibri"/>
                <w:b/>
                <w:i w:val="0"/>
                <w:color w:val="FFFFFF"/>
                <w:sz w:val="19"/>
              </w:rPr>
              <w:t>Vai trò</w:t>
            </w:r>
          </w:p>
        </w:tc>
      </w:tr>
      <w:tr>
        <w:tc>
          <w:tcPr>
            <w:tcW w:type="dxa" w:w="1600"/>
          </w:tcPr>
          <w:p>
            <w:r>
              <w:rPr>
                <w:rFonts w:ascii="Calibri" w:hAnsi="Calibri"/>
                <w:b w:val="0"/>
                <w:i w:val="0"/>
                <w:sz w:val="18"/>
              </w:rPr>
              <w:t>Train</w:t>
            </w:r>
          </w:p>
        </w:tc>
        <w:tc>
          <w:tcPr>
            <w:tcW w:type="dxa" w:w="1900"/>
          </w:tcPr>
          <w:p>
            <w:r>
              <w:rPr>
                <w:rFonts w:ascii="Calibri" w:hAnsi="Calibri"/>
                <w:b w:val="0"/>
                <w:i w:val="0"/>
                <w:sz w:val="18"/>
              </w:rPr>
              <w:t>Trước 01/2011</w:t>
            </w:r>
          </w:p>
        </w:tc>
        <w:tc>
          <w:tcPr>
            <w:tcW w:type="dxa" w:w="1400"/>
          </w:tcPr>
          <w:p>
            <w:r>
              <w:rPr>
                <w:rFonts w:ascii="Calibri" w:hAnsi="Calibri"/>
                <w:b w:val="0"/>
                <w:i w:val="0"/>
                <w:sz w:val="18"/>
              </w:rPr>
              <w:t>18.061</w:t>
            </w:r>
          </w:p>
        </w:tc>
        <w:tc>
          <w:tcPr>
            <w:tcW w:type="dxa" w:w="4460"/>
          </w:tcPr>
          <w:p>
            <w:r>
              <w:rPr>
                <w:rFonts w:ascii="Calibri" w:hAnsi="Calibri"/>
                <w:b w:val="0"/>
                <w:i w:val="0"/>
                <w:sz w:val="18"/>
              </w:rPr>
              <w:t>Fit preprocessing, model và calibration CV</w:t>
            </w:r>
          </w:p>
        </w:tc>
      </w:tr>
      <w:tr>
        <w:tc>
          <w:tcPr>
            <w:tcW w:type="dxa" w:w="1600"/>
            <w:shd w:fill="F2F4F7"/>
          </w:tcPr>
          <w:p>
            <w:r>
              <w:rPr>
                <w:rFonts w:ascii="Calibri" w:hAnsi="Calibri"/>
                <w:b w:val="0"/>
                <w:i w:val="0"/>
                <w:sz w:val="18"/>
              </w:rPr>
              <w:t>Validation</w:t>
            </w:r>
          </w:p>
        </w:tc>
        <w:tc>
          <w:tcPr>
            <w:tcW w:type="dxa" w:w="1900"/>
            <w:shd w:fill="F2F4F7"/>
          </w:tcPr>
          <w:p>
            <w:r>
              <w:rPr>
                <w:rFonts w:ascii="Calibri" w:hAnsi="Calibri"/>
                <w:b w:val="0"/>
                <w:i w:val="0"/>
                <w:sz w:val="18"/>
              </w:rPr>
              <w:t>01–06/2011</w:t>
            </w:r>
          </w:p>
        </w:tc>
        <w:tc>
          <w:tcPr>
            <w:tcW w:type="dxa" w:w="1400"/>
            <w:shd w:fill="F2F4F7"/>
          </w:tcPr>
          <w:p>
            <w:r>
              <w:rPr>
                <w:rFonts w:ascii="Calibri" w:hAnsi="Calibri"/>
                <w:b w:val="0"/>
                <w:i w:val="0"/>
                <w:sz w:val="18"/>
              </w:rPr>
              <w:t>9.015</w:t>
            </w:r>
          </w:p>
        </w:tc>
        <w:tc>
          <w:tcPr>
            <w:tcW w:type="dxa" w:w="4460"/>
            <w:shd w:fill="F2F4F7"/>
          </w:tcPr>
          <w:p>
            <w:r>
              <w:rPr>
                <w:rFonts w:ascii="Calibri" w:hAnsi="Calibri"/>
                <w:b w:val="0"/>
                <w:i w:val="0"/>
                <w:sz w:val="18"/>
              </w:rPr>
              <w:t>Chọn threshold theo chi phí</w:t>
            </w:r>
          </w:p>
        </w:tc>
      </w:tr>
      <w:tr>
        <w:tc>
          <w:tcPr>
            <w:tcW w:type="dxa" w:w="1600"/>
          </w:tcPr>
          <w:p>
            <w:r>
              <w:rPr>
                <w:rFonts w:ascii="Calibri" w:hAnsi="Calibri"/>
                <w:b w:val="0"/>
                <w:i w:val="0"/>
                <w:sz w:val="18"/>
              </w:rPr>
              <w:t>Test</w:t>
            </w:r>
          </w:p>
        </w:tc>
        <w:tc>
          <w:tcPr>
            <w:tcW w:type="dxa" w:w="1900"/>
          </w:tcPr>
          <w:p>
            <w:r>
              <w:rPr>
                <w:rFonts w:ascii="Calibri" w:hAnsi="Calibri"/>
                <w:b w:val="0"/>
                <w:i w:val="0"/>
                <w:sz w:val="18"/>
              </w:rPr>
              <w:t>07–12/2011</w:t>
            </w:r>
          </w:p>
        </w:tc>
        <w:tc>
          <w:tcPr>
            <w:tcW w:type="dxa" w:w="1400"/>
          </w:tcPr>
          <w:p>
            <w:r>
              <w:rPr>
                <w:rFonts w:ascii="Calibri" w:hAnsi="Calibri"/>
                <w:b w:val="0"/>
                <w:i w:val="0"/>
                <w:sz w:val="18"/>
              </w:rPr>
              <w:t>11.501</w:t>
            </w:r>
          </w:p>
        </w:tc>
        <w:tc>
          <w:tcPr>
            <w:tcW w:type="dxa" w:w="4460"/>
          </w:tcPr>
          <w:p>
            <w:r>
              <w:rPr>
                <w:rFonts w:ascii="Calibri" w:hAnsi="Calibri"/>
                <w:b w:val="0"/>
                <w:i w:val="0"/>
                <w:sz w:val="18"/>
              </w:rPr>
              <w:t>Báo cáo cuối và drift/slice analysis</w:t>
            </w:r>
          </w:p>
        </w:tc>
      </w:tr>
    </w:tbl>
    <w:p>
      <w:pPr>
        <w:spacing w:after="0"/>
      </w:pPr>
    </w:p>
    <w:p>
      <w:r>
        <w:t>Test nằm hoàn toàn sau train và validation, nên phản ánh suy giảm theo thời gian tốt hơn random split. Mọi bước học tham số như imputation, scaling và one-hot encoding đều nằm trong scikit-learn Pipeline.</w:t>
      </w:r>
    </w:p>
    <w:p>
      <w:pPr>
        <w:pStyle w:val="Heading1"/>
      </w:pPr>
      <w:r>
        <w:t>5. Kết quả mô hình</w:t>
      </w:r>
    </w:p>
    <w:tbl>
      <w:tblPr>
        <w:tblStyle w:val="TableGrid"/>
        <w:tblW w:type="dxa" w:w="9360"/>
        <w:jc w:val="left"/>
        <w:tblLayout w:type="fixed"/>
        <w:tblLook w:firstColumn="1" w:firstRow="1" w:lastColumn="0" w:lastRow="0" w:noHBand="0" w:noVBand="1" w:val="04A0"/>
        <w:tblInd w:w="120" w:type="dxa"/>
      </w:tblPr>
      <w:tblGrid>
        <w:gridCol w:w="2300"/>
        <w:gridCol w:w="1500"/>
        <w:gridCol w:w="5560"/>
      </w:tblGrid>
      <w:tr>
        <w:tc>
          <w:tcPr>
            <w:tcW w:type="dxa" w:w="2300"/>
            <w:vAlign w:val="center"/>
            <w:tcMar>
              <w:top w:w="80" w:type="dxa"/>
              <w:start w:w="120" w:type="dxa"/>
              <w:bottom w:w="80" w:type="dxa"/>
              <w:end w:w="120" w:type="dxa"/>
            </w:tcMar>
            <w:shd w:fill="2E74B5"/>
          </w:tcPr>
          <w:p>
            <w:r>
              <w:rPr>
                <w:rFonts w:ascii="Calibri" w:hAnsi="Calibri"/>
                <w:b/>
                <w:i w:val="0"/>
                <w:color w:val="FFFFFF"/>
                <w:sz w:val="19"/>
              </w:rPr>
              <w:t>Metric</w:t>
            </w:r>
          </w:p>
        </w:tc>
        <w:tc>
          <w:tcPr>
            <w:tcW w:type="dxa" w:w="1500"/>
            <w:vAlign w:val="center"/>
            <w:tcMar>
              <w:top w:w="80" w:type="dxa"/>
              <w:start w:w="120" w:type="dxa"/>
              <w:bottom w:w="80" w:type="dxa"/>
              <w:end w:w="120" w:type="dxa"/>
            </w:tcMar>
            <w:shd w:fill="2E74B5"/>
          </w:tcPr>
          <w:p>
            <w:r>
              <w:rPr>
                <w:rFonts w:ascii="Calibri" w:hAnsi="Calibri"/>
                <w:b/>
                <w:i w:val="0"/>
                <w:color w:val="FFFFFF"/>
                <w:sz w:val="19"/>
              </w:rPr>
              <w:t>Giá trị</w:t>
            </w:r>
          </w:p>
        </w:tc>
        <w:tc>
          <w:tcPr>
            <w:tcW w:type="dxa" w:w="5560"/>
            <w:vAlign w:val="center"/>
            <w:tcMar>
              <w:top w:w="80" w:type="dxa"/>
              <w:start w:w="120" w:type="dxa"/>
              <w:bottom w:w="80" w:type="dxa"/>
              <w:end w:w="120" w:type="dxa"/>
            </w:tcMar>
            <w:shd w:fill="2E74B5"/>
          </w:tcPr>
          <w:p>
            <w:r>
              <w:rPr>
                <w:rFonts w:ascii="Calibri" w:hAnsi="Calibri"/>
                <w:b/>
                <w:i w:val="0"/>
                <w:color w:val="FFFFFF"/>
                <w:sz w:val="19"/>
              </w:rPr>
              <w:t>Ý nghĩa</w:t>
            </w:r>
          </w:p>
        </w:tc>
      </w:tr>
      <w:tr>
        <w:tc>
          <w:tcPr>
            <w:tcW w:type="dxa" w:w="2300"/>
          </w:tcPr>
          <w:p>
            <w:r>
              <w:rPr>
                <w:rFonts w:ascii="Calibri" w:hAnsi="Calibri"/>
                <w:b w:val="0"/>
                <w:i w:val="0"/>
                <w:sz w:val="18"/>
              </w:rPr>
              <w:t>PR-AUC</w:t>
            </w:r>
          </w:p>
        </w:tc>
        <w:tc>
          <w:tcPr>
            <w:tcW w:type="dxa" w:w="1500"/>
          </w:tcPr>
          <w:p>
            <w:r>
              <w:rPr>
                <w:rFonts w:ascii="Calibri" w:hAnsi="Calibri"/>
                <w:b w:val="0"/>
                <w:i w:val="0"/>
                <w:sz w:val="18"/>
              </w:rPr>
              <w:t>0.3384</w:t>
            </w:r>
          </w:p>
        </w:tc>
        <w:tc>
          <w:tcPr>
            <w:tcW w:type="dxa" w:w="5560"/>
          </w:tcPr>
          <w:p>
            <w:r>
              <w:rPr>
                <w:rFonts w:ascii="Calibri" w:hAnsi="Calibri"/>
                <w:b w:val="0"/>
                <w:i w:val="0"/>
                <w:sz w:val="18"/>
              </w:rPr>
              <w:t>Metric chính cho dữ liệu mất cân bằng</w:t>
            </w:r>
          </w:p>
        </w:tc>
      </w:tr>
      <w:tr>
        <w:tc>
          <w:tcPr>
            <w:tcW w:type="dxa" w:w="2300"/>
            <w:shd w:fill="F2F4F7"/>
          </w:tcPr>
          <w:p>
            <w:r>
              <w:rPr>
                <w:rFonts w:ascii="Calibri" w:hAnsi="Calibri"/>
                <w:b w:val="0"/>
                <w:i w:val="0"/>
                <w:sz w:val="18"/>
              </w:rPr>
              <w:t>ROC-AUC</w:t>
            </w:r>
          </w:p>
        </w:tc>
        <w:tc>
          <w:tcPr>
            <w:tcW w:type="dxa" w:w="1500"/>
            <w:shd w:fill="F2F4F7"/>
          </w:tcPr>
          <w:p>
            <w:r>
              <w:rPr>
                <w:rFonts w:ascii="Calibri" w:hAnsi="Calibri"/>
                <w:b w:val="0"/>
                <w:i w:val="0"/>
                <w:sz w:val="18"/>
              </w:rPr>
              <w:t>0.7195</w:t>
            </w:r>
          </w:p>
        </w:tc>
        <w:tc>
          <w:tcPr>
            <w:tcW w:type="dxa" w:w="5560"/>
            <w:shd w:fill="F2F4F7"/>
          </w:tcPr>
          <w:p>
            <w:r>
              <w:rPr>
                <w:rFonts w:ascii="Calibri" w:hAnsi="Calibri"/>
                <w:b w:val="0"/>
                <w:i w:val="0"/>
                <w:sz w:val="18"/>
              </w:rPr>
              <w:t>Khả năng xếp hạng rủi ro</w:t>
            </w:r>
          </w:p>
        </w:tc>
      </w:tr>
      <w:tr>
        <w:tc>
          <w:tcPr>
            <w:tcW w:type="dxa" w:w="2300"/>
          </w:tcPr>
          <w:p>
            <w:r>
              <w:rPr>
                <w:rFonts w:ascii="Calibri" w:hAnsi="Calibri"/>
                <w:b w:val="0"/>
                <w:i w:val="0"/>
                <w:sz w:val="18"/>
              </w:rPr>
              <w:t>Recall</w:t>
            </w:r>
          </w:p>
        </w:tc>
        <w:tc>
          <w:tcPr>
            <w:tcW w:type="dxa" w:w="1500"/>
          </w:tcPr>
          <w:p>
            <w:r>
              <w:rPr>
                <w:rFonts w:ascii="Calibri" w:hAnsi="Calibri"/>
                <w:b w:val="0"/>
                <w:i w:val="0"/>
                <w:sz w:val="18"/>
              </w:rPr>
              <w:t>0.6283</w:t>
            </w:r>
          </w:p>
        </w:tc>
        <w:tc>
          <w:tcPr>
            <w:tcW w:type="dxa" w:w="5560"/>
          </w:tcPr>
          <w:p>
            <w:r>
              <w:rPr>
                <w:rFonts w:ascii="Calibri" w:hAnsi="Calibri"/>
                <w:b w:val="0"/>
                <w:i w:val="0"/>
                <w:sz w:val="18"/>
              </w:rPr>
              <w:t>Tỷ lệ phát hiện nợ xấu</w:t>
            </w:r>
          </w:p>
        </w:tc>
      </w:tr>
      <w:tr>
        <w:tc>
          <w:tcPr>
            <w:tcW w:type="dxa" w:w="2300"/>
            <w:shd w:fill="F2F4F7"/>
          </w:tcPr>
          <w:p>
            <w:r>
              <w:rPr>
                <w:rFonts w:ascii="Calibri" w:hAnsi="Calibri"/>
                <w:b w:val="0"/>
                <w:i w:val="0"/>
                <w:sz w:val="18"/>
              </w:rPr>
              <w:t>Precision</w:t>
            </w:r>
          </w:p>
        </w:tc>
        <w:tc>
          <w:tcPr>
            <w:tcW w:type="dxa" w:w="1500"/>
            <w:shd w:fill="F2F4F7"/>
          </w:tcPr>
          <w:p>
            <w:r>
              <w:rPr>
                <w:rFonts w:ascii="Calibri" w:hAnsi="Calibri"/>
                <w:b w:val="0"/>
                <w:i w:val="0"/>
                <w:sz w:val="18"/>
              </w:rPr>
              <w:t>0.2924</w:t>
            </w:r>
          </w:p>
        </w:tc>
        <w:tc>
          <w:tcPr>
            <w:tcW w:type="dxa" w:w="5560"/>
            <w:shd w:fill="F2F4F7"/>
          </w:tcPr>
          <w:p>
            <w:r>
              <w:rPr>
                <w:rFonts w:ascii="Calibri" w:hAnsi="Calibri"/>
                <w:b w:val="0"/>
                <w:i w:val="0"/>
                <w:sz w:val="18"/>
              </w:rPr>
              <w:t>Độ đúng của cảnh báo</w:t>
            </w:r>
          </w:p>
        </w:tc>
      </w:tr>
      <w:tr>
        <w:tc>
          <w:tcPr>
            <w:tcW w:type="dxa" w:w="2300"/>
          </w:tcPr>
          <w:p>
            <w:r>
              <w:rPr>
                <w:rFonts w:ascii="Calibri" w:hAnsi="Calibri"/>
                <w:b w:val="0"/>
                <w:i w:val="0"/>
                <w:sz w:val="18"/>
              </w:rPr>
              <w:t>F1</w:t>
            </w:r>
          </w:p>
        </w:tc>
        <w:tc>
          <w:tcPr>
            <w:tcW w:type="dxa" w:w="1500"/>
          </w:tcPr>
          <w:p>
            <w:r>
              <w:rPr>
                <w:rFonts w:ascii="Calibri" w:hAnsi="Calibri"/>
                <w:b w:val="0"/>
                <w:i w:val="0"/>
                <w:sz w:val="18"/>
              </w:rPr>
              <w:t>0.3991</w:t>
            </w:r>
          </w:p>
        </w:tc>
        <w:tc>
          <w:tcPr>
            <w:tcW w:type="dxa" w:w="5560"/>
          </w:tcPr>
          <w:p>
            <w:r>
              <w:rPr>
                <w:rFonts w:ascii="Calibri" w:hAnsi="Calibri"/>
                <w:b w:val="0"/>
                <w:i w:val="0"/>
                <w:sz w:val="18"/>
              </w:rPr>
              <w:t>Cân bằng precision và recall</w:t>
            </w:r>
          </w:p>
        </w:tc>
      </w:tr>
      <w:tr>
        <w:tc>
          <w:tcPr>
            <w:tcW w:type="dxa" w:w="2300"/>
            <w:shd w:fill="F2F4F7"/>
          </w:tcPr>
          <w:p>
            <w:r>
              <w:rPr>
                <w:rFonts w:ascii="Calibri" w:hAnsi="Calibri"/>
                <w:b w:val="0"/>
                <w:i w:val="0"/>
                <w:sz w:val="18"/>
              </w:rPr>
              <w:t>Balanced accuracy</w:t>
            </w:r>
          </w:p>
        </w:tc>
        <w:tc>
          <w:tcPr>
            <w:tcW w:type="dxa" w:w="1500"/>
            <w:shd w:fill="F2F4F7"/>
          </w:tcPr>
          <w:p>
            <w:r>
              <w:rPr>
                <w:rFonts w:ascii="Calibri" w:hAnsi="Calibri"/>
                <w:b w:val="0"/>
                <w:i w:val="0"/>
                <w:sz w:val="18"/>
              </w:rPr>
              <w:t>0.6620</w:t>
            </w:r>
          </w:p>
        </w:tc>
        <w:tc>
          <w:tcPr>
            <w:tcW w:type="dxa" w:w="5560"/>
            <w:shd w:fill="F2F4F7"/>
          </w:tcPr>
          <w:p>
            <w:r>
              <w:rPr>
                <w:rFonts w:ascii="Calibri" w:hAnsi="Calibri"/>
                <w:b w:val="0"/>
                <w:i w:val="0"/>
                <w:sz w:val="18"/>
              </w:rPr>
              <w:t>Độ chính xác cân bằng hai lớp</w:t>
            </w:r>
          </w:p>
        </w:tc>
      </w:tr>
      <w:tr>
        <w:tc>
          <w:tcPr>
            <w:tcW w:type="dxa" w:w="2300"/>
          </w:tcPr>
          <w:p>
            <w:r>
              <w:rPr>
                <w:rFonts w:ascii="Calibri" w:hAnsi="Calibri"/>
                <w:b w:val="0"/>
                <w:i w:val="0"/>
                <w:sz w:val="18"/>
              </w:rPr>
              <w:t>Brier score</w:t>
            </w:r>
          </w:p>
        </w:tc>
        <w:tc>
          <w:tcPr>
            <w:tcW w:type="dxa" w:w="1500"/>
          </w:tcPr>
          <w:p>
            <w:r>
              <w:rPr>
                <w:rFonts w:ascii="Calibri" w:hAnsi="Calibri"/>
                <w:b w:val="0"/>
                <w:i w:val="0"/>
                <w:sz w:val="18"/>
              </w:rPr>
              <w:t>0.1286</w:t>
            </w:r>
          </w:p>
        </w:tc>
        <w:tc>
          <w:tcPr>
            <w:tcW w:type="dxa" w:w="5560"/>
          </w:tcPr>
          <w:p>
            <w:r>
              <w:rPr>
                <w:rFonts w:ascii="Calibri" w:hAnsi="Calibri"/>
                <w:b w:val="0"/>
                <w:i w:val="0"/>
                <w:sz w:val="18"/>
              </w:rPr>
              <w:t>Sai số xác suất; thấp hơn là tốt hơn</w:t>
            </w:r>
          </w:p>
        </w:tc>
      </w:tr>
    </w:tbl>
    <w:p>
      <w:pPr>
        <w:spacing w:after="0"/>
      </w:pPr>
    </w:p>
    <w:p>
      <w:r>
        <w:br w:type="page"/>
      </w:r>
    </w:p>
    <w:p>
      <w:pPr>
        <w:pStyle w:val="Heading2"/>
      </w:pPr>
      <w:r>
        <w:t>5.1. So sánh model trên train</w:t>
      </w:r>
    </w:p>
    <w:tbl>
      <w:tblPr>
        <w:tblStyle w:val="TableGrid"/>
        <w:tblW w:type="dxa" w:w="9360"/>
        <w:jc w:val="left"/>
        <w:tblLayout w:type="fixed"/>
        <w:tblLook w:firstColumn="1" w:firstRow="1" w:lastColumn="0" w:lastRow="0" w:noHBand="0" w:noVBand="1" w:val="04A0"/>
        <w:tblInd w:w="120" w:type="dxa"/>
      </w:tblPr>
      <w:tblGrid>
        <w:gridCol w:w="2700"/>
        <w:gridCol w:w="2400"/>
        <w:gridCol w:w="2100"/>
        <w:gridCol w:w="2160"/>
      </w:tblGrid>
      <w:tr>
        <w:tc>
          <w:tcPr>
            <w:tcW w:type="dxa" w:w="2700"/>
            <w:vAlign w:val="center"/>
            <w:tcMar>
              <w:top w:w="80" w:type="dxa"/>
              <w:start w:w="120" w:type="dxa"/>
              <w:bottom w:w="80" w:type="dxa"/>
              <w:end w:w="120" w:type="dxa"/>
            </w:tcMar>
            <w:shd w:fill="2E74B5"/>
          </w:tcPr>
          <w:p>
            <w:r>
              <w:rPr>
                <w:rFonts w:ascii="Calibri" w:hAnsi="Calibri"/>
                <w:b/>
                <w:i w:val="0"/>
                <w:color w:val="FFFFFF"/>
                <w:sz w:val="19"/>
              </w:rPr>
              <w:t>Model</w:t>
            </w:r>
          </w:p>
        </w:tc>
        <w:tc>
          <w:tcPr>
            <w:tcW w:type="dxa" w:w="2400"/>
            <w:vAlign w:val="center"/>
            <w:tcMar>
              <w:top w:w="80" w:type="dxa"/>
              <w:start w:w="120" w:type="dxa"/>
              <w:bottom w:w="80" w:type="dxa"/>
              <w:end w:w="120" w:type="dxa"/>
            </w:tcMar>
            <w:shd w:fill="2E74B5"/>
          </w:tcPr>
          <w:p>
            <w:r>
              <w:rPr>
                <w:rFonts w:ascii="Calibri" w:hAnsi="Calibri"/>
                <w:b/>
                <w:i w:val="0"/>
                <w:color w:val="FFFFFF"/>
                <w:sz w:val="19"/>
              </w:rPr>
              <w:t>PR-AUC CV</w:t>
            </w:r>
          </w:p>
        </w:tc>
        <w:tc>
          <w:tcPr>
            <w:tcW w:type="dxa" w:w="2100"/>
            <w:vAlign w:val="center"/>
            <w:tcMar>
              <w:top w:w="80" w:type="dxa"/>
              <w:start w:w="120" w:type="dxa"/>
              <w:bottom w:w="80" w:type="dxa"/>
              <w:end w:w="120" w:type="dxa"/>
            </w:tcMar>
            <w:shd w:fill="2E74B5"/>
          </w:tcPr>
          <w:p>
            <w:r>
              <w:rPr>
                <w:rFonts w:ascii="Calibri" w:hAnsi="Calibri"/>
                <w:b/>
                <w:i w:val="0"/>
                <w:color w:val="FFFFFF"/>
                <w:sz w:val="19"/>
              </w:rPr>
              <w:t>ROC-AUC CV</w:t>
            </w:r>
          </w:p>
        </w:tc>
        <w:tc>
          <w:tcPr>
            <w:tcW w:type="dxa" w:w="2160"/>
            <w:vAlign w:val="center"/>
            <w:tcMar>
              <w:top w:w="80" w:type="dxa"/>
              <w:start w:w="120" w:type="dxa"/>
              <w:bottom w:w="80" w:type="dxa"/>
              <w:end w:w="120" w:type="dxa"/>
            </w:tcMar>
            <w:shd w:fill="2E74B5"/>
          </w:tcPr>
          <w:p>
            <w:r>
              <w:rPr>
                <w:rFonts w:ascii="Calibri" w:hAnsi="Calibri"/>
                <w:b/>
                <w:i w:val="0"/>
                <w:color w:val="FFFFFF"/>
                <w:sz w:val="19"/>
              </w:rPr>
              <w:t>Balanced Acc.</w:t>
            </w:r>
          </w:p>
        </w:tc>
      </w:tr>
      <w:tr>
        <w:tc>
          <w:tcPr>
            <w:tcW w:type="dxa" w:w="2700"/>
          </w:tcPr>
          <w:p>
            <w:r>
              <w:rPr>
                <w:rFonts w:ascii="Calibri" w:hAnsi="Calibri"/>
                <w:b w:val="0"/>
                <w:i w:val="0"/>
                <w:sz w:val="18"/>
              </w:rPr>
              <w:t>logistic_regression</w:t>
            </w:r>
          </w:p>
        </w:tc>
        <w:tc>
          <w:tcPr>
            <w:tcW w:type="dxa" w:w="2400"/>
          </w:tcPr>
          <w:p>
            <w:r>
              <w:rPr>
                <w:rFonts w:ascii="Calibri" w:hAnsi="Calibri"/>
                <w:b w:val="0"/>
                <w:i w:val="0"/>
                <w:sz w:val="18"/>
              </w:rPr>
              <w:t>0.2479 ± 0.0107</w:t>
            </w:r>
          </w:p>
        </w:tc>
        <w:tc>
          <w:tcPr>
            <w:tcW w:type="dxa" w:w="2100"/>
          </w:tcPr>
          <w:p>
            <w:r>
              <w:rPr>
                <w:rFonts w:ascii="Calibri" w:hAnsi="Calibri"/>
                <w:b w:val="0"/>
                <w:i w:val="0"/>
                <w:sz w:val="18"/>
              </w:rPr>
              <w:t>0.6916</w:t>
            </w:r>
          </w:p>
        </w:tc>
        <w:tc>
          <w:tcPr>
            <w:tcW w:type="dxa" w:w="2160"/>
          </w:tcPr>
          <w:p>
            <w:r>
              <w:rPr>
                <w:rFonts w:ascii="Calibri" w:hAnsi="Calibri"/>
                <w:b w:val="0"/>
                <w:i w:val="0"/>
                <w:sz w:val="18"/>
              </w:rPr>
              <w:t>0.6399</w:t>
            </w:r>
          </w:p>
        </w:tc>
      </w:tr>
      <w:tr>
        <w:tc>
          <w:tcPr>
            <w:tcW w:type="dxa" w:w="2700"/>
            <w:shd w:fill="F2F4F7"/>
          </w:tcPr>
          <w:p>
            <w:r>
              <w:rPr>
                <w:rFonts w:ascii="Calibri" w:hAnsi="Calibri"/>
                <w:b w:val="0"/>
                <w:i w:val="0"/>
                <w:sz w:val="18"/>
              </w:rPr>
              <w:t>random_forest</w:t>
            </w:r>
          </w:p>
        </w:tc>
        <w:tc>
          <w:tcPr>
            <w:tcW w:type="dxa" w:w="2400"/>
            <w:shd w:fill="F2F4F7"/>
          </w:tcPr>
          <w:p>
            <w:r>
              <w:rPr>
                <w:rFonts w:ascii="Calibri" w:hAnsi="Calibri"/>
                <w:b w:val="0"/>
                <w:i w:val="0"/>
                <w:sz w:val="18"/>
              </w:rPr>
              <w:t>0.2341 ± 0.0082</w:t>
            </w:r>
          </w:p>
        </w:tc>
        <w:tc>
          <w:tcPr>
            <w:tcW w:type="dxa" w:w="2100"/>
            <w:shd w:fill="F2F4F7"/>
          </w:tcPr>
          <w:p>
            <w:r>
              <w:rPr>
                <w:rFonts w:ascii="Calibri" w:hAnsi="Calibri"/>
                <w:b w:val="0"/>
                <w:i w:val="0"/>
                <w:sz w:val="18"/>
              </w:rPr>
              <w:t>0.6841</w:t>
            </w:r>
          </w:p>
        </w:tc>
        <w:tc>
          <w:tcPr>
            <w:tcW w:type="dxa" w:w="2160"/>
            <w:shd w:fill="F2F4F7"/>
          </w:tcPr>
          <w:p>
            <w:r>
              <w:rPr>
                <w:rFonts w:ascii="Calibri" w:hAnsi="Calibri"/>
                <w:b w:val="0"/>
                <w:i w:val="0"/>
                <w:sz w:val="18"/>
              </w:rPr>
              <w:t>0.5288</w:t>
            </w:r>
          </w:p>
        </w:tc>
      </w:tr>
      <w:tr>
        <w:tc>
          <w:tcPr>
            <w:tcW w:type="dxa" w:w="2700"/>
          </w:tcPr>
          <w:p>
            <w:r>
              <w:rPr>
                <w:rFonts w:ascii="Calibri" w:hAnsi="Calibri"/>
                <w:b w:val="0"/>
                <w:i w:val="0"/>
                <w:sz w:val="18"/>
              </w:rPr>
              <w:t>dummy</w:t>
            </w:r>
          </w:p>
        </w:tc>
        <w:tc>
          <w:tcPr>
            <w:tcW w:type="dxa" w:w="2400"/>
          </w:tcPr>
          <w:p>
            <w:r>
              <w:rPr>
                <w:rFonts w:ascii="Calibri" w:hAnsi="Calibri"/>
                <w:b w:val="0"/>
                <w:i w:val="0"/>
                <w:sz w:val="18"/>
              </w:rPr>
              <w:t>0.1313 ± 0.0001</w:t>
            </w:r>
          </w:p>
        </w:tc>
        <w:tc>
          <w:tcPr>
            <w:tcW w:type="dxa" w:w="2100"/>
          </w:tcPr>
          <w:p>
            <w:r>
              <w:rPr>
                <w:rFonts w:ascii="Calibri" w:hAnsi="Calibri"/>
                <w:b w:val="0"/>
                <w:i w:val="0"/>
                <w:sz w:val="18"/>
              </w:rPr>
              <w:t>0.5000</w:t>
            </w:r>
          </w:p>
        </w:tc>
        <w:tc>
          <w:tcPr>
            <w:tcW w:type="dxa" w:w="2160"/>
          </w:tcPr>
          <w:p>
            <w:r>
              <w:rPr>
                <w:rFonts w:ascii="Calibri" w:hAnsi="Calibri"/>
                <w:b w:val="0"/>
                <w:i w:val="0"/>
                <w:sz w:val="18"/>
              </w:rPr>
              <w:t>0.5000</w:t>
            </w:r>
          </w:p>
        </w:tc>
      </w:tr>
    </w:tbl>
    <w:p>
      <w:pPr>
        <w:spacing w:after="0"/>
      </w:pPr>
    </w:p>
    <w:p>
      <w:r>
        <w:drawing>
          <wp:inline xmlns:a="http://schemas.openxmlformats.org/drawingml/2006/main" xmlns:pic="http://schemas.openxmlformats.org/drawingml/2006/picture">
            <wp:extent cx="5806440" cy="3046905"/>
            <wp:docPr id="1" name="Picture 1"/>
            <wp:cNvGraphicFramePr>
              <a:graphicFrameLocks noChangeAspect="1"/>
            </wp:cNvGraphicFramePr>
            <a:graphic>
              <a:graphicData uri="http://schemas.openxmlformats.org/drawingml/2006/picture">
                <pic:pic>
                  <pic:nvPicPr>
                    <pic:cNvPr id="0" name="feature_set_comparison.png"/>
                    <pic:cNvPicPr/>
                  </pic:nvPicPr>
                  <pic:blipFill>
                    <a:blip r:embed="rId11"/>
                    <a:stretch>
                      <a:fillRect/>
                    </a:stretch>
                  </pic:blipFill>
                  <pic:spPr>
                    <a:xfrm>
                      <a:off x="0" y="0"/>
                      <a:ext cx="5806440" cy="3046905"/>
                    </a:xfrm>
                    <a:prstGeom prst="rect"/>
                  </pic:spPr>
                </pic:pic>
              </a:graphicData>
            </a:graphic>
          </wp:inline>
        </w:drawing>
      </w:r>
    </w:p>
    <w:p>
      <w:pPr>
        <w:jc w:val="center"/>
      </w:pPr>
      <w:r>
        <w:t>Hình 1. So sánh phiên bản có và không có pricing features.</w:t>
      </w:r>
      <w:r>
        <w:rPr>
          <w:rFonts w:ascii="Calibri" w:hAnsi="Calibri"/>
          <w:b w:val="0"/>
          <w:i/>
          <w:color w:val="5A626C"/>
          <w:sz w:val="18"/>
        </w:rPr>
      </w:r>
    </w:p>
    <w:p>
      <w:pPr>
        <w:pStyle w:val="Heading1"/>
      </w:pPr>
      <w:r>
        <w:t>6. Ngưỡng theo chi phí nghiệp vụ</w:t>
      </w:r>
    </w:p>
    <w:tbl>
      <w:tblPr>
        <w:tblStyle w:val="TableGrid"/>
        <w:tblW w:type="dxa" w:w="9360"/>
        <w:jc w:val="left"/>
        <w:tblLayout w:type="fixed"/>
        <w:tblLook w:firstColumn="1" w:firstRow="1" w:lastColumn="0" w:lastRow="0" w:noHBand="0" w:noVBand="1" w:val="04A0"/>
        <w:tblInd w:w="120" w:type="dxa"/>
      </w:tblPr>
      <w:tblGrid>
        <w:gridCol w:w="2200"/>
        <w:gridCol w:w="1800"/>
        <w:gridCol w:w="2600"/>
        <w:gridCol w:w="2760"/>
      </w:tblGrid>
      <w:tr>
        <w:tc>
          <w:tcPr>
            <w:tcW w:type="dxa" w:w="2200"/>
            <w:vAlign w:val="center"/>
            <w:tcMar>
              <w:top w:w="80" w:type="dxa"/>
              <w:start w:w="120" w:type="dxa"/>
              <w:bottom w:w="80" w:type="dxa"/>
              <w:end w:w="120" w:type="dxa"/>
            </w:tcMar>
            <w:shd w:fill="2E74B5"/>
          </w:tcPr>
          <w:p>
            <w:r>
              <w:rPr>
                <w:rFonts w:ascii="Calibri" w:hAnsi="Calibri"/>
                <w:b/>
                <w:i w:val="0"/>
                <w:color w:val="FFFFFF"/>
                <w:sz w:val="19"/>
              </w:rPr>
              <w:t>Chi phí FN:FP</w:t>
            </w:r>
          </w:p>
        </w:tc>
        <w:tc>
          <w:tcPr>
            <w:tcW w:type="dxa" w:w="1800"/>
            <w:vAlign w:val="center"/>
            <w:tcMar>
              <w:top w:w="80" w:type="dxa"/>
              <w:start w:w="120" w:type="dxa"/>
              <w:bottom w:w="80" w:type="dxa"/>
              <w:end w:w="120" w:type="dxa"/>
            </w:tcMar>
            <w:shd w:fill="2E74B5"/>
          </w:tcPr>
          <w:p>
            <w:r>
              <w:rPr>
                <w:rFonts w:ascii="Calibri" w:hAnsi="Calibri"/>
                <w:b/>
                <w:i w:val="0"/>
                <w:color w:val="FFFFFF"/>
                <w:sz w:val="19"/>
              </w:rPr>
              <w:t>Threshold</w:t>
            </w:r>
          </w:p>
        </w:tc>
        <w:tc>
          <w:tcPr>
            <w:tcW w:type="dxa" w:w="2600"/>
            <w:vAlign w:val="center"/>
            <w:tcMar>
              <w:top w:w="80" w:type="dxa"/>
              <w:start w:w="120" w:type="dxa"/>
              <w:bottom w:w="80" w:type="dxa"/>
              <w:end w:w="120" w:type="dxa"/>
            </w:tcMar>
            <w:shd w:fill="2E74B5"/>
          </w:tcPr>
          <w:p>
            <w:r>
              <w:rPr>
                <w:rFonts w:ascii="Calibri" w:hAnsi="Calibri"/>
                <w:b/>
                <w:i w:val="0"/>
                <w:color w:val="FFFFFF"/>
                <w:sz w:val="19"/>
              </w:rPr>
              <w:t>Recall validation</w:t>
            </w:r>
          </w:p>
        </w:tc>
        <w:tc>
          <w:tcPr>
            <w:tcW w:type="dxa" w:w="2760"/>
            <w:vAlign w:val="center"/>
            <w:tcMar>
              <w:top w:w="80" w:type="dxa"/>
              <w:start w:w="120" w:type="dxa"/>
              <w:bottom w:w="80" w:type="dxa"/>
              <w:end w:w="120" w:type="dxa"/>
            </w:tcMar>
            <w:shd w:fill="2E74B5"/>
          </w:tcPr>
          <w:p>
            <w:r>
              <w:rPr>
                <w:rFonts w:ascii="Calibri" w:hAnsi="Calibri"/>
                <w:b/>
                <w:i w:val="0"/>
                <w:color w:val="FFFFFF"/>
                <w:sz w:val="19"/>
              </w:rPr>
              <w:t>Precision validation</w:t>
            </w:r>
          </w:p>
        </w:tc>
      </w:tr>
      <w:tr>
        <w:tc>
          <w:tcPr>
            <w:tcW w:type="dxa" w:w="2200"/>
          </w:tcPr>
          <w:p>
            <w:r>
              <w:rPr>
                <w:rFonts w:ascii="Calibri" w:hAnsi="Calibri"/>
                <w:b w:val="0"/>
                <w:i w:val="0"/>
                <w:sz w:val="18"/>
              </w:rPr>
              <w:t>2:1</w:t>
            </w:r>
          </w:p>
        </w:tc>
        <w:tc>
          <w:tcPr>
            <w:tcW w:type="dxa" w:w="1800"/>
          </w:tcPr>
          <w:p>
            <w:r>
              <w:rPr>
                <w:rFonts w:ascii="Calibri" w:hAnsi="Calibri"/>
                <w:b w:val="0"/>
                <w:i w:val="0"/>
                <w:sz w:val="18"/>
              </w:rPr>
              <w:t>0.31</w:t>
            </w:r>
          </w:p>
        </w:tc>
        <w:tc>
          <w:tcPr>
            <w:tcW w:type="dxa" w:w="2600"/>
          </w:tcPr>
          <w:p>
            <w:r>
              <w:rPr>
                <w:rFonts w:ascii="Calibri" w:hAnsi="Calibri"/>
                <w:b w:val="0"/>
                <w:i w:val="0"/>
                <w:sz w:val="18"/>
              </w:rPr>
              <w:t>0.1203</w:t>
            </w:r>
          </w:p>
        </w:tc>
        <w:tc>
          <w:tcPr>
            <w:tcW w:type="dxa" w:w="2760"/>
          </w:tcPr>
          <w:p>
            <w:r>
              <w:rPr>
                <w:rFonts w:ascii="Calibri" w:hAnsi="Calibri"/>
                <w:b w:val="0"/>
                <w:i w:val="0"/>
                <w:sz w:val="18"/>
              </w:rPr>
              <w:t>0.3515</w:t>
            </w:r>
          </w:p>
        </w:tc>
      </w:tr>
      <w:tr>
        <w:tc>
          <w:tcPr>
            <w:tcW w:type="dxa" w:w="2200"/>
            <w:shd w:fill="F2F4F7"/>
          </w:tcPr>
          <w:p>
            <w:r>
              <w:rPr>
                <w:rFonts w:ascii="Calibri" w:hAnsi="Calibri"/>
                <w:b w:val="0"/>
                <w:i w:val="0"/>
                <w:sz w:val="18"/>
              </w:rPr>
              <w:t>5:1</w:t>
            </w:r>
          </w:p>
        </w:tc>
        <w:tc>
          <w:tcPr>
            <w:tcW w:type="dxa" w:w="1800"/>
            <w:shd w:fill="F2F4F7"/>
          </w:tcPr>
          <w:p>
            <w:r>
              <w:rPr>
                <w:rFonts w:ascii="Calibri" w:hAnsi="Calibri"/>
                <w:b w:val="0"/>
                <w:i w:val="0"/>
                <w:sz w:val="18"/>
              </w:rPr>
              <w:t>0.14</w:t>
            </w:r>
          </w:p>
        </w:tc>
        <w:tc>
          <w:tcPr>
            <w:tcW w:type="dxa" w:w="2600"/>
            <w:shd w:fill="F2F4F7"/>
          </w:tcPr>
          <w:p>
            <w:r>
              <w:rPr>
                <w:rFonts w:ascii="Calibri" w:hAnsi="Calibri"/>
                <w:b w:val="0"/>
                <w:i w:val="0"/>
                <w:sz w:val="18"/>
              </w:rPr>
              <w:t>0.6659</w:t>
            </w:r>
          </w:p>
        </w:tc>
        <w:tc>
          <w:tcPr>
            <w:tcW w:type="dxa" w:w="2760"/>
            <w:shd w:fill="F2F4F7"/>
          </w:tcPr>
          <w:p>
            <w:r>
              <w:rPr>
                <w:rFonts w:ascii="Calibri" w:hAnsi="Calibri"/>
                <w:b w:val="0"/>
                <w:i w:val="0"/>
                <w:sz w:val="18"/>
              </w:rPr>
              <w:t>0.2424</w:t>
            </w:r>
          </w:p>
        </w:tc>
      </w:tr>
      <w:tr>
        <w:tc>
          <w:tcPr>
            <w:tcW w:type="dxa" w:w="2200"/>
          </w:tcPr>
          <w:p>
            <w:r>
              <w:rPr>
                <w:rFonts w:ascii="Calibri" w:hAnsi="Calibri"/>
                <w:b w:val="0"/>
                <w:i w:val="0"/>
                <w:sz w:val="18"/>
              </w:rPr>
              <w:t>10:1</w:t>
            </w:r>
          </w:p>
        </w:tc>
        <w:tc>
          <w:tcPr>
            <w:tcW w:type="dxa" w:w="1800"/>
          </w:tcPr>
          <w:p>
            <w:r>
              <w:rPr>
                <w:rFonts w:ascii="Calibri" w:hAnsi="Calibri"/>
                <w:b w:val="0"/>
                <w:i w:val="0"/>
                <w:sz w:val="18"/>
              </w:rPr>
              <w:t>0.08</w:t>
            </w:r>
          </w:p>
        </w:tc>
        <w:tc>
          <w:tcPr>
            <w:tcW w:type="dxa" w:w="2600"/>
          </w:tcPr>
          <w:p>
            <w:r>
              <w:rPr>
                <w:rFonts w:ascii="Calibri" w:hAnsi="Calibri"/>
                <w:b w:val="0"/>
                <w:i w:val="0"/>
                <w:sz w:val="18"/>
              </w:rPr>
              <w:t>0.8946</w:t>
            </w:r>
          </w:p>
        </w:tc>
        <w:tc>
          <w:tcPr>
            <w:tcW w:type="dxa" w:w="2760"/>
          </w:tcPr>
          <w:p>
            <w:r>
              <w:rPr>
                <w:rFonts w:ascii="Calibri" w:hAnsi="Calibri"/>
                <w:b w:val="0"/>
                <w:i w:val="0"/>
                <w:sz w:val="18"/>
              </w:rPr>
              <w:t>0.1901</w:t>
            </w:r>
          </w:p>
        </w:tc>
      </w:tr>
    </w:tbl>
    <w:p>
      <w:pPr>
        <w:spacing w:after="0"/>
      </w:pPr>
    </w:p>
    <w:p>
      <w:r>
        <w:t>Threshold 0,14 tương ứng kịch bản FN:FP = 5:1. Đây chỉ là sensitivity scenario; triển khai thật cần thay bằng Expected Loss dựa trên Exposure at Default, Loss Given Default và lợi nhuận cơ hội.</w:t>
      </w:r>
    </w:p>
    <w:p>
      <w:pPr>
        <w:pStyle w:val="Heading1"/>
      </w:pPr>
      <w:r>
        <w:t>7. Calibration, drift và giải thích</w:t>
      </w:r>
    </w:p>
    <w:p>
      <w:pPr>
        <w:pStyle w:val="Heading2"/>
      </w:pPr>
      <w:r>
        <w:t>7.1. Calibration</w:t>
      </w:r>
    </w:p>
    <w:p>
      <w:r>
        <w:t>Brier score 0,1286 cho thấy xác suất có thông tin, nhưng calibration chưa hoàn hảo. Ở bin 0,2–0,3, xác suất trung bình khoảng 0,241 trong khi default rate thực tế khoảng 0,326; mô hình đang đánh giá thấp rủi ro tại vùng này.</w:t>
      </w:r>
    </w:p>
    <w:p>
      <w:pPr>
        <w:pStyle w:val="Heading2"/>
      </w:pPr>
      <w:r>
        <w:t>7.2. Drift</w:t>
      </w:r>
    </w:p>
    <w:p>
      <w:r>
        <w:drawing>
          <wp:inline xmlns:a="http://schemas.openxmlformats.org/drawingml/2006/main" xmlns:pic="http://schemas.openxmlformats.org/drawingml/2006/picture">
            <wp:extent cx="5806440" cy="3117763"/>
            <wp:docPr id="2" name="Picture 2"/>
            <wp:cNvGraphicFramePr>
              <a:graphicFrameLocks noChangeAspect="1"/>
            </wp:cNvGraphicFramePr>
            <a:graphic>
              <a:graphicData uri="http://schemas.openxmlformats.org/drawingml/2006/picture">
                <pic:pic>
                  <pic:nvPicPr>
                    <pic:cNvPr id="0" name="drift_psi.png"/>
                    <pic:cNvPicPr/>
                  </pic:nvPicPr>
                  <pic:blipFill>
                    <a:blip r:embed="rId12"/>
                    <a:stretch>
                      <a:fillRect/>
                    </a:stretch>
                  </pic:blipFill>
                  <pic:spPr>
                    <a:xfrm>
                      <a:off x="0" y="0"/>
                      <a:ext cx="5806440" cy="3117763"/>
                    </a:xfrm>
                    <a:prstGeom prst="rect"/>
                  </pic:spPr>
                </pic:pic>
              </a:graphicData>
            </a:graphic>
          </wp:inline>
        </w:drawing>
      </w:r>
    </w:p>
    <w:p>
      <w:pPr>
        <w:jc w:val="center"/>
      </w:pPr>
      <w:r>
        <w:t>Hình 2. PSI giữa train và out-of-time test.</w:t>
      </w:r>
    </w:p>
    <w:p>
      <w:r>
        <w:t>issue_month phản ánh trực tiếp thiết kế temporal split nên PSI cao là kỳ vọng. Ngoài yếu tố mùa, loan_amnt, installment, verification_status và purpose là các biến cần giám sát trước khi tái sử dụng model ở giai đoạn khác.</w:t>
      </w:r>
    </w:p>
    <w:p>
      <w:pPr>
        <w:pStyle w:val="Heading2"/>
      </w:pPr>
      <w:r>
        <w:t>7.3. Odds ratio</w:t>
      </w:r>
    </w:p>
    <w:tbl>
      <w:tblPr>
        <w:tblStyle w:val="TableGrid"/>
        <w:tblW w:type="dxa" w:w="9360"/>
        <w:jc w:val="left"/>
        <w:tblLayout w:type="fixed"/>
        <w:tblLook w:firstColumn="1" w:firstRow="1" w:lastColumn="0" w:lastRow="0" w:noHBand="0" w:noVBand="1" w:val="04A0"/>
        <w:tblInd w:w="120" w:type="dxa"/>
      </w:tblPr>
      <w:tblGrid>
        <w:gridCol w:w="5700"/>
        <w:gridCol w:w="1700"/>
        <w:gridCol w:w="1960"/>
      </w:tblGrid>
      <w:tr>
        <w:tc>
          <w:tcPr>
            <w:tcW w:type="dxa" w:w="5700"/>
            <w:vAlign w:val="center"/>
            <w:tcMar>
              <w:top w:w="80" w:type="dxa"/>
              <w:start w:w="120" w:type="dxa"/>
              <w:bottom w:w="80" w:type="dxa"/>
              <w:end w:w="120" w:type="dxa"/>
            </w:tcMar>
            <w:shd w:fill="2E74B5"/>
          </w:tcPr>
          <w:p>
            <w:r>
              <w:rPr>
                <w:rFonts w:ascii="Calibri" w:hAnsi="Calibri"/>
                <w:b/>
                <w:i w:val="0"/>
                <w:color w:val="FFFFFF"/>
                <w:sz w:val="19"/>
              </w:rPr>
              <w:t>Đặc trưng</w:t>
            </w:r>
          </w:p>
        </w:tc>
        <w:tc>
          <w:tcPr>
            <w:tcW w:type="dxa" w:w="1700"/>
            <w:vAlign w:val="center"/>
            <w:tcMar>
              <w:top w:w="80" w:type="dxa"/>
              <w:start w:w="120" w:type="dxa"/>
              <w:bottom w:w="80" w:type="dxa"/>
              <w:end w:w="120" w:type="dxa"/>
            </w:tcMar>
            <w:shd w:fill="2E74B5"/>
          </w:tcPr>
          <w:p>
            <w:r>
              <w:rPr>
                <w:rFonts w:ascii="Calibri" w:hAnsi="Calibri"/>
                <w:b/>
                <w:i w:val="0"/>
                <w:color w:val="FFFFFF"/>
                <w:sz w:val="19"/>
              </w:rPr>
              <w:t>Hệ số</w:t>
            </w:r>
          </w:p>
        </w:tc>
        <w:tc>
          <w:tcPr>
            <w:tcW w:type="dxa" w:w="1960"/>
            <w:vAlign w:val="center"/>
            <w:tcMar>
              <w:top w:w="80" w:type="dxa"/>
              <w:start w:w="120" w:type="dxa"/>
              <w:bottom w:w="80" w:type="dxa"/>
              <w:end w:w="120" w:type="dxa"/>
            </w:tcMar>
            <w:shd w:fill="2E74B5"/>
          </w:tcPr>
          <w:p>
            <w:r>
              <w:rPr>
                <w:rFonts w:ascii="Calibri" w:hAnsi="Calibri"/>
                <w:b/>
                <w:i w:val="0"/>
                <w:color w:val="FFFFFF"/>
                <w:sz w:val="19"/>
              </w:rPr>
              <w:t>Odds ratio</w:t>
            </w:r>
          </w:p>
        </w:tc>
      </w:tr>
      <w:tr>
        <w:tc>
          <w:tcPr>
            <w:tcW w:type="dxa" w:w="5700"/>
          </w:tcPr>
          <w:p>
            <w:r>
              <w:rPr>
                <w:rFonts w:ascii="Calibri" w:hAnsi="Calibri"/>
                <w:b w:val="0"/>
                <w:i w:val="0"/>
                <w:sz w:val="18"/>
              </w:rPr>
              <w:t>addr_state_WY</w:t>
            </w:r>
          </w:p>
        </w:tc>
        <w:tc>
          <w:tcPr>
            <w:tcW w:type="dxa" w:w="1700"/>
          </w:tcPr>
          <w:p>
            <w:r>
              <w:rPr>
                <w:rFonts w:ascii="Calibri" w:hAnsi="Calibri"/>
                <w:b w:val="0"/>
                <w:i w:val="0"/>
                <w:sz w:val="18"/>
              </w:rPr>
              <w:t>-1.544</w:t>
            </w:r>
          </w:p>
        </w:tc>
        <w:tc>
          <w:tcPr>
            <w:tcW w:type="dxa" w:w="1960"/>
          </w:tcPr>
          <w:p>
            <w:r>
              <w:rPr>
                <w:rFonts w:ascii="Calibri" w:hAnsi="Calibri"/>
                <w:b w:val="0"/>
                <w:i w:val="0"/>
                <w:sz w:val="18"/>
              </w:rPr>
              <w:t>0.21</w:t>
            </w:r>
          </w:p>
        </w:tc>
      </w:tr>
      <w:tr>
        <w:tc>
          <w:tcPr>
            <w:tcW w:type="dxa" w:w="5700"/>
            <w:shd w:fill="F2F4F7"/>
          </w:tcPr>
          <w:p>
            <w:r>
              <w:rPr>
                <w:rFonts w:ascii="Calibri" w:hAnsi="Calibri"/>
                <w:b w:val="0"/>
                <w:i w:val="0"/>
                <w:sz w:val="18"/>
              </w:rPr>
              <w:t>addr_state_IN</w:t>
            </w:r>
          </w:p>
        </w:tc>
        <w:tc>
          <w:tcPr>
            <w:tcW w:type="dxa" w:w="1700"/>
            <w:shd w:fill="F2F4F7"/>
          </w:tcPr>
          <w:p>
            <w:r>
              <w:rPr>
                <w:rFonts w:ascii="Calibri" w:hAnsi="Calibri"/>
                <w:b w:val="0"/>
                <w:i w:val="0"/>
                <w:sz w:val="18"/>
              </w:rPr>
              <w:t>-1.347</w:t>
            </w:r>
          </w:p>
        </w:tc>
        <w:tc>
          <w:tcPr>
            <w:tcW w:type="dxa" w:w="1960"/>
            <w:shd w:fill="F2F4F7"/>
          </w:tcPr>
          <w:p>
            <w:r>
              <w:rPr>
                <w:rFonts w:ascii="Calibri" w:hAnsi="Calibri"/>
                <w:b w:val="0"/>
                <w:i w:val="0"/>
                <w:sz w:val="18"/>
              </w:rPr>
              <w:t>0.26</w:t>
            </w:r>
          </w:p>
        </w:tc>
      </w:tr>
      <w:tr>
        <w:tc>
          <w:tcPr>
            <w:tcW w:type="dxa" w:w="5700"/>
          </w:tcPr>
          <w:p>
            <w:r>
              <w:rPr>
                <w:rFonts w:ascii="Calibri" w:hAnsi="Calibri"/>
                <w:b w:val="0"/>
                <w:i w:val="0"/>
                <w:sz w:val="18"/>
              </w:rPr>
              <w:t>addr_state_NE</w:t>
            </w:r>
          </w:p>
        </w:tc>
        <w:tc>
          <w:tcPr>
            <w:tcW w:type="dxa" w:w="1700"/>
          </w:tcPr>
          <w:p>
            <w:r>
              <w:rPr>
                <w:rFonts w:ascii="Calibri" w:hAnsi="Calibri"/>
                <w:b w:val="0"/>
                <w:i w:val="0"/>
                <w:sz w:val="18"/>
              </w:rPr>
              <w:t>1.326</w:t>
            </w:r>
          </w:p>
        </w:tc>
        <w:tc>
          <w:tcPr>
            <w:tcW w:type="dxa" w:w="1960"/>
          </w:tcPr>
          <w:p>
            <w:r>
              <w:rPr>
                <w:rFonts w:ascii="Calibri" w:hAnsi="Calibri"/>
                <w:b w:val="0"/>
                <w:i w:val="0"/>
                <w:sz w:val="18"/>
              </w:rPr>
              <w:t>3.76</w:t>
            </w:r>
          </w:p>
        </w:tc>
      </w:tr>
      <w:tr>
        <w:tc>
          <w:tcPr>
            <w:tcW w:type="dxa" w:w="5700"/>
            <w:shd w:fill="F2F4F7"/>
          </w:tcPr>
          <w:p>
            <w:r>
              <w:rPr>
                <w:rFonts w:ascii="Calibri" w:hAnsi="Calibri"/>
                <w:b w:val="0"/>
                <w:i w:val="0"/>
                <w:sz w:val="18"/>
              </w:rPr>
              <w:t>grade_A</w:t>
            </w:r>
          </w:p>
        </w:tc>
        <w:tc>
          <w:tcPr>
            <w:tcW w:type="dxa" w:w="1700"/>
            <w:shd w:fill="F2F4F7"/>
          </w:tcPr>
          <w:p>
            <w:r>
              <w:rPr>
                <w:rFonts w:ascii="Calibri" w:hAnsi="Calibri"/>
                <w:b w:val="0"/>
                <w:i w:val="0"/>
                <w:sz w:val="18"/>
              </w:rPr>
              <w:t>-1.016</w:t>
            </w:r>
          </w:p>
        </w:tc>
        <w:tc>
          <w:tcPr>
            <w:tcW w:type="dxa" w:w="1960"/>
            <w:shd w:fill="F2F4F7"/>
          </w:tcPr>
          <w:p>
            <w:r>
              <w:rPr>
                <w:rFonts w:ascii="Calibri" w:hAnsi="Calibri"/>
                <w:b w:val="0"/>
                <w:i w:val="0"/>
                <w:sz w:val="18"/>
              </w:rPr>
              <w:t>0.36</w:t>
            </w:r>
          </w:p>
        </w:tc>
      </w:tr>
      <w:tr>
        <w:tc>
          <w:tcPr>
            <w:tcW w:type="dxa" w:w="5700"/>
          </w:tcPr>
          <w:p>
            <w:r>
              <w:rPr>
                <w:rFonts w:ascii="Calibri" w:hAnsi="Calibri"/>
                <w:b w:val="0"/>
                <w:i w:val="0"/>
                <w:sz w:val="18"/>
              </w:rPr>
              <w:t>addr_state_NV</w:t>
            </w:r>
          </w:p>
        </w:tc>
        <w:tc>
          <w:tcPr>
            <w:tcW w:type="dxa" w:w="1700"/>
          </w:tcPr>
          <w:p>
            <w:r>
              <w:rPr>
                <w:rFonts w:ascii="Calibri" w:hAnsi="Calibri"/>
                <w:b w:val="0"/>
                <w:i w:val="0"/>
                <w:sz w:val="18"/>
              </w:rPr>
              <w:t>0.836</w:t>
            </w:r>
          </w:p>
        </w:tc>
        <w:tc>
          <w:tcPr>
            <w:tcW w:type="dxa" w:w="1960"/>
          </w:tcPr>
          <w:p>
            <w:r>
              <w:rPr>
                <w:rFonts w:ascii="Calibri" w:hAnsi="Calibri"/>
                <w:b w:val="0"/>
                <w:i w:val="0"/>
                <w:sz w:val="18"/>
              </w:rPr>
              <w:t>2.31</w:t>
            </w:r>
          </w:p>
        </w:tc>
      </w:tr>
      <w:tr>
        <w:tc>
          <w:tcPr>
            <w:tcW w:type="dxa" w:w="5700"/>
            <w:shd w:fill="F2F4F7"/>
          </w:tcPr>
          <w:p>
            <w:r>
              <w:rPr>
                <w:rFonts w:ascii="Calibri" w:hAnsi="Calibri"/>
                <w:b w:val="0"/>
                <w:i w:val="0"/>
                <w:sz w:val="18"/>
              </w:rPr>
              <w:t>addr_state_ME</w:t>
            </w:r>
          </w:p>
        </w:tc>
        <w:tc>
          <w:tcPr>
            <w:tcW w:type="dxa" w:w="1700"/>
            <w:shd w:fill="F2F4F7"/>
          </w:tcPr>
          <w:p>
            <w:r>
              <w:rPr>
                <w:rFonts w:ascii="Calibri" w:hAnsi="Calibri"/>
                <w:b w:val="0"/>
                <w:i w:val="0"/>
                <w:sz w:val="18"/>
              </w:rPr>
              <w:t>-0.706</w:t>
            </w:r>
          </w:p>
        </w:tc>
        <w:tc>
          <w:tcPr>
            <w:tcW w:type="dxa" w:w="1960"/>
            <w:shd w:fill="F2F4F7"/>
          </w:tcPr>
          <w:p>
            <w:r>
              <w:rPr>
                <w:rFonts w:ascii="Calibri" w:hAnsi="Calibri"/>
                <w:b w:val="0"/>
                <w:i w:val="0"/>
                <w:sz w:val="18"/>
              </w:rPr>
              <w:t>0.49</w:t>
            </w:r>
          </w:p>
        </w:tc>
      </w:tr>
      <w:tr>
        <w:tc>
          <w:tcPr>
            <w:tcW w:type="dxa" w:w="5700"/>
          </w:tcPr>
          <w:p>
            <w:r>
              <w:rPr>
                <w:rFonts w:ascii="Calibri" w:hAnsi="Calibri"/>
                <w:b w:val="0"/>
                <w:i w:val="0"/>
                <w:sz w:val="18"/>
              </w:rPr>
              <w:t>addr_state_IA</w:t>
            </w:r>
          </w:p>
        </w:tc>
        <w:tc>
          <w:tcPr>
            <w:tcW w:type="dxa" w:w="1700"/>
          </w:tcPr>
          <w:p>
            <w:r>
              <w:rPr>
                <w:rFonts w:ascii="Calibri" w:hAnsi="Calibri"/>
                <w:b w:val="0"/>
                <w:i w:val="0"/>
                <w:sz w:val="18"/>
              </w:rPr>
              <w:t>-0.675</w:t>
            </w:r>
          </w:p>
        </w:tc>
        <w:tc>
          <w:tcPr>
            <w:tcW w:type="dxa" w:w="1960"/>
          </w:tcPr>
          <w:p>
            <w:r>
              <w:rPr>
                <w:rFonts w:ascii="Calibri" w:hAnsi="Calibri"/>
                <w:b w:val="0"/>
                <w:i w:val="0"/>
                <w:sz w:val="18"/>
              </w:rPr>
              <w:t>0.51</w:t>
            </w:r>
          </w:p>
        </w:tc>
      </w:tr>
      <w:tr>
        <w:tc>
          <w:tcPr>
            <w:tcW w:type="dxa" w:w="5700"/>
            <w:shd w:fill="F2F4F7"/>
          </w:tcPr>
          <w:p>
            <w:r>
              <w:rPr>
                <w:rFonts w:ascii="Calibri" w:hAnsi="Calibri"/>
                <w:b w:val="0"/>
                <w:i w:val="0"/>
                <w:sz w:val="18"/>
              </w:rPr>
              <w:t>grade_F</w:t>
            </w:r>
          </w:p>
        </w:tc>
        <w:tc>
          <w:tcPr>
            <w:tcW w:type="dxa" w:w="1700"/>
            <w:shd w:fill="F2F4F7"/>
          </w:tcPr>
          <w:p>
            <w:r>
              <w:rPr>
                <w:rFonts w:ascii="Calibri" w:hAnsi="Calibri"/>
                <w:b w:val="0"/>
                <w:i w:val="0"/>
                <w:sz w:val="18"/>
              </w:rPr>
              <w:t>0.623</w:t>
            </w:r>
          </w:p>
        </w:tc>
        <w:tc>
          <w:tcPr>
            <w:tcW w:type="dxa" w:w="1960"/>
            <w:shd w:fill="F2F4F7"/>
          </w:tcPr>
          <w:p>
            <w:r>
              <w:rPr>
                <w:rFonts w:ascii="Calibri" w:hAnsi="Calibri"/>
                <w:b w:val="0"/>
                <w:i w:val="0"/>
                <w:sz w:val="18"/>
              </w:rPr>
              <w:t>1.86</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F1F8"/>
          </w:tcPr>
          <w:p>
            <w:r>
              <w:rPr>
                <w:rFonts w:ascii="Calibri" w:hAnsi="Calibri"/>
                <w:b/>
                <w:i w:val="0"/>
                <w:color w:val="1F4E79"/>
                <w:sz w:val="21"/>
              </w:rPr>
              <w:t xml:space="preserve">Cảnh báo diễn giải: </w:t>
            </w:r>
            <w:r>
              <w:rPr>
                <w:rFonts w:ascii="Calibri" w:hAnsi="Calibri"/>
                <w:b w:val="0"/>
                <w:i w:val="0"/>
                <w:sz w:val="21"/>
              </w:rPr>
              <w:t>Odds ratio mô tả liên hệ dự báo trong mô hình sau preprocessing, không chứng minh quan hệ nhân quả và không được dùng để suy luận về nhóm dân cư.</w:t>
            </w:r>
          </w:p>
        </w:tc>
      </w:tr>
    </w:tbl>
    <w:p>
      <w:pPr>
        <w:spacing w:after="0"/>
      </w:pPr>
    </w:p>
    <w:p>
      <w:pPr>
        <w:pStyle w:val="Heading1"/>
      </w:pPr>
      <w:r>
        <w:t>8. Kiến trúc triển khai</w:t>
      </w:r>
    </w:p>
    <w:p>
      <w:pPr>
        <w:pStyle w:val="ListBullet"/>
        <w:spacing w:after="80"/>
      </w:pPr>
      <w:r>
        <w:rPr>
          <w:rFonts w:ascii="Calibri" w:hAnsi="Calibri"/>
          <w:b w:val="0"/>
          <w:i w:val="0"/>
          <w:sz w:val="21"/>
        </w:rPr>
        <w:t>Artifact joblib lưu chung preprocessing, model, threshold, feature list và metadata.</w:t>
      </w:r>
    </w:p>
    <w:p>
      <w:pPr>
        <w:pStyle w:val="ListBullet"/>
        <w:spacing w:after="80"/>
      </w:pPr>
      <w:r>
        <w:rPr>
          <w:rFonts w:ascii="Calibri" w:hAnsi="Calibri"/>
          <w:b w:val="0"/>
          <w:i w:val="0"/>
          <w:sz w:val="21"/>
        </w:rPr>
        <w:t>FastAPI cung cấp /health, /info, /score và /explain với Pydantic schema.</w:t>
      </w:r>
    </w:p>
    <w:p>
      <w:pPr>
        <w:pStyle w:val="ListBullet"/>
        <w:spacing w:after="80"/>
      </w:pPr>
      <w:r>
        <w:rPr>
          <w:rFonts w:ascii="Calibri" w:hAnsi="Calibri"/>
          <w:b w:val="0"/>
          <w:i w:val="0"/>
          <w:sz w:val="21"/>
        </w:rPr>
        <w:t>Streamlit hỗ trợ chấm điểm một hồ sơ, CSV theo lô và xem diagnostics.</w:t>
      </w:r>
    </w:p>
    <w:p>
      <w:pPr>
        <w:pStyle w:val="ListBullet"/>
        <w:spacing w:after="80"/>
      </w:pPr>
      <w:r>
        <w:rPr>
          <w:rFonts w:ascii="Calibri" w:hAnsi="Calibri"/>
          <w:b w:val="0"/>
          <w:i w:val="0"/>
          <w:sz w:val="21"/>
        </w:rPr>
        <w:t>Docker đóng gói runtime; GitHub Actions chạy kiểm thử khi push hoặc pull request.</w:t>
      </w:r>
    </w:p>
    <w:p>
      <w:pPr>
        <w:pStyle w:val="ListBullet"/>
        <w:spacing w:after="80"/>
      </w:pPr>
      <w:r>
        <w:rPr>
          <w:rFonts w:ascii="Calibri" w:hAnsi="Calibri"/>
          <w:b w:val="0"/>
          <w:i w:val="0"/>
          <w:sz w:val="21"/>
        </w:rPr>
        <w:t>10 kiểm thử bao phủ schema, temporal split, leakage guard, threshold, PSI, calibration và predict schema.</w:t>
      </w:r>
    </w:p>
    <w:p>
      <w:pPr>
        <w:pStyle w:val="Heading1"/>
      </w:pPr>
      <w:r>
        <w:t>9. Kết quả rà soát và làm sạch code</w:t>
      </w:r>
    </w:p>
    <w:tbl>
      <w:tblPr>
        <w:tblStyle w:val="TableGrid"/>
        <w:tblW w:type="dxa" w:w="9360"/>
        <w:jc w:val="left"/>
        <w:tblLayout w:type="fixed"/>
        <w:tblLook w:firstColumn="1" w:firstRow="1" w:lastColumn="0" w:lastRow="0" w:noHBand="0" w:noVBand="1" w:val="04A0"/>
        <w:tblInd w:w="120" w:type="dxa"/>
      </w:tblPr>
      <w:tblGrid>
        <w:gridCol w:w="2700"/>
        <w:gridCol w:w="3450"/>
        <w:gridCol w:w="3210"/>
      </w:tblGrid>
      <w:tr>
        <w:tc>
          <w:tcPr>
            <w:tcW w:type="dxa" w:w="2700"/>
            <w:vAlign w:val="center"/>
            <w:tcMar>
              <w:top w:w="80" w:type="dxa"/>
              <w:start w:w="120" w:type="dxa"/>
              <w:bottom w:w="80" w:type="dxa"/>
              <w:end w:w="120" w:type="dxa"/>
            </w:tcMar>
            <w:shd w:fill="2E74B5"/>
          </w:tcPr>
          <w:p>
            <w:r>
              <w:rPr>
                <w:rFonts w:ascii="Calibri" w:hAnsi="Calibri"/>
                <w:b/>
                <w:i w:val="0"/>
                <w:color w:val="FFFFFF"/>
                <w:sz w:val="19"/>
              </w:rPr>
              <w:t>Phát hiện</w:t>
            </w:r>
          </w:p>
        </w:tc>
        <w:tc>
          <w:tcPr>
            <w:tcW w:type="dxa" w:w="3450"/>
            <w:vAlign w:val="center"/>
            <w:tcMar>
              <w:top w:w="80" w:type="dxa"/>
              <w:start w:w="120" w:type="dxa"/>
              <w:bottom w:w="80" w:type="dxa"/>
              <w:end w:w="120" w:type="dxa"/>
            </w:tcMar>
            <w:shd w:fill="2E74B5"/>
          </w:tcPr>
          <w:p>
            <w:r>
              <w:rPr>
                <w:rFonts w:ascii="Calibri" w:hAnsi="Calibri"/>
                <w:b/>
                <w:i w:val="0"/>
                <w:color w:val="FFFFFF"/>
                <w:sz w:val="19"/>
              </w:rPr>
              <w:t>Xử lý</w:t>
            </w:r>
          </w:p>
        </w:tc>
        <w:tc>
          <w:tcPr>
            <w:tcW w:type="dxa" w:w="3210"/>
            <w:vAlign w:val="center"/>
            <w:tcMar>
              <w:top w:w="80" w:type="dxa"/>
              <w:start w:w="120" w:type="dxa"/>
              <w:bottom w:w="80" w:type="dxa"/>
              <w:end w:w="120" w:type="dxa"/>
            </w:tcMar>
            <w:shd w:fill="2E74B5"/>
          </w:tcPr>
          <w:p>
            <w:r>
              <w:rPr>
                <w:rFonts w:ascii="Calibri" w:hAnsi="Calibri"/>
                <w:b/>
                <w:i w:val="0"/>
                <w:color w:val="FFFFFF"/>
                <w:sz w:val="19"/>
              </w:rPr>
              <w:t>Lợi ích</w:t>
            </w:r>
          </w:p>
        </w:tc>
      </w:tr>
      <w:tr>
        <w:tc>
          <w:tcPr>
            <w:tcW w:type="dxa" w:w="2700"/>
          </w:tcPr>
          <w:p>
            <w:r>
              <w:rPr>
                <w:rFonts w:ascii="Calibri" w:hAnsi="Calibri"/>
                <w:b w:val="0"/>
                <w:i w:val="0"/>
                <w:sz w:val="18"/>
              </w:rPr>
              <w:t>Ba artifact cũ</w:t>
            </w:r>
          </w:p>
        </w:tc>
        <w:tc>
          <w:tcPr>
            <w:tcW w:type="dxa" w:w="3450"/>
          </w:tcPr>
          <w:p>
            <w:r>
              <w:rPr>
                <w:rFonts w:ascii="Calibri" w:hAnsi="Calibri"/>
                <w:b w:val="0"/>
                <w:i w:val="0"/>
                <w:sz w:val="18"/>
              </w:rPr>
              <w:t>Đã xóa; chỉ giữ loan_default_cv.joblib</w:t>
            </w:r>
          </w:p>
        </w:tc>
        <w:tc>
          <w:tcPr>
            <w:tcW w:type="dxa" w:w="3210"/>
          </w:tcPr>
          <w:p>
            <w:r>
              <w:rPr>
                <w:rFonts w:ascii="Calibri" w:hAnsi="Calibri"/>
                <w:b w:val="0"/>
                <w:i w:val="0"/>
                <w:sz w:val="18"/>
              </w:rPr>
              <w:t>Tránh app nạp sai model</w:t>
            </w:r>
          </w:p>
        </w:tc>
      </w:tr>
      <w:tr>
        <w:tc>
          <w:tcPr>
            <w:tcW w:type="dxa" w:w="2700"/>
            <w:shd w:fill="F2F4F7"/>
          </w:tcPr>
          <w:p>
            <w:r>
              <w:rPr>
                <w:rFonts w:ascii="Calibri" w:hAnsi="Calibri"/>
                <w:b w:val="0"/>
                <w:i w:val="0"/>
                <w:sz w:val="18"/>
              </w:rPr>
              <w:t>Notebook pipeline cũ</w:t>
            </w:r>
          </w:p>
        </w:tc>
        <w:tc>
          <w:tcPr>
            <w:tcW w:type="dxa" w:w="3450"/>
            <w:shd w:fill="F2F4F7"/>
          </w:tcPr>
          <w:p>
            <w:r>
              <w:rPr>
                <w:rFonts w:ascii="Calibri" w:hAnsi="Calibri"/>
                <w:b w:val="0"/>
                <w:i w:val="0"/>
                <w:sz w:val="18"/>
              </w:rPr>
              <w:t>Đã xóa; chỉ giữ notebook temporal</w:t>
            </w:r>
          </w:p>
        </w:tc>
        <w:tc>
          <w:tcPr>
            <w:tcW w:type="dxa" w:w="3210"/>
            <w:shd w:fill="F2F4F7"/>
          </w:tcPr>
          <w:p>
            <w:r>
              <w:rPr>
                <w:rFonts w:ascii="Calibri" w:hAnsi="Calibri"/>
                <w:b w:val="0"/>
                <w:i w:val="0"/>
                <w:sz w:val="18"/>
              </w:rPr>
              <w:t>Một nguồn logic duy nhất trong src/</w:t>
            </w:r>
          </w:p>
        </w:tc>
      </w:tr>
      <w:tr>
        <w:tc>
          <w:tcPr>
            <w:tcW w:type="dxa" w:w="2700"/>
          </w:tcPr>
          <w:p>
            <w:r>
              <w:rPr>
                <w:rFonts w:ascii="Calibri" w:hAnsi="Calibri"/>
                <w:b w:val="0"/>
                <w:i w:val="0"/>
                <w:sz w:val="18"/>
              </w:rPr>
              <w:t>Ablation fit champion hai lần</w:t>
            </w:r>
          </w:p>
        </w:tc>
        <w:tc>
          <w:tcPr>
            <w:tcW w:type="dxa" w:w="3450"/>
          </w:tcPr>
          <w:p>
            <w:r>
              <w:rPr>
                <w:rFonts w:ascii="Calibri" w:hAnsi="Calibri"/>
                <w:b w:val="0"/>
                <w:i w:val="0"/>
                <w:sz w:val="18"/>
              </w:rPr>
              <w:t>Tái sử dụng metric champion</w:t>
            </w:r>
          </w:p>
        </w:tc>
        <w:tc>
          <w:tcPr>
            <w:tcW w:type="dxa" w:w="3210"/>
          </w:tcPr>
          <w:p>
            <w:r>
              <w:rPr>
                <w:rFonts w:ascii="Calibri" w:hAnsi="Calibri"/>
                <w:b w:val="0"/>
                <w:i w:val="0"/>
                <w:sz w:val="18"/>
              </w:rPr>
              <w:t>Giảm một lượt calibration CV</w:t>
            </w:r>
          </w:p>
        </w:tc>
      </w:tr>
      <w:tr>
        <w:tc>
          <w:tcPr>
            <w:tcW w:type="dxa" w:w="2700"/>
            <w:shd w:fill="F2F4F7"/>
          </w:tcPr>
          <w:p>
            <w:r>
              <w:rPr>
                <w:rFonts w:ascii="Calibri" w:hAnsi="Calibri"/>
                <w:b w:val="0"/>
                <w:i w:val="0"/>
                <w:sz w:val="18"/>
              </w:rPr>
              <w:t>API bắt buộc pricing fields</w:t>
            </w:r>
          </w:p>
        </w:tc>
        <w:tc>
          <w:tcPr>
            <w:tcW w:type="dxa" w:w="3450"/>
            <w:shd w:fill="F2F4F7"/>
          </w:tcPr>
          <w:p>
            <w:r>
              <w:rPr>
                <w:rFonts w:ascii="Calibri" w:hAnsi="Calibri"/>
                <w:b w:val="0"/>
                <w:i w:val="0"/>
                <w:sz w:val="18"/>
              </w:rPr>
              <w:t>Đã bỏ int_rate/sub_grade khỏi schema</w:t>
            </w:r>
          </w:p>
        </w:tc>
        <w:tc>
          <w:tcPr>
            <w:tcW w:type="dxa" w:w="3210"/>
            <w:shd w:fill="F2F4F7"/>
          </w:tcPr>
          <w:p>
            <w:r>
              <w:rPr>
                <w:rFonts w:ascii="Calibri" w:hAnsi="Calibri"/>
                <w:b w:val="0"/>
                <w:i w:val="0"/>
                <w:sz w:val="18"/>
              </w:rPr>
              <w:t>Khớp đúng artifact không-pricing</w:t>
            </w:r>
          </w:p>
        </w:tc>
      </w:tr>
      <w:tr>
        <w:tc>
          <w:tcPr>
            <w:tcW w:type="dxa" w:w="2700"/>
          </w:tcPr>
          <w:p>
            <w:r>
              <w:rPr>
                <w:rFonts w:ascii="Calibri" w:hAnsi="Calibri"/>
                <w:b w:val="0"/>
                <w:i w:val="0"/>
                <w:sz w:val="18"/>
              </w:rPr>
              <w:t>UI đưa quyết định tín dụng</w:t>
            </w:r>
          </w:p>
        </w:tc>
        <w:tc>
          <w:tcPr>
            <w:tcW w:type="dxa" w:w="3450"/>
          </w:tcPr>
          <w:p>
            <w:r>
              <w:rPr>
                <w:rFonts w:ascii="Calibri" w:hAnsi="Calibri"/>
                <w:b w:val="0"/>
                <w:i w:val="0"/>
                <w:sz w:val="18"/>
              </w:rPr>
              <w:t>Đổi thành cảnh báo minh họa</w:t>
            </w:r>
          </w:p>
        </w:tc>
        <w:tc>
          <w:tcPr>
            <w:tcW w:type="dxa" w:w="3210"/>
          </w:tcPr>
          <w:p>
            <w:r>
              <w:rPr>
                <w:rFonts w:ascii="Calibri" w:hAnsi="Calibri"/>
                <w:b w:val="0"/>
                <w:i w:val="0"/>
                <w:sz w:val="18"/>
              </w:rPr>
              <w:t>Tránh phóng đại intended use</w:t>
            </w:r>
          </w:p>
        </w:tc>
      </w:tr>
      <w:tr>
        <w:tc>
          <w:tcPr>
            <w:tcW w:type="dxa" w:w="2700"/>
            <w:shd w:fill="F2F4F7"/>
          </w:tcPr>
          <w:p>
            <w:r>
              <w:rPr>
                <w:rFonts w:ascii="Calibri" w:hAnsi="Calibri"/>
                <w:b w:val="0"/>
                <w:i w:val="0"/>
                <w:sz w:val="18"/>
              </w:rPr>
              <w:t>Typing cũ List/Dict</w:t>
            </w:r>
          </w:p>
        </w:tc>
        <w:tc>
          <w:tcPr>
            <w:tcW w:type="dxa" w:w="3450"/>
            <w:shd w:fill="F2F4F7"/>
          </w:tcPr>
          <w:p>
            <w:r>
              <w:rPr>
                <w:rFonts w:ascii="Calibri" w:hAnsi="Calibri"/>
                <w:b w:val="0"/>
                <w:i w:val="0"/>
                <w:sz w:val="18"/>
              </w:rPr>
              <w:t>Dùng list/dict chuẩn Python</w:t>
            </w:r>
          </w:p>
        </w:tc>
        <w:tc>
          <w:tcPr>
            <w:tcW w:type="dxa" w:w="3210"/>
            <w:shd w:fill="F2F4F7"/>
          </w:tcPr>
          <w:p>
            <w:r>
              <w:rPr>
                <w:rFonts w:ascii="Calibri" w:hAnsi="Calibri"/>
                <w:b w:val="0"/>
                <w:i w:val="0"/>
                <w:sz w:val="18"/>
              </w:rPr>
              <w:t>Code ngắn và nhất quán hơn</w:t>
            </w:r>
          </w:p>
        </w:tc>
      </w:tr>
    </w:tbl>
    <w:p>
      <w:pPr>
        <w:spacing w:after="0"/>
      </w:pPr>
    </w:p>
    <w:p>
      <w:pPr>
        <w:pStyle w:val="Heading1"/>
      </w:pPr>
      <w:r>
        <w:t>10. Hạn chế và hướng phát triển</w:t>
      </w:r>
    </w:p>
    <w:p>
      <w:pPr>
        <w:pStyle w:val="ListBullet"/>
        <w:spacing w:after="80"/>
      </w:pPr>
      <w:r>
        <w:rPr>
          <w:rFonts w:ascii="Calibri" w:hAnsi="Calibri"/>
          <w:b w:val="0"/>
          <w:i w:val="0"/>
          <w:sz w:val="21"/>
        </w:rPr>
        <w:t>Nguồn và giấy phép của đúng bản CSV chưa được xác minh đầy đủ; không phân phối lại dữ liệu.</w:t>
      </w:r>
    </w:p>
    <w:p>
      <w:pPr>
        <w:pStyle w:val="ListBullet"/>
        <w:spacing w:after="80"/>
      </w:pPr>
      <w:r>
        <w:rPr>
          <w:rFonts w:ascii="Calibri" w:hAnsi="Calibri"/>
          <w:b w:val="0"/>
          <w:i w:val="0"/>
          <w:sz w:val="21"/>
        </w:rPr>
        <w:t>Out-of-time test chỉ thuộc một tổ chức; cần external validation.</w:t>
      </w:r>
    </w:p>
    <w:p>
      <w:pPr>
        <w:pStyle w:val="ListBullet"/>
        <w:spacing w:after="80"/>
      </w:pPr>
      <w:r>
        <w:rPr>
          <w:rFonts w:ascii="Calibri" w:hAnsi="Calibri"/>
          <w:b w:val="0"/>
          <w:i w:val="0"/>
          <w:sz w:val="21"/>
        </w:rPr>
        <w:t>Cost ratio 5:1 là giả định, chưa phải Expected Loss theo EAD/LGD.</w:t>
      </w:r>
    </w:p>
    <w:p>
      <w:pPr>
        <w:pStyle w:val="ListBullet"/>
        <w:spacing w:after="80"/>
      </w:pPr>
      <w:r>
        <w:rPr>
          <w:rFonts w:ascii="Calibri" w:hAnsi="Calibri"/>
          <w:b w:val="0"/>
          <w:i w:val="0"/>
          <w:sz w:val="21"/>
        </w:rPr>
        <w:t>Thiếu thuộc tính nhạy cảm nên slice analysis không chứng minh fairness.</w:t>
      </w:r>
    </w:p>
    <w:p>
      <w:pPr>
        <w:pStyle w:val="ListBullet"/>
        <w:spacing w:after="80"/>
      </w:pPr>
      <w:r>
        <w:rPr>
          <w:rFonts w:ascii="Calibri" w:hAnsi="Calibri"/>
          <w:b w:val="0"/>
          <w:i w:val="0"/>
          <w:sz w:val="21"/>
        </w:rPr>
        <w:t>Cần kiểm thử Docker sạch và đặt ngưỡng cảnh báo drift/tái huấn luyện.</w:t>
      </w:r>
    </w:p>
    <w:p>
      <w:pPr>
        <w:pStyle w:val="Heading1"/>
      </w:pPr>
      <w:r>
        <w:t>11. Cách trình bày trong CV và phỏng vấn</w:t>
      </w:r>
    </w:p>
    <w:p>
      <w:pPr>
        <w:pStyle w:val="ListBullet"/>
        <w:spacing w:after="80"/>
      </w:pPr>
      <w:r>
        <w:rPr>
          <w:rFonts w:ascii="Calibri" w:hAnsi="Calibri"/>
          <w:b w:val="0"/>
          <w:i w:val="0"/>
          <w:sz w:val="21"/>
        </w:rPr>
        <w:t>Xây leakage-safe pipeline trên 38.577 khoản vay; out-of-time ROC-AUC 0,7195, PR-AUC 0,3384.</w:t>
      </w:r>
    </w:p>
    <w:p>
      <w:pPr>
        <w:pStyle w:val="ListBullet"/>
        <w:spacing w:after="80"/>
      </w:pPr>
      <w:r>
        <w:rPr>
          <w:rFonts w:ascii="Calibri" w:hAnsi="Calibri"/>
          <w:b w:val="0"/>
          <w:i w:val="0"/>
          <w:sz w:val="21"/>
        </w:rPr>
        <w:t>Loại pricing features bằng ablation; hiệu chỉnh xác suất và chọn threshold theo chi phí FN:FP.</w:t>
      </w:r>
    </w:p>
    <w:p>
      <w:pPr>
        <w:pStyle w:val="ListBullet"/>
        <w:spacing w:after="80"/>
      </w:pPr>
      <w:r>
        <w:rPr>
          <w:rFonts w:ascii="Calibri" w:hAnsi="Calibri"/>
          <w:b w:val="0"/>
          <w:i w:val="0"/>
          <w:sz w:val="21"/>
        </w:rPr>
        <w:t>Đóng gói train-serving parity bằng joblib, FastAPI, Streamlit, Docker, CI và 10 kiểm thử.</w:t>
      </w:r>
    </w:p>
    <w:sectPr w:rsidR="00FC693F" w:rsidRPr="0006063C" w:rsidSect="00034616">
      <w:headerReference w:type="default" r:id="rId9"/>
      <w:footerReference w:type="default" r:id="rId10"/>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26C"/>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5A626C"/>
        <w:sz w:val="17"/>
      </w:rPr>
      <w:t>LOAN DEFAULT RISK PREDICTION  |  PORTFOLIO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