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6B1" w:rsidRDefault="00D74E43" w:rsidP="00B50CB3">
      <w:pPr>
        <w:keepNext/>
        <w:spacing w:line="360" w:lineRule="auto"/>
        <w:contextualSpacing/>
        <w:rPr>
          <w:rFonts w:cs="David"/>
          <w:sz w:val="24"/>
          <w:szCs w:val="24"/>
          <w:rtl/>
        </w:rPr>
      </w:pPr>
      <w:bookmarkStart w:id="0" w:name="_GoBack"/>
      <w:bookmarkEnd w:id="0"/>
      <w:r w:rsidRPr="00BD7380">
        <w:rPr>
          <w:rFonts w:cs="David" w:hint="cs"/>
          <w:sz w:val="24"/>
          <w:szCs w:val="24"/>
          <w:rtl/>
        </w:rPr>
        <w:t>לפני שאציג את טענות הצדדים, אציין ש</w:t>
      </w:r>
      <w:r w:rsidR="00B60162" w:rsidRPr="00BD7380">
        <w:rPr>
          <w:rFonts w:cs="David" w:hint="cs"/>
          <w:sz w:val="24"/>
          <w:szCs w:val="24"/>
          <w:rtl/>
        </w:rPr>
        <w:t xml:space="preserve">על </w:t>
      </w:r>
      <w:r w:rsidRPr="00BD7380">
        <w:rPr>
          <w:rFonts w:cs="David" w:hint="cs"/>
          <w:sz w:val="24"/>
          <w:szCs w:val="24"/>
          <w:rtl/>
        </w:rPr>
        <w:t xml:space="preserve">שמואל לשלוח הודעה לביטול החוזה </w:t>
      </w:r>
      <w:r w:rsidR="00B60162" w:rsidRPr="00BD7380">
        <w:rPr>
          <w:rFonts w:cs="David" w:hint="cs"/>
          <w:sz w:val="24"/>
          <w:szCs w:val="24"/>
          <w:rtl/>
        </w:rPr>
        <w:t xml:space="preserve">כאמור בסעיף 20 </w:t>
      </w:r>
    </w:p>
    <w:p w:rsidR="00B60162" w:rsidRPr="00BD7380" w:rsidRDefault="00B60162" w:rsidP="00B50CB3">
      <w:pPr>
        <w:keepNext/>
        <w:spacing w:line="360" w:lineRule="auto"/>
        <w:contextualSpacing/>
        <w:rPr>
          <w:rFonts w:cs="David"/>
          <w:sz w:val="24"/>
          <w:szCs w:val="24"/>
          <w:rtl/>
        </w:rPr>
      </w:pPr>
      <w:r w:rsidRPr="00BD7380">
        <w:rPr>
          <w:rFonts w:cs="David" w:hint="cs"/>
          <w:sz w:val="24"/>
          <w:szCs w:val="24"/>
          <w:rtl/>
        </w:rPr>
        <w:t>לחוקהחוזים</w:t>
      </w:r>
      <w:r w:rsidRPr="00BD7380">
        <w:rPr>
          <w:rStyle w:val="a5"/>
          <w:rFonts w:cs="David"/>
          <w:sz w:val="24"/>
          <w:szCs w:val="24"/>
          <w:rtl/>
        </w:rPr>
        <w:footnoteReference w:id="2"/>
      </w:r>
      <w:r w:rsidRPr="00BD7380">
        <w:rPr>
          <w:rFonts w:cs="David" w:hint="cs"/>
          <w:sz w:val="24"/>
          <w:szCs w:val="24"/>
          <w:rtl/>
        </w:rPr>
        <w:t xml:space="preserve">, בגין הטעיה ועושק </w:t>
      </w:r>
      <w:r w:rsidR="00093702" w:rsidRPr="00BD7380">
        <w:rPr>
          <w:rFonts w:cs="David" w:hint="cs"/>
          <w:sz w:val="24"/>
          <w:szCs w:val="24"/>
          <w:rtl/>
        </w:rPr>
        <w:t>לפי סעיפים 15 ו-18 לחוק החוזים.</w:t>
      </w:r>
    </w:p>
    <w:p w:rsidR="00DD3254" w:rsidRDefault="00BD7380" w:rsidP="00902313">
      <w:pPr>
        <w:keepNext/>
        <w:spacing w:line="360" w:lineRule="auto"/>
        <w:rPr>
          <w:rFonts w:cs="David"/>
          <w:sz w:val="24"/>
          <w:szCs w:val="24"/>
          <w:rtl/>
        </w:rPr>
      </w:pPr>
      <w:r w:rsidRPr="00BD7380">
        <w:rPr>
          <w:rFonts w:cs="David" w:hint="cs"/>
          <w:b/>
          <w:bCs/>
          <w:sz w:val="24"/>
          <w:szCs w:val="24"/>
          <w:u w:val="single"/>
          <w:rtl/>
        </w:rPr>
        <w:t>הטעיה-</w:t>
      </w:r>
      <w:r w:rsidR="00D451CB">
        <w:rPr>
          <w:rFonts w:cs="David" w:hint="cs"/>
          <w:sz w:val="24"/>
          <w:szCs w:val="24"/>
          <w:rtl/>
        </w:rPr>
        <w:t>כש</w:t>
      </w:r>
      <w:r w:rsidR="00125F50">
        <w:rPr>
          <w:rFonts w:cs="David" w:hint="cs"/>
          <w:sz w:val="24"/>
          <w:szCs w:val="24"/>
          <w:rtl/>
        </w:rPr>
        <w:t xml:space="preserve">נגרמת טעות של המתקשר בחוזה ע"י הצד השני, </w:t>
      </w:r>
      <w:r w:rsidR="00B60162" w:rsidRPr="00BD7380">
        <w:rPr>
          <w:rFonts w:cs="David" w:hint="cs"/>
          <w:sz w:val="24"/>
          <w:szCs w:val="24"/>
          <w:rtl/>
        </w:rPr>
        <w:t xml:space="preserve">העילה לביטול </w:t>
      </w:r>
      <w:r w:rsidR="00125F50">
        <w:rPr>
          <w:rFonts w:cs="David" w:hint="cs"/>
          <w:sz w:val="24"/>
          <w:szCs w:val="24"/>
          <w:rtl/>
        </w:rPr>
        <w:t>ה</w:t>
      </w:r>
      <w:r w:rsidR="001003CE">
        <w:rPr>
          <w:rFonts w:cs="David" w:hint="cs"/>
          <w:sz w:val="24"/>
          <w:szCs w:val="24"/>
          <w:rtl/>
        </w:rPr>
        <w:t xml:space="preserve">חוזה </w:t>
      </w:r>
      <w:r w:rsidR="00B60162" w:rsidRPr="00BD7380">
        <w:rPr>
          <w:rFonts w:cs="David" w:hint="cs"/>
          <w:sz w:val="24"/>
          <w:szCs w:val="24"/>
          <w:rtl/>
        </w:rPr>
        <w:t>קמהבהתקיים היסודות הבאים</w:t>
      </w:r>
      <w:r w:rsidR="00B60162" w:rsidRPr="00BD7380">
        <w:rPr>
          <w:rStyle w:val="a5"/>
          <w:rFonts w:cs="David"/>
          <w:sz w:val="24"/>
          <w:szCs w:val="24"/>
          <w:rtl/>
        </w:rPr>
        <w:footnoteReference w:id="3"/>
      </w:r>
      <w:r w:rsidR="00B60162" w:rsidRPr="00BD7380">
        <w:rPr>
          <w:rFonts w:cs="David" w:hint="cs"/>
          <w:sz w:val="24"/>
          <w:szCs w:val="24"/>
          <w:rtl/>
        </w:rPr>
        <w:t>:</w:t>
      </w:r>
      <w:r w:rsidR="00B50CB3">
        <w:rPr>
          <w:rFonts w:cs="David" w:hint="cs"/>
          <w:b/>
          <w:bCs/>
          <w:sz w:val="24"/>
          <w:szCs w:val="24"/>
          <w:rtl/>
        </w:rPr>
        <w:t xml:space="preserve">א. </w:t>
      </w:r>
      <w:r w:rsidR="00D451CB">
        <w:rPr>
          <w:rFonts w:cs="David" w:hint="cs"/>
          <w:sz w:val="24"/>
          <w:szCs w:val="24"/>
          <w:rtl/>
        </w:rPr>
        <w:t>חוזה</w:t>
      </w:r>
      <w:r w:rsidR="00B50CB3">
        <w:rPr>
          <w:rFonts w:cs="David" w:hint="cs"/>
          <w:b/>
          <w:bCs/>
          <w:sz w:val="24"/>
          <w:szCs w:val="24"/>
          <w:rtl/>
        </w:rPr>
        <w:t xml:space="preserve">                                                                                           ב. </w:t>
      </w:r>
      <w:r w:rsidR="00B60162" w:rsidRPr="00E6178E">
        <w:rPr>
          <w:rFonts w:cs="David" w:hint="cs"/>
          <w:sz w:val="24"/>
          <w:szCs w:val="24"/>
          <w:rtl/>
        </w:rPr>
        <w:t>יש טעות אצל אחד הצדדים שהתקשרו בחוזה</w:t>
      </w:r>
      <w:r w:rsidR="00B50CB3">
        <w:rPr>
          <w:rFonts w:cs="David" w:hint="cs"/>
          <w:sz w:val="24"/>
          <w:szCs w:val="24"/>
          <w:rtl/>
        </w:rPr>
        <w:t>.</w:t>
      </w:r>
      <w:r w:rsidR="00B50CB3">
        <w:rPr>
          <w:rFonts w:cs="David" w:hint="cs"/>
          <w:b/>
          <w:bCs/>
          <w:sz w:val="24"/>
          <w:szCs w:val="24"/>
          <w:rtl/>
        </w:rPr>
        <w:t xml:space="preserve">                                                                                          ג.</w:t>
      </w:r>
      <w:r w:rsidR="005B110B" w:rsidRPr="00E6178E">
        <w:rPr>
          <w:rFonts w:cs="David" w:hint="cs"/>
          <w:sz w:val="24"/>
          <w:szCs w:val="24"/>
          <w:rtl/>
        </w:rPr>
        <w:t>הטעיה שהטעה אותו הצד שכנגד</w:t>
      </w:r>
      <w:r w:rsidR="00B50CB3">
        <w:rPr>
          <w:rFonts w:cs="David" w:hint="cs"/>
          <w:sz w:val="24"/>
          <w:szCs w:val="24"/>
          <w:rtl/>
        </w:rPr>
        <w:t>.</w:t>
      </w:r>
      <w:r w:rsidR="00B50CB3">
        <w:rPr>
          <w:rFonts w:cs="David" w:hint="cs"/>
          <w:b/>
          <w:bCs/>
          <w:sz w:val="24"/>
          <w:szCs w:val="24"/>
          <w:rtl/>
        </w:rPr>
        <w:t xml:space="preserve">                                                                                                              ד.</w:t>
      </w:r>
      <w:r w:rsidR="00007BA0" w:rsidRPr="00E6178E">
        <w:rPr>
          <w:rFonts w:cs="David" w:hint="cs"/>
          <w:sz w:val="24"/>
          <w:szCs w:val="24"/>
          <w:rtl/>
        </w:rPr>
        <w:t xml:space="preserve">קשר סיבתי כפול בין </w:t>
      </w:r>
      <w:r w:rsidR="00007BA0" w:rsidRPr="00E6178E">
        <w:rPr>
          <w:rFonts w:cs="David" w:hint="cs"/>
          <w:sz w:val="24"/>
          <w:szCs w:val="24"/>
          <w:u w:val="single"/>
          <w:rtl/>
        </w:rPr>
        <w:t>הטעות ובין ההתקשרות בהסכם</w:t>
      </w:r>
      <w:r w:rsidR="00007BA0" w:rsidRPr="00E6178E">
        <w:rPr>
          <w:rFonts w:cs="David" w:hint="cs"/>
          <w:sz w:val="24"/>
          <w:szCs w:val="24"/>
          <w:rtl/>
        </w:rPr>
        <w:t xml:space="preserve"> וכן בין </w:t>
      </w:r>
      <w:r w:rsidR="00007BA0" w:rsidRPr="00E6178E">
        <w:rPr>
          <w:rFonts w:cs="David" w:hint="cs"/>
          <w:sz w:val="24"/>
          <w:szCs w:val="24"/>
          <w:u w:val="single"/>
          <w:rtl/>
        </w:rPr>
        <w:t>ההטעיה לבין הטעות</w:t>
      </w:r>
      <w:r w:rsidR="000453D4" w:rsidRPr="00E6178E">
        <w:rPr>
          <w:rFonts w:cs="David" w:hint="cs"/>
          <w:sz w:val="24"/>
          <w:szCs w:val="24"/>
          <w:rtl/>
        </w:rPr>
        <w:t>.</w:t>
      </w:r>
      <w:r w:rsidR="00367589">
        <w:rPr>
          <w:rFonts w:cs="David" w:hint="cs"/>
          <w:sz w:val="24"/>
          <w:szCs w:val="24"/>
          <w:rtl/>
        </w:rPr>
        <w:t xml:space="preserve">במקרה דנן, </w:t>
      </w:r>
      <w:r w:rsidR="00367589" w:rsidRPr="00D04B2B">
        <w:rPr>
          <w:rFonts w:cs="David" w:hint="cs"/>
          <w:color w:val="FF0000"/>
          <w:sz w:val="24"/>
          <w:szCs w:val="24"/>
          <w:rtl/>
        </w:rPr>
        <w:t xml:space="preserve">היסוד הראשון </w:t>
      </w:r>
      <w:r w:rsidR="00367589">
        <w:rPr>
          <w:rFonts w:cs="David" w:hint="cs"/>
          <w:sz w:val="24"/>
          <w:szCs w:val="24"/>
          <w:rtl/>
        </w:rPr>
        <w:t xml:space="preserve">מתקיים, ישנו חוזה בין הצדדים. </w:t>
      </w:r>
      <w:r w:rsidR="00367589" w:rsidRPr="00D04B2B">
        <w:rPr>
          <w:rFonts w:cs="David" w:hint="cs"/>
          <w:color w:val="FF0000"/>
          <w:sz w:val="24"/>
          <w:szCs w:val="24"/>
          <w:rtl/>
        </w:rPr>
        <w:t>יסוד שני</w:t>
      </w:r>
      <w:r w:rsidR="005B110B" w:rsidRPr="005B110B">
        <w:rPr>
          <w:rFonts w:cs="David" w:hint="cs"/>
          <w:sz w:val="24"/>
          <w:szCs w:val="24"/>
          <w:rtl/>
        </w:rPr>
        <w:t>-</w:t>
      </w:r>
      <w:r w:rsidR="001003CE">
        <w:rPr>
          <w:rFonts w:cs="David" w:hint="cs"/>
          <w:sz w:val="24"/>
          <w:szCs w:val="24"/>
          <w:rtl/>
        </w:rPr>
        <w:t xml:space="preserve">טעות אצל אחד הצדדים- </w:t>
      </w:r>
      <w:r w:rsidR="007255D9">
        <w:rPr>
          <w:rFonts w:cs="David" w:hint="cs"/>
          <w:sz w:val="24"/>
          <w:szCs w:val="24"/>
          <w:rtl/>
        </w:rPr>
        <w:t>טעות היא מחשבה אואמונה שאינה תואמת את המציאות</w:t>
      </w:r>
      <w:r w:rsidR="007255D9">
        <w:rPr>
          <w:rStyle w:val="a5"/>
          <w:rFonts w:cs="David"/>
          <w:sz w:val="24"/>
          <w:szCs w:val="24"/>
          <w:rtl/>
        </w:rPr>
        <w:footnoteReference w:id="4"/>
      </w:r>
      <w:r w:rsidR="007255D9">
        <w:rPr>
          <w:rFonts w:cs="David" w:hint="cs"/>
          <w:sz w:val="24"/>
          <w:szCs w:val="24"/>
          <w:rtl/>
        </w:rPr>
        <w:t>. מחד,</w:t>
      </w:r>
      <w:r w:rsidR="005B110B" w:rsidRPr="005B110B">
        <w:rPr>
          <w:rFonts w:cs="David" w:hint="cs"/>
          <w:sz w:val="24"/>
          <w:szCs w:val="24"/>
          <w:rtl/>
        </w:rPr>
        <w:t>שמואליטעןשטעהכיווןשלאידע שיוכללהשתכןבביתהאבותבמחיר נמוךיותרע</w:t>
      </w:r>
      <w:r w:rsidR="005B110B" w:rsidRPr="005B110B">
        <w:rPr>
          <w:rFonts w:cs="David"/>
          <w:sz w:val="24"/>
          <w:szCs w:val="24"/>
          <w:rtl/>
        </w:rPr>
        <w:t>"</w:t>
      </w:r>
      <w:r w:rsidR="005B110B" w:rsidRPr="005B110B">
        <w:rPr>
          <w:rFonts w:cs="David" w:hint="cs"/>
          <w:sz w:val="24"/>
          <w:szCs w:val="24"/>
          <w:rtl/>
        </w:rPr>
        <w:t>יסבסודמ</w:t>
      </w:r>
      <w:r w:rsidR="00D451CB">
        <w:rPr>
          <w:rFonts w:cs="David" w:hint="cs"/>
          <w:sz w:val="24"/>
          <w:szCs w:val="24"/>
          <w:rtl/>
        </w:rPr>
        <w:t>המ</w:t>
      </w:r>
      <w:r w:rsidR="005B110B" w:rsidRPr="005B110B">
        <w:rPr>
          <w:rFonts w:cs="David" w:hint="cs"/>
          <w:sz w:val="24"/>
          <w:szCs w:val="24"/>
          <w:rtl/>
        </w:rPr>
        <w:t>דינה</w:t>
      </w:r>
      <w:r w:rsidR="005B110B" w:rsidRPr="005B110B">
        <w:rPr>
          <w:rFonts w:cs="David"/>
          <w:sz w:val="24"/>
          <w:szCs w:val="24"/>
          <w:rtl/>
        </w:rPr>
        <w:t>.</w:t>
      </w:r>
      <w:r w:rsidR="00C42F69">
        <w:rPr>
          <w:rFonts w:cs="David" w:hint="cs"/>
          <w:sz w:val="24"/>
          <w:szCs w:val="24"/>
          <w:rtl/>
        </w:rPr>
        <w:t>מאידך,</w:t>
      </w:r>
      <w:r w:rsidR="004B4403" w:rsidRPr="004B4403">
        <w:rPr>
          <w:rFonts w:cs="David" w:hint="cs"/>
          <w:sz w:val="24"/>
          <w:szCs w:val="24"/>
          <w:rtl/>
        </w:rPr>
        <w:t>רונן</w:t>
      </w:r>
      <w:r w:rsidR="004B4403">
        <w:rPr>
          <w:rFonts w:cs="David" w:hint="cs"/>
          <w:sz w:val="24"/>
          <w:szCs w:val="24"/>
          <w:rtl/>
        </w:rPr>
        <w:t>יטען</w:t>
      </w:r>
      <w:r w:rsidR="00C42F69">
        <w:rPr>
          <w:rFonts w:cs="David" w:hint="cs"/>
          <w:sz w:val="24"/>
          <w:szCs w:val="24"/>
          <w:rtl/>
        </w:rPr>
        <w:t xml:space="preserve"> כי</w:t>
      </w:r>
      <w:r w:rsidR="00B50CB3">
        <w:rPr>
          <w:rFonts w:cs="David" w:hint="cs"/>
          <w:sz w:val="24"/>
          <w:szCs w:val="24"/>
          <w:rtl/>
        </w:rPr>
        <w:t xml:space="preserve"> אין זו אלא טעות שבכדאיות העסקה,</w:t>
      </w:r>
      <w:r w:rsidR="00C42F69">
        <w:rPr>
          <w:rFonts w:cs="David" w:hint="cs"/>
          <w:sz w:val="24"/>
          <w:szCs w:val="24"/>
          <w:rtl/>
        </w:rPr>
        <w:t xml:space="preserve"> ע"פ </w:t>
      </w:r>
      <w:r w:rsidR="00C42F69" w:rsidRPr="00C42F69">
        <w:rPr>
          <w:rFonts w:cs="David" w:hint="cs"/>
          <w:b/>
          <w:bCs/>
          <w:sz w:val="24"/>
          <w:szCs w:val="24"/>
          <w:rtl/>
        </w:rPr>
        <w:t>השופט אשר</w:t>
      </w:r>
      <w:r w:rsidR="00C42F69">
        <w:rPr>
          <w:rStyle w:val="a5"/>
          <w:rFonts w:cs="David"/>
          <w:sz w:val="24"/>
          <w:szCs w:val="24"/>
          <w:rtl/>
        </w:rPr>
        <w:footnoteReference w:id="5"/>
      </w:r>
      <w:r w:rsidR="00C42F69">
        <w:rPr>
          <w:rFonts w:cs="David" w:hint="cs"/>
          <w:sz w:val="24"/>
          <w:szCs w:val="24"/>
          <w:rtl/>
        </w:rPr>
        <w:t xml:space="preserve">טעות שבכדאיות העסקה היאטעות לגבי שווי הממכר, ולכן </w:t>
      </w:r>
      <w:r w:rsidR="004B4403" w:rsidRPr="004B4403">
        <w:rPr>
          <w:rFonts w:cs="David" w:hint="cs"/>
          <w:sz w:val="24"/>
          <w:szCs w:val="24"/>
          <w:rtl/>
        </w:rPr>
        <w:t>אםשמואלהביןשעסקהזולאכדאיתלאחרחתימתהחוזה</w:t>
      </w:r>
      <w:r w:rsidR="004B4403" w:rsidRPr="004B4403">
        <w:rPr>
          <w:rFonts w:cs="David"/>
          <w:sz w:val="24"/>
          <w:szCs w:val="24"/>
          <w:rtl/>
        </w:rPr>
        <w:t xml:space="preserve">, </w:t>
      </w:r>
      <w:r w:rsidR="004B4403" w:rsidRPr="004B4403">
        <w:rPr>
          <w:rFonts w:cs="David" w:hint="cs"/>
          <w:sz w:val="24"/>
          <w:szCs w:val="24"/>
          <w:rtl/>
        </w:rPr>
        <w:t>איןהואיכוללהתנערממנה</w:t>
      </w:r>
      <w:r w:rsidR="00C42F69">
        <w:rPr>
          <w:rFonts w:cs="David" w:hint="cs"/>
          <w:sz w:val="24"/>
          <w:szCs w:val="24"/>
          <w:rtl/>
        </w:rPr>
        <w:t>. שמואל יטע</w:t>
      </w:r>
      <w:r w:rsidR="00851D84">
        <w:rPr>
          <w:rFonts w:cs="David" w:hint="cs"/>
          <w:sz w:val="24"/>
          <w:szCs w:val="24"/>
          <w:rtl/>
        </w:rPr>
        <w:t>ן ש</w:t>
      </w:r>
      <w:r w:rsidR="0066098A">
        <w:rPr>
          <w:rFonts w:cs="David" w:hint="cs"/>
          <w:sz w:val="24"/>
          <w:szCs w:val="24"/>
          <w:rtl/>
        </w:rPr>
        <w:t>אין מדובר בטעות</w:t>
      </w:r>
      <w:r w:rsidR="007347E0">
        <w:rPr>
          <w:rFonts w:cs="David" w:hint="cs"/>
          <w:sz w:val="24"/>
          <w:szCs w:val="24"/>
          <w:rtl/>
        </w:rPr>
        <w:t xml:space="preserve"> שבכדאיות </w:t>
      </w:r>
      <w:r w:rsidR="00DC70AF">
        <w:rPr>
          <w:rFonts w:cs="David" w:hint="cs"/>
          <w:sz w:val="24"/>
          <w:szCs w:val="24"/>
          <w:rtl/>
        </w:rPr>
        <w:t xml:space="preserve">שכן אין היא עומדת בשלושתהגישות-גישת </w:t>
      </w:r>
      <w:r w:rsidR="00DC70AF" w:rsidRPr="00DC70AF">
        <w:rPr>
          <w:rFonts w:cs="David" w:hint="cs"/>
          <w:b/>
          <w:bCs/>
          <w:sz w:val="24"/>
          <w:szCs w:val="24"/>
          <w:rtl/>
        </w:rPr>
        <w:t>השופט אשר</w:t>
      </w:r>
      <w:r w:rsidR="00DC70AF">
        <w:rPr>
          <w:rFonts w:cs="David" w:hint="cs"/>
          <w:sz w:val="24"/>
          <w:szCs w:val="24"/>
          <w:rtl/>
        </w:rPr>
        <w:t>-</w:t>
      </w:r>
      <w:r w:rsidR="00D451CB">
        <w:rPr>
          <w:rFonts w:cs="David" w:hint="cs"/>
          <w:sz w:val="24"/>
          <w:szCs w:val="24"/>
          <w:rtl/>
        </w:rPr>
        <w:t xml:space="preserve"> טעות ש</w:t>
      </w:r>
      <w:r w:rsidR="006755AA">
        <w:rPr>
          <w:rFonts w:cs="David" w:hint="cs"/>
          <w:sz w:val="24"/>
          <w:szCs w:val="24"/>
          <w:rtl/>
        </w:rPr>
        <w:t>בכדאיות העסקה היא טעות לגבי שווי הממכר. במקרה דנן,</w:t>
      </w:r>
      <w:r w:rsidR="00181D09">
        <w:rPr>
          <w:rFonts w:cs="David" w:hint="cs"/>
          <w:sz w:val="24"/>
          <w:szCs w:val="24"/>
          <w:rtl/>
        </w:rPr>
        <w:t>אין זה כך,</w:t>
      </w:r>
      <w:r w:rsidR="001003CE">
        <w:rPr>
          <w:rFonts w:cs="David" w:hint="cs"/>
          <w:sz w:val="24"/>
          <w:szCs w:val="24"/>
          <w:rtl/>
        </w:rPr>
        <w:t>טעותו של</w:t>
      </w:r>
      <w:r w:rsidR="006755AA">
        <w:rPr>
          <w:rFonts w:cs="David" w:hint="cs"/>
          <w:sz w:val="24"/>
          <w:szCs w:val="24"/>
          <w:rtl/>
        </w:rPr>
        <w:t xml:space="preserve">שמואל </w:t>
      </w:r>
      <w:r w:rsidR="0066098A">
        <w:rPr>
          <w:rFonts w:cs="David" w:hint="cs"/>
          <w:sz w:val="24"/>
          <w:szCs w:val="24"/>
          <w:rtl/>
        </w:rPr>
        <w:t>לא</w:t>
      </w:r>
      <w:r w:rsidR="00B343DE">
        <w:rPr>
          <w:rFonts w:cs="David" w:hint="cs"/>
          <w:sz w:val="24"/>
          <w:szCs w:val="24"/>
          <w:rtl/>
        </w:rPr>
        <w:t xml:space="preserve"> הייתה לגבי שוויו של הממכר אלא לגבי העובדה שלא</w:t>
      </w:r>
      <w:r w:rsidR="0066098A">
        <w:rPr>
          <w:rFonts w:cs="David" w:hint="cs"/>
          <w:sz w:val="24"/>
          <w:szCs w:val="24"/>
          <w:rtl/>
        </w:rPr>
        <w:t xml:space="preserve"> ידעשביכולתו לממןמגורים בבית האבות</w:t>
      </w:r>
      <w:r w:rsidR="00851D84">
        <w:rPr>
          <w:rFonts w:cs="David" w:hint="cs"/>
          <w:sz w:val="24"/>
          <w:szCs w:val="24"/>
          <w:rtl/>
        </w:rPr>
        <w:t xml:space="preserve"> גם ללא</w:t>
      </w:r>
      <w:r w:rsidR="006755AA">
        <w:rPr>
          <w:rFonts w:cs="David" w:hint="cs"/>
          <w:sz w:val="24"/>
          <w:szCs w:val="24"/>
          <w:rtl/>
        </w:rPr>
        <w:t>מכירת הדירה.</w:t>
      </w:r>
      <w:r w:rsidR="00DC70AF">
        <w:rPr>
          <w:rFonts w:cs="David" w:hint="cs"/>
          <w:sz w:val="24"/>
          <w:szCs w:val="24"/>
          <w:rtl/>
        </w:rPr>
        <w:t>גישתו</w:t>
      </w:r>
      <w:r w:rsidR="0066098A">
        <w:rPr>
          <w:rFonts w:cs="David" w:hint="cs"/>
          <w:sz w:val="24"/>
          <w:szCs w:val="24"/>
          <w:rtl/>
        </w:rPr>
        <w:t xml:space="preserve"> של</w:t>
      </w:r>
      <w:r w:rsidR="00DC70AF">
        <w:rPr>
          <w:rFonts w:cs="David" w:hint="cs"/>
          <w:b/>
          <w:bCs/>
          <w:sz w:val="24"/>
          <w:szCs w:val="24"/>
          <w:rtl/>
        </w:rPr>
        <w:t xml:space="preserve">ד' </w:t>
      </w:r>
      <w:r w:rsidR="0066098A" w:rsidRPr="0066098A">
        <w:rPr>
          <w:rFonts w:cs="David" w:hint="cs"/>
          <w:b/>
          <w:bCs/>
          <w:sz w:val="24"/>
          <w:szCs w:val="24"/>
          <w:rtl/>
        </w:rPr>
        <w:t>פרידמן</w:t>
      </w:r>
      <w:r w:rsidR="00000788">
        <w:rPr>
          <w:rStyle w:val="a5"/>
          <w:rFonts w:cs="David"/>
          <w:b/>
          <w:bCs/>
          <w:sz w:val="24"/>
          <w:szCs w:val="24"/>
          <w:rtl/>
        </w:rPr>
        <w:footnoteReference w:id="6"/>
      </w:r>
      <w:r w:rsidR="0066098A" w:rsidRPr="0066098A">
        <w:rPr>
          <w:rFonts w:cs="David" w:hint="cs"/>
          <w:b/>
          <w:bCs/>
          <w:sz w:val="24"/>
          <w:szCs w:val="24"/>
          <w:rtl/>
        </w:rPr>
        <w:t>-</w:t>
      </w:r>
      <w:r w:rsidR="006755AA">
        <w:rPr>
          <w:rFonts w:cs="David" w:hint="cs"/>
          <w:sz w:val="24"/>
          <w:szCs w:val="24"/>
          <w:rtl/>
        </w:rPr>
        <w:t>טעות שבכדאיות העסקה היא טעות ביחסל</w:t>
      </w:r>
      <w:r w:rsidR="00DC70AF">
        <w:rPr>
          <w:rFonts w:cs="David" w:hint="cs"/>
          <w:sz w:val="24"/>
          <w:szCs w:val="24"/>
          <w:rtl/>
        </w:rPr>
        <w:t>סיכון</w:t>
      </w:r>
      <w:r w:rsidR="006755AA">
        <w:rPr>
          <w:rFonts w:cs="David" w:hint="cs"/>
          <w:sz w:val="24"/>
          <w:szCs w:val="24"/>
          <w:rtl/>
        </w:rPr>
        <w:t xml:space="preserve"> שנטל</w:t>
      </w:r>
      <w:r w:rsidR="008D482D">
        <w:rPr>
          <w:rFonts w:cs="David" w:hint="cs"/>
          <w:sz w:val="24"/>
          <w:szCs w:val="24"/>
          <w:rtl/>
        </w:rPr>
        <w:t xml:space="preserve"> על עצמו</w:t>
      </w:r>
      <w:r w:rsidR="006755AA">
        <w:rPr>
          <w:rFonts w:cs="David" w:hint="cs"/>
          <w:sz w:val="24"/>
          <w:szCs w:val="24"/>
          <w:rtl/>
        </w:rPr>
        <w:t xml:space="preserve"> צד לחוזה</w:t>
      </w:r>
      <w:r w:rsidR="008D482D">
        <w:rPr>
          <w:rFonts w:cs="David" w:hint="cs"/>
          <w:sz w:val="24"/>
          <w:szCs w:val="24"/>
          <w:rtl/>
        </w:rPr>
        <w:t xml:space="preserve">, </w:t>
      </w:r>
      <w:r w:rsidR="006755AA">
        <w:rPr>
          <w:rFonts w:cs="David" w:hint="cs"/>
          <w:sz w:val="24"/>
          <w:szCs w:val="24"/>
          <w:rtl/>
        </w:rPr>
        <w:t xml:space="preserve">ובענייננו, הרי שמואל לא ראה את התמונה כמות שהיא על כל הסיכונים והשיקולים הכלכלייםשנגזרים ממנה </w:t>
      </w:r>
      <w:r w:rsidR="00000788">
        <w:rPr>
          <w:rFonts w:cs="David" w:hint="cs"/>
          <w:sz w:val="24"/>
          <w:szCs w:val="24"/>
          <w:rtl/>
        </w:rPr>
        <w:t>ועל כן א</w:t>
      </w:r>
      <w:r w:rsidR="0010193B">
        <w:rPr>
          <w:rFonts w:cs="David" w:hint="cs"/>
          <w:sz w:val="24"/>
          <w:szCs w:val="24"/>
          <w:rtl/>
        </w:rPr>
        <w:t>ין</w:t>
      </w:r>
      <w:r w:rsidR="00181D09">
        <w:rPr>
          <w:rFonts w:cs="David" w:hint="cs"/>
          <w:sz w:val="24"/>
          <w:szCs w:val="24"/>
          <w:rtl/>
        </w:rPr>
        <w:t xml:space="preserve"> לומר שזו טעות </w:t>
      </w:r>
      <w:r w:rsidR="0010193B">
        <w:rPr>
          <w:rFonts w:cs="David" w:hint="cs"/>
          <w:sz w:val="24"/>
          <w:szCs w:val="24"/>
          <w:rtl/>
        </w:rPr>
        <w:t>בכדאיות</w:t>
      </w:r>
      <w:r w:rsidR="00A629B8">
        <w:rPr>
          <w:rFonts w:cs="David" w:hint="cs"/>
          <w:sz w:val="24"/>
          <w:szCs w:val="24"/>
          <w:rtl/>
        </w:rPr>
        <w:t xml:space="preserve"> העסקה</w:t>
      </w:r>
      <w:r w:rsidR="00000788">
        <w:rPr>
          <w:rFonts w:cs="David" w:hint="cs"/>
          <w:sz w:val="24"/>
          <w:szCs w:val="24"/>
          <w:rtl/>
        </w:rPr>
        <w:t xml:space="preserve">גם אם יש לה השלכות כלכליות. </w:t>
      </w:r>
      <w:r w:rsidR="00181D09">
        <w:rPr>
          <w:rFonts w:cs="David" w:hint="cs"/>
          <w:sz w:val="24"/>
          <w:szCs w:val="24"/>
          <w:rtl/>
        </w:rPr>
        <w:t xml:space="preserve">גישתו </w:t>
      </w:r>
      <w:r w:rsidR="00504211">
        <w:rPr>
          <w:rFonts w:cs="David" w:hint="cs"/>
          <w:sz w:val="24"/>
          <w:szCs w:val="24"/>
          <w:rtl/>
        </w:rPr>
        <w:t>של</w:t>
      </w:r>
      <w:r w:rsidR="00181D09">
        <w:rPr>
          <w:rFonts w:cs="David" w:hint="cs"/>
          <w:b/>
          <w:bCs/>
          <w:sz w:val="24"/>
          <w:szCs w:val="24"/>
          <w:rtl/>
        </w:rPr>
        <w:t xml:space="preserve">ג' </w:t>
      </w:r>
      <w:r w:rsidR="00504211" w:rsidRPr="00504211">
        <w:rPr>
          <w:rFonts w:cs="David" w:hint="cs"/>
          <w:b/>
          <w:bCs/>
          <w:sz w:val="24"/>
          <w:szCs w:val="24"/>
          <w:rtl/>
        </w:rPr>
        <w:t>טדסקי</w:t>
      </w:r>
      <w:r w:rsidR="00D04B2B">
        <w:rPr>
          <w:rStyle w:val="a5"/>
          <w:rFonts w:cs="David"/>
          <w:b/>
          <w:bCs/>
          <w:sz w:val="24"/>
          <w:szCs w:val="24"/>
          <w:rtl/>
        </w:rPr>
        <w:footnoteReference w:id="7"/>
      </w:r>
      <w:r w:rsidR="00504211">
        <w:rPr>
          <w:rFonts w:cs="David" w:hint="cs"/>
          <w:b/>
          <w:bCs/>
          <w:sz w:val="24"/>
          <w:szCs w:val="24"/>
          <w:rtl/>
        </w:rPr>
        <w:t>-</w:t>
      </w:r>
      <w:r w:rsidR="006C3C2D">
        <w:rPr>
          <w:rFonts w:cs="David" w:hint="cs"/>
          <w:sz w:val="24"/>
          <w:szCs w:val="24"/>
          <w:rtl/>
        </w:rPr>
        <w:t>טעות בכדאיות העסקה היא טעות ביחסלהתפתחות עתידית, מתקשר שהתאכזב משוםשציפיותיו לא התגשמו לא יכול לטע</w:t>
      </w:r>
      <w:r w:rsidR="00D04B2B">
        <w:rPr>
          <w:rFonts w:cs="David" w:hint="cs"/>
          <w:sz w:val="24"/>
          <w:szCs w:val="24"/>
          <w:rtl/>
        </w:rPr>
        <w:t xml:space="preserve">ון לטעות, במקרה דנןלא ניתן לטעון כך. </w:t>
      </w:r>
      <w:r w:rsidR="000453D4" w:rsidRPr="00D04B2B">
        <w:rPr>
          <w:rFonts w:cs="David" w:hint="cs"/>
          <w:color w:val="FF0000"/>
          <w:sz w:val="24"/>
          <w:szCs w:val="24"/>
          <w:rtl/>
        </w:rPr>
        <w:t>יסוד</w:t>
      </w:r>
      <w:r w:rsidR="004B4403" w:rsidRPr="00D04B2B">
        <w:rPr>
          <w:rFonts w:cs="David" w:hint="cs"/>
          <w:color w:val="FF0000"/>
          <w:sz w:val="24"/>
          <w:szCs w:val="24"/>
          <w:rtl/>
        </w:rPr>
        <w:t xml:space="preserve"> שלישי</w:t>
      </w:r>
      <w:r w:rsidR="0010193B">
        <w:rPr>
          <w:rFonts w:cs="David" w:hint="cs"/>
          <w:color w:val="FF0000"/>
          <w:sz w:val="24"/>
          <w:szCs w:val="24"/>
          <w:rtl/>
        </w:rPr>
        <w:t xml:space="preserve">- </w:t>
      </w:r>
      <w:r w:rsidR="005B110B" w:rsidRPr="005B110B">
        <w:rPr>
          <w:rFonts w:cs="David" w:hint="cs"/>
          <w:sz w:val="24"/>
          <w:szCs w:val="24"/>
          <w:rtl/>
        </w:rPr>
        <w:t>במקרהדנן</w:t>
      </w:r>
      <w:r w:rsidR="005B110B" w:rsidRPr="005B110B">
        <w:rPr>
          <w:rFonts w:cs="David"/>
          <w:sz w:val="24"/>
          <w:szCs w:val="24"/>
          <w:rtl/>
        </w:rPr>
        <w:t>,</w:t>
      </w:r>
      <w:r w:rsidR="005B110B" w:rsidRPr="005B110B">
        <w:rPr>
          <w:rFonts w:cs="David" w:hint="cs"/>
          <w:sz w:val="24"/>
          <w:szCs w:val="24"/>
          <w:rtl/>
        </w:rPr>
        <w:t>שמואליטעןשרונןהטעהאותו</w:t>
      </w:r>
      <w:r w:rsidR="00DB07F1">
        <w:rPr>
          <w:rFonts w:cs="David" w:hint="cs"/>
          <w:sz w:val="24"/>
          <w:szCs w:val="24"/>
          <w:rtl/>
        </w:rPr>
        <w:t xml:space="preserve">. </w:t>
      </w:r>
      <w:r w:rsidR="00D04B2B" w:rsidRPr="00D04B2B">
        <w:rPr>
          <w:rFonts w:cs="David" w:hint="cs"/>
          <w:sz w:val="24"/>
          <w:szCs w:val="24"/>
          <w:rtl/>
        </w:rPr>
        <w:t>הטעיהיכולהלהיותאקטיבית</w:t>
      </w:r>
      <w:r w:rsidR="00D04B2B">
        <w:rPr>
          <w:rFonts w:cs="David" w:hint="cs"/>
          <w:sz w:val="24"/>
          <w:szCs w:val="24"/>
          <w:rtl/>
        </w:rPr>
        <w:t>(=</w:t>
      </w:r>
      <w:r w:rsidR="00D04B2B" w:rsidRPr="00D04B2B">
        <w:rPr>
          <w:rFonts w:cs="David" w:hint="cs"/>
          <w:sz w:val="24"/>
          <w:szCs w:val="24"/>
          <w:rtl/>
        </w:rPr>
        <w:t>במעשה</w:t>
      </w:r>
      <w:r w:rsidR="00D04B2B">
        <w:rPr>
          <w:rFonts w:cs="David" w:hint="cs"/>
          <w:sz w:val="24"/>
          <w:szCs w:val="24"/>
          <w:rtl/>
        </w:rPr>
        <w:t>)</w:t>
      </w:r>
      <w:r w:rsidR="00D04B2B" w:rsidRPr="00D04B2B">
        <w:rPr>
          <w:rFonts w:cs="David" w:hint="cs"/>
          <w:sz w:val="24"/>
          <w:szCs w:val="24"/>
          <w:rtl/>
        </w:rPr>
        <w:t>אופאסיבית</w:t>
      </w:r>
      <w:r w:rsidR="00D04B2B">
        <w:rPr>
          <w:rFonts w:cs="David" w:hint="cs"/>
          <w:sz w:val="24"/>
          <w:szCs w:val="24"/>
          <w:rtl/>
        </w:rPr>
        <w:t>(=</w:t>
      </w:r>
      <w:r w:rsidR="00D04B2B" w:rsidRPr="00D04B2B">
        <w:rPr>
          <w:rFonts w:cs="David" w:hint="cs"/>
          <w:sz w:val="24"/>
          <w:szCs w:val="24"/>
          <w:rtl/>
        </w:rPr>
        <w:t>במחדל</w:t>
      </w:r>
      <w:r w:rsidR="00D04B2B">
        <w:rPr>
          <w:rFonts w:cs="David" w:hint="cs"/>
          <w:sz w:val="24"/>
          <w:szCs w:val="24"/>
          <w:rtl/>
        </w:rPr>
        <w:t>)</w:t>
      </w:r>
      <w:r w:rsidR="00DB07F1">
        <w:rPr>
          <w:rStyle w:val="a5"/>
          <w:rFonts w:cs="David"/>
          <w:sz w:val="24"/>
          <w:szCs w:val="24"/>
          <w:rtl/>
        </w:rPr>
        <w:footnoteReference w:id="8"/>
      </w:r>
      <w:r w:rsidR="00D04B2B" w:rsidRPr="00D04B2B">
        <w:rPr>
          <w:rFonts w:cs="David"/>
          <w:sz w:val="24"/>
          <w:szCs w:val="24"/>
          <w:rtl/>
        </w:rPr>
        <w:t>,</w:t>
      </w:r>
      <w:r w:rsidR="00D04B2B" w:rsidRPr="00D04B2B">
        <w:rPr>
          <w:rFonts w:cs="David" w:hint="cs"/>
          <w:sz w:val="24"/>
          <w:szCs w:val="24"/>
          <w:rtl/>
        </w:rPr>
        <w:t>במקרהדנן</w:t>
      </w:r>
      <w:r w:rsidR="00D04B2B" w:rsidRPr="00D04B2B">
        <w:rPr>
          <w:rFonts w:cs="David"/>
          <w:sz w:val="24"/>
          <w:szCs w:val="24"/>
          <w:rtl/>
        </w:rPr>
        <w:t xml:space="preserve">, </w:t>
      </w:r>
      <w:r w:rsidR="00A629B8">
        <w:rPr>
          <w:rFonts w:cs="David" w:hint="cs"/>
          <w:sz w:val="24"/>
          <w:szCs w:val="24"/>
          <w:rtl/>
        </w:rPr>
        <w:t xml:space="preserve">ישנה </w:t>
      </w:r>
      <w:r w:rsidR="00D04B2B" w:rsidRPr="00D04B2B">
        <w:rPr>
          <w:rFonts w:cs="David" w:hint="cs"/>
          <w:sz w:val="24"/>
          <w:szCs w:val="24"/>
          <w:rtl/>
        </w:rPr>
        <w:t>הטעיהפאסיבית</w:t>
      </w:r>
      <w:r w:rsidR="00D04B2B" w:rsidRPr="00D04B2B">
        <w:rPr>
          <w:rFonts w:cs="David"/>
          <w:sz w:val="24"/>
          <w:szCs w:val="24"/>
          <w:rtl/>
        </w:rPr>
        <w:t xml:space="preserve">, </w:t>
      </w:r>
      <w:r w:rsidR="00D04B2B" w:rsidRPr="00D04B2B">
        <w:rPr>
          <w:rFonts w:cs="David" w:hint="cs"/>
          <w:sz w:val="24"/>
          <w:szCs w:val="24"/>
          <w:rtl/>
        </w:rPr>
        <w:t>כלומרבדרךשלאיגילויןשלעובדותשמןהראויהיהלגלותן</w:t>
      </w:r>
      <w:r w:rsidR="0010193B">
        <w:rPr>
          <w:rFonts w:cs="David"/>
          <w:sz w:val="24"/>
          <w:szCs w:val="24"/>
          <w:rtl/>
        </w:rPr>
        <w:t>,</w:t>
      </w:r>
      <w:r w:rsidR="00D04B2B" w:rsidRPr="00D04B2B">
        <w:rPr>
          <w:rFonts w:cs="David" w:hint="cs"/>
          <w:sz w:val="24"/>
          <w:szCs w:val="24"/>
          <w:rtl/>
        </w:rPr>
        <w:t>זאתמתבטאתבשתיקתושלרונןבסיטואציהבההיהמקוםלספקפרטיםבעליחשיבותלעסקה</w:t>
      </w:r>
      <w:r w:rsidR="00DB07F1">
        <w:rPr>
          <w:rStyle w:val="a5"/>
          <w:rFonts w:cs="David"/>
          <w:sz w:val="24"/>
          <w:szCs w:val="24"/>
          <w:rtl/>
        </w:rPr>
        <w:footnoteReference w:id="9"/>
      </w:r>
      <w:r w:rsidR="00DB07F1">
        <w:rPr>
          <w:rFonts w:cs="David" w:hint="cs"/>
          <w:sz w:val="24"/>
          <w:szCs w:val="24"/>
          <w:rtl/>
        </w:rPr>
        <w:t>-</w:t>
      </w:r>
      <w:r w:rsidR="00DB07F1" w:rsidRPr="00DB07F1">
        <w:rPr>
          <w:rFonts w:cs="David" w:hint="cs"/>
          <w:sz w:val="24"/>
          <w:szCs w:val="24"/>
          <w:rtl/>
        </w:rPr>
        <w:t>סבירלהניחשרונןכבעליםשלביתאבות</w:t>
      </w:r>
      <w:r w:rsidR="0010193B">
        <w:rPr>
          <w:rFonts w:cs="David"/>
          <w:sz w:val="24"/>
          <w:szCs w:val="24"/>
          <w:rtl/>
        </w:rPr>
        <w:t>,</w:t>
      </w:r>
      <w:r w:rsidR="00DB07F1" w:rsidRPr="00DB07F1">
        <w:rPr>
          <w:rFonts w:cs="David" w:hint="cs"/>
          <w:sz w:val="24"/>
          <w:szCs w:val="24"/>
          <w:rtl/>
        </w:rPr>
        <w:t>ידעעלסבסוד</w:t>
      </w:r>
      <w:r w:rsidR="00542B1A">
        <w:rPr>
          <w:rFonts w:cs="David" w:hint="cs"/>
          <w:sz w:val="24"/>
          <w:szCs w:val="24"/>
          <w:rtl/>
        </w:rPr>
        <w:t xml:space="preserve">שניתן ע"י </w:t>
      </w:r>
      <w:r w:rsidR="00181D09">
        <w:rPr>
          <w:rFonts w:cs="David" w:hint="cs"/>
          <w:sz w:val="24"/>
          <w:szCs w:val="24"/>
          <w:rtl/>
        </w:rPr>
        <w:t>ה</w:t>
      </w:r>
      <w:r w:rsidR="00DB07F1" w:rsidRPr="00DB07F1">
        <w:rPr>
          <w:rFonts w:cs="David" w:hint="cs"/>
          <w:sz w:val="24"/>
          <w:szCs w:val="24"/>
          <w:rtl/>
        </w:rPr>
        <w:t>מדינהובחרלהעליםעובדהזוע</w:t>
      </w:r>
      <w:r w:rsidR="00DB07F1" w:rsidRPr="00DB07F1">
        <w:rPr>
          <w:rFonts w:cs="David"/>
          <w:sz w:val="24"/>
          <w:szCs w:val="24"/>
          <w:rtl/>
        </w:rPr>
        <w:t>"</w:t>
      </w:r>
      <w:r w:rsidR="00DB07F1" w:rsidRPr="00DB07F1">
        <w:rPr>
          <w:rFonts w:cs="David" w:hint="cs"/>
          <w:sz w:val="24"/>
          <w:szCs w:val="24"/>
          <w:rtl/>
        </w:rPr>
        <w:t>ישתיקתו</w:t>
      </w:r>
      <w:r w:rsidR="00DB07F1" w:rsidRPr="00DB07F1">
        <w:rPr>
          <w:rFonts w:cs="David"/>
          <w:sz w:val="24"/>
          <w:szCs w:val="24"/>
          <w:rtl/>
        </w:rPr>
        <w:t xml:space="preserve">, </w:t>
      </w:r>
      <w:r w:rsidR="00DB07F1" w:rsidRPr="00DB07F1">
        <w:rPr>
          <w:rFonts w:cs="David" w:hint="cs"/>
          <w:sz w:val="24"/>
          <w:szCs w:val="24"/>
          <w:rtl/>
        </w:rPr>
        <w:t>ולגרום</w:t>
      </w:r>
      <w:r w:rsidR="00A629B8">
        <w:rPr>
          <w:rFonts w:cs="David" w:hint="cs"/>
          <w:sz w:val="24"/>
          <w:szCs w:val="24"/>
          <w:rtl/>
        </w:rPr>
        <w:t>לשמואל</w:t>
      </w:r>
      <w:r w:rsidR="00DB07F1" w:rsidRPr="00DB07F1">
        <w:rPr>
          <w:rFonts w:cs="David" w:hint="cs"/>
          <w:sz w:val="24"/>
          <w:szCs w:val="24"/>
          <w:rtl/>
        </w:rPr>
        <w:t>להאמיןשאיןלואופציהאחרת</w:t>
      </w:r>
      <w:r w:rsidR="00DB07F1" w:rsidRPr="00DB07F1">
        <w:rPr>
          <w:rFonts w:cs="David"/>
          <w:sz w:val="24"/>
          <w:szCs w:val="24"/>
          <w:rtl/>
        </w:rPr>
        <w:t>.</w:t>
      </w:r>
      <w:r w:rsidR="00302BFA">
        <w:rPr>
          <w:rFonts w:cs="David" w:hint="cs"/>
          <w:sz w:val="24"/>
          <w:szCs w:val="24"/>
          <w:rtl/>
        </w:rPr>
        <w:t xml:space="preserve">מנגד, </w:t>
      </w:r>
      <w:r w:rsidR="00302BFA" w:rsidRPr="00302BFA">
        <w:rPr>
          <w:rFonts w:cs="David" w:hint="cs"/>
          <w:sz w:val="24"/>
          <w:szCs w:val="24"/>
          <w:rtl/>
        </w:rPr>
        <w:t>רונןיכוללטעוןכיע</w:t>
      </w:r>
      <w:r w:rsidR="00302BFA" w:rsidRPr="00302BFA">
        <w:rPr>
          <w:rFonts w:cs="David"/>
          <w:sz w:val="24"/>
          <w:szCs w:val="24"/>
          <w:rtl/>
        </w:rPr>
        <w:t>"</w:t>
      </w:r>
      <w:r w:rsidR="00302BFA" w:rsidRPr="00302BFA">
        <w:rPr>
          <w:rFonts w:cs="David" w:hint="cs"/>
          <w:sz w:val="24"/>
          <w:szCs w:val="24"/>
          <w:rtl/>
        </w:rPr>
        <w:t>פ</w:t>
      </w:r>
      <w:r w:rsidR="009A2D93" w:rsidRPr="00A629B8">
        <w:rPr>
          <w:rFonts w:cs="David" w:hint="cs"/>
          <w:b/>
          <w:bCs/>
          <w:sz w:val="24"/>
          <w:szCs w:val="24"/>
          <w:rtl/>
        </w:rPr>
        <w:t>השופט לנדוי</w:t>
      </w:r>
      <w:r w:rsidR="009A2D93" w:rsidRPr="00A629B8">
        <w:rPr>
          <w:rStyle w:val="a5"/>
          <w:rFonts w:cs="David"/>
          <w:b/>
          <w:bCs/>
          <w:sz w:val="24"/>
          <w:szCs w:val="24"/>
          <w:rtl/>
        </w:rPr>
        <w:footnoteReference w:id="10"/>
      </w:r>
      <w:r w:rsidR="00302BFA" w:rsidRPr="00A629B8">
        <w:rPr>
          <w:rFonts w:cs="David"/>
          <w:b/>
          <w:bCs/>
          <w:sz w:val="24"/>
          <w:szCs w:val="24"/>
          <w:rtl/>
        </w:rPr>
        <w:t>,</w:t>
      </w:r>
      <w:r w:rsidR="00302BFA" w:rsidRPr="00302BFA">
        <w:rPr>
          <w:rFonts w:cs="David" w:hint="cs"/>
          <w:sz w:val="24"/>
          <w:szCs w:val="24"/>
          <w:rtl/>
        </w:rPr>
        <w:t>אםשמואל</w:t>
      </w:r>
      <w:r w:rsidR="00522947">
        <w:rPr>
          <w:rFonts w:cs="David" w:hint="cs"/>
          <w:sz w:val="24"/>
          <w:szCs w:val="24"/>
          <w:rtl/>
        </w:rPr>
        <w:t>יכל</w:t>
      </w:r>
      <w:r w:rsidR="00302BFA" w:rsidRPr="00302BFA">
        <w:rPr>
          <w:rFonts w:cs="David" w:hint="cs"/>
          <w:sz w:val="24"/>
          <w:szCs w:val="24"/>
          <w:rtl/>
        </w:rPr>
        <w:t>להשיגמידעזהבכוחותעצמו</w:t>
      </w:r>
      <w:r w:rsidR="00302BFA" w:rsidRPr="00302BFA">
        <w:rPr>
          <w:rFonts w:cs="David"/>
          <w:sz w:val="24"/>
          <w:szCs w:val="24"/>
          <w:rtl/>
        </w:rPr>
        <w:t xml:space="preserve">, </w:t>
      </w:r>
      <w:r w:rsidR="00302BFA" w:rsidRPr="00302BFA">
        <w:rPr>
          <w:rFonts w:cs="David" w:hint="cs"/>
          <w:sz w:val="24"/>
          <w:szCs w:val="24"/>
          <w:rtl/>
        </w:rPr>
        <w:t>איןזהמחובתולספקמידעזהבמהלךהמו</w:t>
      </w:r>
      <w:r w:rsidR="00302BFA" w:rsidRPr="00302BFA">
        <w:rPr>
          <w:rFonts w:cs="David"/>
          <w:sz w:val="24"/>
          <w:szCs w:val="24"/>
          <w:rtl/>
        </w:rPr>
        <w:t>"</w:t>
      </w:r>
      <w:r w:rsidR="00302BFA" w:rsidRPr="00302BFA">
        <w:rPr>
          <w:rFonts w:cs="David" w:hint="cs"/>
          <w:sz w:val="24"/>
          <w:szCs w:val="24"/>
          <w:rtl/>
        </w:rPr>
        <w:t>מגםאםברורלו</w:t>
      </w:r>
      <w:r w:rsidR="00181D09">
        <w:rPr>
          <w:rFonts w:cs="David" w:hint="cs"/>
          <w:sz w:val="24"/>
          <w:szCs w:val="24"/>
          <w:rtl/>
        </w:rPr>
        <w:t xml:space="preserve">שהוא </w:t>
      </w:r>
      <w:r w:rsidR="00302BFA" w:rsidRPr="00302BFA">
        <w:rPr>
          <w:rFonts w:cs="David" w:hint="cs"/>
          <w:sz w:val="24"/>
          <w:szCs w:val="24"/>
          <w:rtl/>
        </w:rPr>
        <w:t>לא</w:t>
      </w:r>
      <w:r w:rsidR="00181D09">
        <w:rPr>
          <w:rFonts w:cs="David" w:hint="cs"/>
          <w:sz w:val="24"/>
          <w:szCs w:val="24"/>
          <w:rtl/>
        </w:rPr>
        <w:t>ידוע</w:t>
      </w:r>
      <w:r w:rsidR="00302BFA" w:rsidRPr="00302BFA">
        <w:rPr>
          <w:rFonts w:cs="David" w:hint="cs"/>
          <w:sz w:val="24"/>
          <w:szCs w:val="24"/>
          <w:rtl/>
        </w:rPr>
        <w:t>לשמואל</w:t>
      </w:r>
      <w:r w:rsidR="00BC5D04">
        <w:rPr>
          <w:rFonts w:cs="David" w:hint="cs"/>
          <w:sz w:val="24"/>
          <w:szCs w:val="24"/>
          <w:rtl/>
        </w:rPr>
        <w:t>, זאת בבחינת "יזהר הקונה"</w:t>
      </w:r>
      <w:r w:rsidR="00BC5D04">
        <w:rPr>
          <w:rStyle w:val="a5"/>
          <w:rFonts w:cs="David"/>
          <w:sz w:val="24"/>
          <w:szCs w:val="24"/>
          <w:rtl/>
        </w:rPr>
        <w:footnoteReference w:id="11"/>
      </w:r>
      <w:r w:rsidR="00BC5D04">
        <w:rPr>
          <w:rFonts w:cs="David" w:hint="cs"/>
          <w:sz w:val="24"/>
          <w:szCs w:val="24"/>
          <w:rtl/>
        </w:rPr>
        <w:t>, אם לקונה הייתה אפשרות לבדוק את הפרטים בעצמוזאת אחריותו לעשות כן</w:t>
      </w:r>
      <w:r w:rsidR="00302BFA" w:rsidRPr="00302BFA">
        <w:rPr>
          <w:rFonts w:cs="David"/>
          <w:sz w:val="24"/>
          <w:szCs w:val="24"/>
          <w:rtl/>
        </w:rPr>
        <w:t>.</w:t>
      </w:r>
      <w:r w:rsidR="00522947">
        <w:rPr>
          <w:rFonts w:cs="David" w:hint="cs"/>
          <w:sz w:val="24"/>
          <w:szCs w:val="24"/>
          <w:rtl/>
        </w:rPr>
        <w:t xml:space="preserve"> שמואל יטען, </w:t>
      </w:r>
      <w:r w:rsidR="00F40BE4">
        <w:rPr>
          <w:rFonts w:cs="David" w:hint="cs"/>
          <w:sz w:val="24"/>
          <w:szCs w:val="24"/>
          <w:rtl/>
        </w:rPr>
        <w:t xml:space="preserve">כי לפי </w:t>
      </w:r>
      <w:r w:rsidR="00F40BE4" w:rsidRPr="00A629B8">
        <w:rPr>
          <w:rFonts w:cs="David" w:hint="cs"/>
          <w:b/>
          <w:bCs/>
          <w:sz w:val="24"/>
          <w:szCs w:val="24"/>
          <w:rtl/>
        </w:rPr>
        <w:t>השופט אשר</w:t>
      </w:r>
      <w:r w:rsidR="00302BFA">
        <w:rPr>
          <w:rStyle w:val="a5"/>
          <w:rFonts w:cs="David"/>
          <w:sz w:val="24"/>
          <w:szCs w:val="24"/>
          <w:rtl/>
        </w:rPr>
        <w:footnoteReference w:id="12"/>
      </w:r>
      <w:r w:rsidR="00522947">
        <w:rPr>
          <w:rFonts w:cs="David" w:hint="cs"/>
          <w:sz w:val="24"/>
          <w:szCs w:val="24"/>
          <w:rtl/>
        </w:rPr>
        <w:t>,</w:t>
      </w:r>
      <w:r w:rsidR="00302BFA" w:rsidRPr="00302BFA">
        <w:rPr>
          <w:rFonts w:cs="David" w:hint="cs"/>
          <w:sz w:val="24"/>
          <w:szCs w:val="24"/>
          <w:rtl/>
        </w:rPr>
        <w:t>כאשרברורשלצדהשניאיןידיעהבדברקיומןשלעובדותחשובותלהחלטתו</w:t>
      </w:r>
      <w:r w:rsidR="00302BFA" w:rsidRPr="00302BFA">
        <w:rPr>
          <w:rFonts w:cs="David"/>
          <w:sz w:val="24"/>
          <w:szCs w:val="24"/>
          <w:rtl/>
        </w:rPr>
        <w:t xml:space="preserve">, </w:t>
      </w:r>
      <w:r w:rsidR="00302BFA" w:rsidRPr="00302BFA">
        <w:rPr>
          <w:rFonts w:cs="David" w:hint="cs"/>
          <w:sz w:val="24"/>
          <w:szCs w:val="24"/>
          <w:rtl/>
        </w:rPr>
        <w:t>ישלגלותןלואפילואםיכללהשיגןבעצמולפניסיוםהמו</w:t>
      </w:r>
      <w:r w:rsidR="00302BFA" w:rsidRPr="00302BFA">
        <w:rPr>
          <w:rFonts w:cs="David"/>
          <w:sz w:val="24"/>
          <w:szCs w:val="24"/>
          <w:rtl/>
        </w:rPr>
        <w:t>"</w:t>
      </w:r>
      <w:r w:rsidR="00302BFA" w:rsidRPr="00302BFA">
        <w:rPr>
          <w:rFonts w:cs="David" w:hint="cs"/>
          <w:sz w:val="24"/>
          <w:szCs w:val="24"/>
          <w:rtl/>
        </w:rPr>
        <w:t>מ</w:t>
      </w:r>
      <w:r w:rsidR="00522947">
        <w:rPr>
          <w:rFonts w:cs="David" w:hint="cs"/>
          <w:sz w:val="24"/>
          <w:szCs w:val="24"/>
          <w:rtl/>
        </w:rPr>
        <w:t xml:space="preserve"> (זו פרשנות</w:t>
      </w:r>
      <w:r w:rsidR="00F40BE4">
        <w:rPr>
          <w:rFonts w:cs="David" w:hint="cs"/>
          <w:sz w:val="24"/>
          <w:szCs w:val="24"/>
          <w:rtl/>
        </w:rPr>
        <w:t>השופט</w:t>
      </w:r>
      <w:r w:rsidR="00A629B8">
        <w:rPr>
          <w:rFonts w:cs="David" w:hint="cs"/>
          <w:sz w:val="24"/>
          <w:szCs w:val="24"/>
          <w:rtl/>
        </w:rPr>
        <w:t xml:space="preserve"> אשר</w:t>
      </w:r>
      <w:r w:rsidR="00F40BE4">
        <w:rPr>
          <w:rFonts w:cs="David" w:hint="cs"/>
          <w:sz w:val="24"/>
          <w:szCs w:val="24"/>
          <w:rtl/>
        </w:rPr>
        <w:t xml:space="preserve"> לדברי ג' שלו)</w:t>
      </w:r>
      <w:r w:rsidR="00F40BE4">
        <w:rPr>
          <w:rFonts w:cs="David"/>
          <w:sz w:val="24"/>
          <w:szCs w:val="24"/>
          <w:rtl/>
        </w:rPr>
        <w:t>.</w:t>
      </w:r>
    </w:p>
    <w:p w:rsidR="007347E0" w:rsidRPr="0026200B" w:rsidRDefault="00DA3048" w:rsidP="00DD3254">
      <w:pPr>
        <w:keepNext/>
        <w:spacing w:line="360" w:lineRule="auto"/>
        <w:rPr>
          <w:rFonts w:cs="David"/>
          <w:sz w:val="24"/>
          <w:szCs w:val="24"/>
          <w:rtl/>
        </w:rPr>
      </w:pPr>
      <w:r>
        <w:rPr>
          <w:rFonts w:cs="David" w:hint="cs"/>
          <w:sz w:val="24"/>
          <w:szCs w:val="24"/>
          <w:rtl/>
        </w:rPr>
        <w:lastRenderedPageBreak/>
        <w:t xml:space="preserve">לפי גישתו של </w:t>
      </w:r>
      <w:r w:rsidRPr="00A40E8D">
        <w:rPr>
          <w:rFonts w:cs="David" w:hint="cs"/>
          <w:b/>
          <w:bCs/>
          <w:sz w:val="24"/>
          <w:szCs w:val="24"/>
          <w:rtl/>
        </w:rPr>
        <w:t>אנתוני קרונמן</w:t>
      </w:r>
      <w:r>
        <w:rPr>
          <w:rStyle w:val="a5"/>
          <w:rFonts w:cs="David"/>
          <w:sz w:val="24"/>
          <w:szCs w:val="24"/>
          <w:rtl/>
        </w:rPr>
        <w:footnoteReference w:id="13"/>
      </w:r>
      <w:r>
        <w:rPr>
          <w:rFonts w:cs="David" w:hint="cs"/>
          <w:sz w:val="24"/>
          <w:szCs w:val="24"/>
          <w:rtl/>
        </w:rPr>
        <w:t xml:space="preserve"> יש להבדיל בין שני סוגים של מידע- </w:t>
      </w:r>
      <w:r w:rsidRPr="00DA3048">
        <w:rPr>
          <w:rFonts w:cs="David" w:hint="cs"/>
          <w:b/>
          <w:bCs/>
          <w:sz w:val="24"/>
          <w:szCs w:val="24"/>
          <w:rtl/>
        </w:rPr>
        <w:t>מידע אקראי</w:t>
      </w:r>
      <w:r w:rsidR="00A9171A">
        <w:rPr>
          <w:rFonts w:cs="David" w:hint="cs"/>
          <w:sz w:val="24"/>
          <w:szCs w:val="24"/>
          <w:rtl/>
        </w:rPr>
        <w:t>-</w:t>
      </w:r>
      <w:r w:rsidR="00A03215">
        <w:rPr>
          <w:rFonts w:cs="David" w:hint="cs"/>
          <w:sz w:val="24"/>
          <w:szCs w:val="24"/>
          <w:rtl/>
        </w:rPr>
        <w:t xml:space="preserve"> מידע שהושג באקראי, שלא הושקע במיוחד מאמץ או כסף להשגתו. </w:t>
      </w:r>
      <w:r w:rsidR="00A03215">
        <w:rPr>
          <w:rFonts w:cs="David" w:hint="cs"/>
          <w:b/>
          <w:bCs/>
          <w:sz w:val="24"/>
          <w:szCs w:val="24"/>
          <w:rtl/>
        </w:rPr>
        <w:t>מידע שנרכש במכוון-</w:t>
      </w:r>
      <w:r w:rsidR="00A03215">
        <w:rPr>
          <w:rFonts w:cs="David" w:hint="cs"/>
          <w:sz w:val="24"/>
          <w:szCs w:val="24"/>
          <w:rtl/>
        </w:rPr>
        <w:t xml:space="preserve"> מידע שהושקע מאמץ מיוחד או כסף לצורך השגתו. לדעת קרונמן, אין להטיל חובת גילוי על מידע שנרכש במכוון, זאת</w:t>
      </w:r>
      <w:r w:rsidR="00902313">
        <w:rPr>
          <w:rFonts w:cs="David" w:hint="cs"/>
          <w:sz w:val="24"/>
          <w:szCs w:val="24"/>
          <w:rtl/>
        </w:rPr>
        <w:t xml:space="preserve"> כדי לא לרפות את ידי אלו המשקיעים מאמץ וכסף מלעשות זאת בעתיד. </w:t>
      </w:r>
      <w:r w:rsidR="00DD3254">
        <w:rPr>
          <w:rFonts w:cs="David" w:hint="cs"/>
          <w:sz w:val="24"/>
          <w:szCs w:val="24"/>
          <w:rtl/>
        </w:rPr>
        <w:t>ובמקרה דנן, רונן לא התאמץ ע"מ להשיג את המידע, שכן סביר להניח שרונן בתור בעלים של בית אבות כבר החזיק במידע זה ולכן מוטלת עליו חובת גילוי.</w:t>
      </w:r>
      <w:r w:rsidR="00DD3254">
        <w:rPr>
          <w:rFonts w:cs="David"/>
          <w:sz w:val="24"/>
          <w:szCs w:val="24"/>
          <w:rtl/>
        </w:rPr>
        <w:br/>
      </w:r>
      <w:r w:rsidR="00F40BE4" w:rsidRPr="00F40BE4">
        <w:rPr>
          <w:rFonts w:cs="David" w:hint="cs"/>
          <w:sz w:val="24"/>
          <w:szCs w:val="24"/>
          <w:rtl/>
        </w:rPr>
        <w:t>ע</w:t>
      </w:r>
      <w:r w:rsidR="00F40BE4" w:rsidRPr="00F40BE4">
        <w:rPr>
          <w:rFonts w:cs="David"/>
          <w:sz w:val="24"/>
          <w:szCs w:val="24"/>
          <w:rtl/>
        </w:rPr>
        <w:t>"</w:t>
      </w:r>
      <w:r w:rsidR="00F40BE4" w:rsidRPr="00F40BE4">
        <w:rPr>
          <w:rFonts w:cs="David" w:hint="cs"/>
          <w:sz w:val="24"/>
          <w:szCs w:val="24"/>
          <w:rtl/>
        </w:rPr>
        <w:t>פסעיף</w:t>
      </w:r>
      <w:r w:rsidR="00F40BE4" w:rsidRPr="00F40BE4">
        <w:rPr>
          <w:rFonts w:cs="David"/>
          <w:sz w:val="24"/>
          <w:szCs w:val="24"/>
          <w:rtl/>
        </w:rPr>
        <w:t xml:space="preserve"> 15 </w:t>
      </w:r>
      <w:r w:rsidR="00F40BE4" w:rsidRPr="00F40BE4">
        <w:rPr>
          <w:rFonts w:cs="David" w:hint="cs"/>
          <w:sz w:val="24"/>
          <w:szCs w:val="24"/>
          <w:rtl/>
        </w:rPr>
        <w:t>לחוקהחוזיםהטעיהיכולהלהיותע</w:t>
      </w:r>
      <w:r w:rsidR="00F40BE4" w:rsidRPr="00F40BE4">
        <w:rPr>
          <w:rFonts w:cs="David"/>
          <w:sz w:val="24"/>
          <w:szCs w:val="24"/>
          <w:rtl/>
        </w:rPr>
        <w:t>"</w:t>
      </w:r>
      <w:r w:rsidR="00F40BE4" w:rsidRPr="00F40BE4">
        <w:rPr>
          <w:rFonts w:cs="David" w:hint="cs"/>
          <w:sz w:val="24"/>
          <w:szCs w:val="24"/>
          <w:rtl/>
        </w:rPr>
        <w:t>יאיגילויןשלעובדותאשרלפידין</w:t>
      </w:r>
      <w:r w:rsidR="007347E0">
        <w:rPr>
          <w:rFonts w:cs="David" w:hint="cs"/>
          <w:sz w:val="24"/>
          <w:szCs w:val="24"/>
          <w:rtl/>
        </w:rPr>
        <w:t xml:space="preserve">, </w:t>
      </w:r>
      <w:r w:rsidR="00F40BE4" w:rsidRPr="00F40BE4">
        <w:rPr>
          <w:rFonts w:cs="David" w:hint="cs"/>
          <w:sz w:val="24"/>
          <w:szCs w:val="24"/>
          <w:rtl/>
        </w:rPr>
        <w:t>נוהגאוהנסיבותהיהעלהצדהשנילגלותן</w:t>
      </w:r>
      <w:r w:rsidR="00F40BE4">
        <w:rPr>
          <w:rStyle w:val="a5"/>
          <w:rFonts w:cs="David"/>
          <w:sz w:val="24"/>
          <w:szCs w:val="24"/>
          <w:rtl/>
        </w:rPr>
        <w:footnoteReference w:id="14"/>
      </w:r>
      <w:r w:rsidR="00CF60C7">
        <w:rPr>
          <w:rFonts w:cs="David" w:hint="cs"/>
          <w:sz w:val="24"/>
          <w:szCs w:val="24"/>
          <w:rtl/>
        </w:rPr>
        <w:t xml:space="preserve">. </w:t>
      </w:r>
      <w:r w:rsidR="00F40BE4" w:rsidRPr="00F40BE4">
        <w:rPr>
          <w:rFonts w:cs="David" w:hint="cs"/>
          <w:sz w:val="24"/>
          <w:szCs w:val="24"/>
          <w:rtl/>
        </w:rPr>
        <w:t>במקרהדנן</w:t>
      </w:r>
      <w:r w:rsidR="00F40BE4" w:rsidRPr="00F40BE4">
        <w:rPr>
          <w:rFonts w:cs="David"/>
          <w:sz w:val="24"/>
          <w:szCs w:val="24"/>
          <w:rtl/>
        </w:rPr>
        <w:t>,</w:t>
      </w:r>
      <w:r w:rsidR="00F40BE4" w:rsidRPr="00F40BE4">
        <w:rPr>
          <w:rFonts w:cs="David" w:hint="cs"/>
          <w:sz w:val="24"/>
          <w:szCs w:val="24"/>
          <w:rtl/>
        </w:rPr>
        <w:t>שמואליטעןשעלרונןחלה</w:t>
      </w:r>
      <w:r w:rsidR="00F40BE4" w:rsidRPr="001B5475">
        <w:rPr>
          <w:rFonts w:cs="David" w:hint="cs"/>
          <w:sz w:val="24"/>
          <w:szCs w:val="24"/>
          <w:u w:val="single"/>
          <w:rtl/>
        </w:rPr>
        <w:t>חובתגילוי</w:t>
      </w:r>
      <w:r w:rsidR="00F40BE4" w:rsidRPr="00CF60C7">
        <w:rPr>
          <w:rFonts w:cs="David" w:hint="cs"/>
          <w:sz w:val="24"/>
          <w:szCs w:val="24"/>
          <w:u w:val="single"/>
          <w:rtl/>
        </w:rPr>
        <w:t>ע</w:t>
      </w:r>
      <w:r w:rsidR="00F40BE4" w:rsidRPr="00CF60C7">
        <w:rPr>
          <w:rFonts w:cs="David"/>
          <w:sz w:val="24"/>
          <w:szCs w:val="24"/>
          <w:u w:val="single"/>
          <w:rtl/>
        </w:rPr>
        <w:t>"</w:t>
      </w:r>
      <w:r w:rsidR="00F40BE4" w:rsidRPr="00CF60C7">
        <w:rPr>
          <w:rFonts w:cs="David" w:hint="cs"/>
          <w:sz w:val="24"/>
          <w:szCs w:val="24"/>
          <w:u w:val="single"/>
          <w:rtl/>
        </w:rPr>
        <w:t>פדין</w:t>
      </w:r>
      <w:r w:rsidR="00F40BE4" w:rsidRPr="00F40BE4">
        <w:rPr>
          <w:rFonts w:cs="David" w:hint="cs"/>
          <w:sz w:val="24"/>
          <w:szCs w:val="24"/>
          <w:rtl/>
        </w:rPr>
        <w:t>המעוגןבסעיף</w:t>
      </w:r>
      <w:r w:rsidR="00F40BE4" w:rsidRPr="00F40BE4">
        <w:rPr>
          <w:rFonts w:cs="David"/>
          <w:sz w:val="24"/>
          <w:szCs w:val="24"/>
          <w:rtl/>
        </w:rPr>
        <w:t xml:space="preserve"> 12 </w:t>
      </w:r>
      <w:r w:rsidR="00F40BE4" w:rsidRPr="00F40BE4">
        <w:rPr>
          <w:rFonts w:cs="David" w:hint="cs"/>
          <w:sz w:val="24"/>
          <w:szCs w:val="24"/>
          <w:rtl/>
        </w:rPr>
        <w:t>לחוקהחוזים</w:t>
      </w:r>
      <w:r w:rsidR="00F40BE4">
        <w:rPr>
          <w:rStyle w:val="a5"/>
          <w:rFonts w:cs="David"/>
          <w:sz w:val="24"/>
          <w:szCs w:val="24"/>
          <w:rtl/>
        </w:rPr>
        <w:footnoteReference w:id="15"/>
      </w:r>
      <w:r w:rsidR="00F40BE4">
        <w:rPr>
          <w:rFonts w:cs="David"/>
          <w:sz w:val="24"/>
          <w:szCs w:val="24"/>
          <w:rtl/>
        </w:rPr>
        <w:t>,</w:t>
      </w:r>
      <w:r w:rsidR="00F40BE4" w:rsidRPr="00F40BE4">
        <w:rPr>
          <w:rFonts w:cs="David" w:hint="cs"/>
          <w:sz w:val="24"/>
          <w:szCs w:val="24"/>
          <w:rtl/>
        </w:rPr>
        <w:t>לפיוישנהחובהלנהוגבתוםלבבעתמו</w:t>
      </w:r>
      <w:r w:rsidR="00F40BE4" w:rsidRPr="00F40BE4">
        <w:rPr>
          <w:rFonts w:cs="David"/>
          <w:sz w:val="24"/>
          <w:szCs w:val="24"/>
          <w:rtl/>
        </w:rPr>
        <w:t>"</w:t>
      </w:r>
      <w:r w:rsidR="00F40BE4" w:rsidRPr="00F40BE4">
        <w:rPr>
          <w:rFonts w:cs="David" w:hint="cs"/>
          <w:sz w:val="24"/>
          <w:szCs w:val="24"/>
          <w:rtl/>
        </w:rPr>
        <w:t>מלכריתתחוזה</w:t>
      </w:r>
      <w:r w:rsidR="00542B1A">
        <w:rPr>
          <w:rFonts w:cs="David" w:hint="cs"/>
          <w:sz w:val="24"/>
          <w:szCs w:val="24"/>
          <w:rtl/>
        </w:rPr>
        <w:t>,</w:t>
      </w:r>
      <w:r w:rsidR="00F40BE4" w:rsidRPr="00F40BE4">
        <w:rPr>
          <w:rFonts w:cs="David" w:hint="cs"/>
          <w:sz w:val="24"/>
          <w:szCs w:val="24"/>
          <w:rtl/>
        </w:rPr>
        <w:t>מחובתושלסעיףזהנגזרתחובתגילויןשלעובדותמהותיותבעתהמו</w:t>
      </w:r>
      <w:r w:rsidR="00F40BE4" w:rsidRPr="00F40BE4">
        <w:rPr>
          <w:rFonts w:cs="David"/>
          <w:sz w:val="24"/>
          <w:szCs w:val="24"/>
          <w:rtl/>
        </w:rPr>
        <w:t>"</w:t>
      </w:r>
      <w:r w:rsidR="00F40BE4" w:rsidRPr="00F40BE4">
        <w:rPr>
          <w:rFonts w:cs="David" w:hint="cs"/>
          <w:sz w:val="24"/>
          <w:szCs w:val="24"/>
          <w:rtl/>
        </w:rPr>
        <w:t>מ</w:t>
      </w:r>
      <w:r w:rsidR="00BE4A73">
        <w:rPr>
          <w:rFonts w:cs="David" w:hint="cs"/>
          <w:sz w:val="24"/>
          <w:szCs w:val="24"/>
          <w:rtl/>
        </w:rPr>
        <w:t xml:space="preserve"> אי גילוי מהווה הפרה של חובת תום הלב</w:t>
      </w:r>
      <w:r w:rsidR="00F40BE4">
        <w:rPr>
          <w:rStyle w:val="a5"/>
          <w:rFonts w:cs="David"/>
          <w:sz w:val="24"/>
          <w:szCs w:val="24"/>
          <w:rtl/>
        </w:rPr>
        <w:footnoteReference w:id="16"/>
      </w:r>
      <w:r w:rsidR="00BE4A73">
        <w:rPr>
          <w:rFonts w:cs="David" w:hint="cs"/>
          <w:sz w:val="24"/>
          <w:szCs w:val="24"/>
          <w:rtl/>
        </w:rPr>
        <w:t xml:space="preserve"> . </w:t>
      </w:r>
      <w:r w:rsidR="00F40BE4" w:rsidRPr="00F40BE4">
        <w:rPr>
          <w:rFonts w:cs="David" w:hint="cs"/>
          <w:sz w:val="24"/>
          <w:szCs w:val="24"/>
          <w:rtl/>
        </w:rPr>
        <w:t>רונןשעוסקבתחום</w:t>
      </w:r>
      <w:r w:rsidR="00D36195">
        <w:rPr>
          <w:rFonts w:cs="David" w:hint="cs"/>
          <w:sz w:val="24"/>
          <w:szCs w:val="24"/>
          <w:rtl/>
        </w:rPr>
        <w:t>ו</w:t>
      </w:r>
      <w:r w:rsidR="00F40BE4" w:rsidRPr="00F40BE4">
        <w:rPr>
          <w:rFonts w:cs="David" w:hint="cs"/>
          <w:sz w:val="24"/>
          <w:szCs w:val="24"/>
          <w:rtl/>
        </w:rPr>
        <w:t>דאיידעעלזכאותושלשמואללסבסוד</w:t>
      </w:r>
      <w:r w:rsidR="007347E0">
        <w:rPr>
          <w:rFonts w:cs="David" w:hint="cs"/>
          <w:sz w:val="24"/>
          <w:szCs w:val="24"/>
          <w:rtl/>
        </w:rPr>
        <w:t>מ</w:t>
      </w:r>
      <w:r w:rsidR="00F40BE4" w:rsidRPr="00F40BE4">
        <w:rPr>
          <w:rFonts w:cs="David" w:hint="cs"/>
          <w:sz w:val="24"/>
          <w:szCs w:val="24"/>
          <w:rtl/>
        </w:rPr>
        <w:t>המדינהאךבחרלהסתירזאתמתוךדאגהלאינטרסיםהאישייםשלו</w:t>
      </w:r>
      <w:r w:rsidR="00F40BE4" w:rsidRPr="00F40BE4">
        <w:rPr>
          <w:rFonts w:cs="David"/>
          <w:sz w:val="24"/>
          <w:szCs w:val="24"/>
          <w:rtl/>
        </w:rPr>
        <w:t>,</w:t>
      </w:r>
      <w:r w:rsidR="00F40BE4" w:rsidRPr="00F40BE4">
        <w:rPr>
          <w:rFonts w:cs="David" w:hint="cs"/>
          <w:sz w:val="24"/>
          <w:szCs w:val="24"/>
          <w:rtl/>
        </w:rPr>
        <w:t>בכךישמשום</w:t>
      </w:r>
      <w:r w:rsidR="00F40BE4" w:rsidRPr="00F40BE4">
        <w:rPr>
          <w:rFonts w:cs="David"/>
          <w:sz w:val="24"/>
          <w:szCs w:val="24"/>
          <w:rtl/>
        </w:rPr>
        <w:t xml:space="preserve"> "</w:t>
      </w:r>
      <w:r w:rsidR="00F40BE4" w:rsidRPr="00F40BE4">
        <w:rPr>
          <w:rFonts w:cs="David" w:hint="cs"/>
          <w:sz w:val="24"/>
          <w:szCs w:val="24"/>
          <w:rtl/>
        </w:rPr>
        <w:t>דופימוסרי</w:t>
      </w:r>
      <w:r w:rsidR="00F40BE4">
        <w:rPr>
          <w:rFonts w:cs="David"/>
          <w:sz w:val="24"/>
          <w:szCs w:val="24"/>
          <w:rtl/>
        </w:rPr>
        <w:t>"</w:t>
      </w:r>
      <w:r w:rsidR="00F40BE4">
        <w:rPr>
          <w:rStyle w:val="a5"/>
          <w:rFonts w:cs="David"/>
          <w:sz w:val="24"/>
          <w:szCs w:val="24"/>
          <w:rtl/>
        </w:rPr>
        <w:footnoteReference w:id="17"/>
      </w:r>
      <w:r w:rsidR="00F40BE4" w:rsidRPr="00F40BE4">
        <w:rPr>
          <w:rFonts w:cs="David"/>
          <w:sz w:val="24"/>
          <w:szCs w:val="24"/>
          <w:rtl/>
        </w:rPr>
        <w:t xml:space="preserve">, </w:t>
      </w:r>
      <w:r w:rsidR="00F40BE4" w:rsidRPr="00F40BE4">
        <w:rPr>
          <w:rFonts w:cs="David" w:hint="cs"/>
          <w:sz w:val="24"/>
          <w:szCs w:val="24"/>
          <w:rtl/>
        </w:rPr>
        <w:t>שכן</w:t>
      </w:r>
      <w:r w:rsidR="00F40BE4" w:rsidRPr="00CF60C7">
        <w:rPr>
          <w:rFonts w:cs="David" w:hint="cs"/>
          <w:sz w:val="24"/>
          <w:szCs w:val="24"/>
          <w:u w:val="single"/>
          <w:rtl/>
        </w:rPr>
        <w:t>ביודעין</w:t>
      </w:r>
      <w:r w:rsidR="00F40BE4" w:rsidRPr="00F40BE4">
        <w:rPr>
          <w:rFonts w:cs="David" w:hint="cs"/>
          <w:sz w:val="24"/>
          <w:szCs w:val="24"/>
          <w:rtl/>
        </w:rPr>
        <w:t>הואהטעהאתשמואל</w:t>
      </w:r>
      <w:r w:rsidR="00F40BE4" w:rsidRPr="00F40BE4">
        <w:rPr>
          <w:rFonts w:cs="David"/>
          <w:sz w:val="24"/>
          <w:szCs w:val="24"/>
          <w:rtl/>
        </w:rPr>
        <w:t>.</w:t>
      </w:r>
      <w:r w:rsidR="00A80F86">
        <w:rPr>
          <w:rFonts w:cs="David" w:hint="cs"/>
          <w:sz w:val="24"/>
          <w:szCs w:val="24"/>
          <w:rtl/>
        </w:rPr>
        <w:t>בנוסף,על רונן חלה חובת גילוי ע"פ</w:t>
      </w:r>
      <w:r w:rsidR="00542B1A">
        <w:rPr>
          <w:rFonts w:cs="David" w:hint="cs"/>
          <w:sz w:val="24"/>
          <w:szCs w:val="24"/>
          <w:rtl/>
        </w:rPr>
        <w:t xml:space="preserve">סעיף 16 לחוק </w:t>
      </w:r>
      <w:r w:rsidR="00A80F86">
        <w:rPr>
          <w:rFonts w:cs="David" w:hint="cs"/>
          <w:sz w:val="24"/>
          <w:szCs w:val="24"/>
          <w:rtl/>
        </w:rPr>
        <w:t>המכר</w:t>
      </w:r>
      <w:r w:rsidR="00A80F86">
        <w:rPr>
          <w:rStyle w:val="a5"/>
          <w:rFonts w:cs="David"/>
          <w:sz w:val="24"/>
          <w:szCs w:val="24"/>
          <w:rtl/>
        </w:rPr>
        <w:footnoteReference w:id="18"/>
      </w:r>
      <w:r w:rsidR="001A5B7F">
        <w:rPr>
          <w:rStyle w:val="a5"/>
          <w:rFonts w:cs="David"/>
          <w:sz w:val="24"/>
          <w:szCs w:val="24"/>
          <w:rtl/>
        </w:rPr>
        <w:footnoteReference w:id="19"/>
      </w:r>
      <w:r w:rsidR="00A80F86">
        <w:rPr>
          <w:rFonts w:cs="David" w:hint="cs"/>
          <w:sz w:val="24"/>
          <w:szCs w:val="24"/>
          <w:rtl/>
        </w:rPr>
        <w:t>, סעיף זה מטיל חובת גילוי של עובדות</w:t>
      </w:r>
      <w:r w:rsidR="00522947">
        <w:rPr>
          <w:rFonts w:cs="David" w:hint="cs"/>
          <w:sz w:val="24"/>
          <w:szCs w:val="24"/>
          <w:rtl/>
        </w:rPr>
        <w:t>חיוניות</w:t>
      </w:r>
      <w:r w:rsidR="00A80F86">
        <w:rPr>
          <w:rFonts w:cs="David" w:hint="cs"/>
          <w:sz w:val="24"/>
          <w:szCs w:val="24"/>
          <w:rtl/>
        </w:rPr>
        <w:t xml:space="preserve"> שהיה על הצד השני לחוזה לדעת,</w:t>
      </w:r>
      <w:r w:rsidR="00EA409A">
        <w:rPr>
          <w:rFonts w:cs="David" w:hint="cs"/>
          <w:sz w:val="24"/>
          <w:szCs w:val="24"/>
          <w:rtl/>
        </w:rPr>
        <w:t>ו</w:t>
      </w:r>
      <w:r w:rsidR="00A80F86">
        <w:rPr>
          <w:rFonts w:cs="David" w:hint="cs"/>
          <w:sz w:val="24"/>
          <w:szCs w:val="24"/>
          <w:rtl/>
        </w:rPr>
        <w:t>הרי ברור שההטעיה נבע</w:t>
      </w:r>
      <w:r w:rsidR="00915120">
        <w:rPr>
          <w:rFonts w:cs="David" w:hint="cs"/>
          <w:sz w:val="24"/>
          <w:szCs w:val="24"/>
          <w:rtl/>
        </w:rPr>
        <w:t>ה מעובדות שהוסתרו משמואל. מנגד, רונן יטען כי יתכן שבאי גילוי העובדות הוא הטעה את</w:t>
      </w:r>
      <w:r w:rsidR="005D0E3A">
        <w:rPr>
          <w:rFonts w:cs="David" w:hint="cs"/>
          <w:sz w:val="24"/>
          <w:szCs w:val="24"/>
          <w:rtl/>
        </w:rPr>
        <w:t xml:space="preserve"> שמואל, אך לא מתוך כוונה זדונית להטעות,</w:t>
      </w:r>
      <w:r w:rsidR="00915120">
        <w:rPr>
          <w:rFonts w:cs="David" w:hint="cs"/>
          <w:sz w:val="24"/>
          <w:szCs w:val="24"/>
          <w:rtl/>
        </w:rPr>
        <w:t xml:space="preserve"> ההט</w:t>
      </w:r>
      <w:r w:rsidR="00BF36B4">
        <w:rPr>
          <w:rFonts w:cs="David" w:hint="cs"/>
          <w:sz w:val="24"/>
          <w:szCs w:val="24"/>
          <w:rtl/>
        </w:rPr>
        <w:t>עיה נעשתה ברשלנות ו</w:t>
      </w:r>
      <w:r w:rsidR="00542B1A">
        <w:rPr>
          <w:rFonts w:cs="David" w:hint="cs"/>
          <w:sz w:val="24"/>
          <w:szCs w:val="24"/>
          <w:rtl/>
        </w:rPr>
        <w:t>ב</w:t>
      </w:r>
      <w:r w:rsidR="00BF36B4">
        <w:rPr>
          <w:rFonts w:cs="David" w:hint="cs"/>
          <w:sz w:val="24"/>
          <w:szCs w:val="24"/>
          <w:rtl/>
        </w:rPr>
        <w:t>תום לב</w:t>
      </w:r>
      <w:r w:rsidR="005D0E3A">
        <w:rPr>
          <w:rStyle w:val="a5"/>
          <w:rFonts w:cs="David"/>
          <w:sz w:val="24"/>
          <w:szCs w:val="24"/>
          <w:rtl/>
        </w:rPr>
        <w:footnoteReference w:id="20"/>
      </w:r>
      <w:r w:rsidR="00BF36B4">
        <w:rPr>
          <w:rFonts w:cs="David" w:hint="cs"/>
          <w:sz w:val="24"/>
          <w:szCs w:val="24"/>
          <w:rtl/>
        </w:rPr>
        <w:t xml:space="preserve">  ו</w:t>
      </w:r>
      <w:r w:rsidR="005D0E3A">
        <w:rPr>
          <w:rFonts w:cs="David" w:hint="cs"/>
          <w:sz w:val="24"/>
          <w:szCs w:val="24"/>
          <w:rtl/>
        </w:rPr>
        <w:t xml:space="preserve">לא בכוונה תחילה. </w:t>
      </w:r>
      <w:r w:rsidR="00CF60C7" w:rsidRPr="001B5475">
        <w:rPr>
          <w:rFonts w:cs="David" w:hint="cs"/>
          <w:sz w:val="24"/>
          <w:szCs w:val="24"/>
          <w:u w:val="single"/>
          <w:rtl/>
        </w:rPr>
        <w:t>חובת גילוי</w:t>
      </w:r>
      <w:r w:rsidR="00CF60C7" w:rsidRPr="00CF60C7">
        <w:rPr>
          <w:rFonts w:cs="David" w:hint="cs"/>
          <w:sz w:val="24"/>
          <w:szCs w:val="24"/>
          <w:u w:val="single"/>
          <w:rtl/>
        </w:rPr>
        <w:t xml:space="preserve"> ע"פ נוהג</w:t>
      </w:r>
      <w:r w:rsidR="001A5B7F">
        <w:rPr>
          <w:rFonts w:cs="David"/>
          <w:sz w:val="24"/>
          <w:szCs w:val="24"/>
          <w:rtl/>
        </w:rPr>
        <w:t>–</w:t>
      </w:r>
      <w:r w:rsidR="001B5475">
        <w:rPr>
          <w:rFonts w:cs="David" w:hint="cs"/>
          <w:sz w:val="24"/>
          <w:szCs w:val="24"/>
          <w:rtl/>
        </w:rPr>
        <w:t xml:space="preserve"> ישנם מקרים שבהם ניתן להצביע על נוהג של גילוי פרטים מסוי</w:t>
      </w:r>
      <w:r w:rsidR="00522947">
        <w:rPr>
          <w:rFonts w:cs="David" w:hint="cs"/>
          <w:sz w:val="24"/>
          <w:szCs w:val="24"/>
          <w:rtl/>
        </w:rPr>
        <w:t xml:space="preserve">מים, </w:t>
      </w:r>
      <w:r w:rsidR="001B5475">
        <w:rPr>
          <w:rFonts w:cs="David" w:hint="cs"/>
          <w:sz w:val="24"/>
          <w:szCs w:val="24"/>
          <w:rtl/>
        </w:rPr>
        <w:t>בענייננו לא קיים נוהג.</w:t>
      </w:r>
      <w:r w:rsidR="001B5475" w:rsidRPr="001B5475">
        <w:rPr>
          <w:rFonts w:cs="David" w:hint="cs"/>
          <w:sz w:val="24"/>
          <w:szCs w:val="24"/>
          <w:u w:val="single"/>
          <w:rtl/>
        </w:rPr>
        <w:t>חובתגילויע</w:t>
      </w:r>
      <w:r w:rsidR="001B5475" w:rsidRPr="001B5475">
        <w:rPr>
          <w:rFonts w:cs="David"/>
          <w:sz w:val="24"/>
          <w:szCs w:val="24"/>
          <w:u w:val="single"/>
          <w:rtl/>
        </w:rPr>
        <w:t>"</w:t>
      </w:r>
      <w:r w:rsidR="001B5475" w:rsidRPr="001B5475">
        <w:rPr>
          <w:rFonts w:cs="David" w:hint="cs"/>
          <w:sz w:val="24"/>
          <w:szCs w:val="24"/>
          <w:u w:val="single"/>
          <w:rtl/>
        </w:rPr>
        <w:t>פהנסיבות</w:t>
      </w:r>
      <w:r w:rsidR="001B5475">
        <w:rPr>
          <w:rStyle w:val="a5"/>
          <w:rFonts w:cs="David"/>
          <w:sz w:val="24"/>
          <w:szCs w:val="24"/>
          <w:u w:val="single"/>
          <w:rtl/>
        </w:rPr>
        <w:footnoteReference w:id="21"/>
      </w:r>
      <w:r w:rsidR="001B5475">
        <w:rPr>
          <w:rFonts w:cs="David" w:hint="cs"/>
          <w:sz w:val="24"/>
          <w:szCs w:val="24"/>
          <w:rtl/>
        </w:rPr>
        <w:t>,</w:t>
      </w:r>
      <w:r w:rsidR="001B5475" w:rsidRPr="001B5475">
        <w:rPr>
          <w:rFonts w:cs="David" w:hint="cs"/>
          <w:sz w:val="24"/>
          <w:szCs w:val="24"/>
          <w:rtl/>
        </w:rPr>
        <w:t>רונןהואשכנושלשמואל</w:t>
      </w:r>
      <w:r w:rsidR="007347E0">
        <w:rPr>
          <w:rFonts w:cs="David" w:hint="cs"/>
          <w:sz w:val="24"/>
          <w:szCs w:val="24"/>
          <w:rtl/>
        </w:rPr>
        <w:t xml:space="preserve"> ו</w:t>
      </w:r>
      <w:r w:rsidR="001B5475" w:rsidRPr="001B5475">
        <w:rPr>
          <w:rFonts w:cs="David" w:hint="cs"/>
          <w:sz w:val="24"/>
          <w:szCs w:val="24"/>
          <w:rtl/>
        </w:rPr>
        <w:t>סבירלהניחשהואמכיראתמצבו</w:t>
      </w:r>
      <w:r w:rsidR="001B5475" w:rsidRPr="001B5475">
        <w:rPr>
          <w:rFonts w:cs="David"/>
          <w:sz w:val="24"/>
          <w:szCs w:val="24"/>
          <w:rtl/>
        </w:rPr>
        <w:t xml:space="preserve">. </w:t>
      </w:r>
      <w:r w:rsidR="001B5475" w:rsidRPr="001B5475">
        <w:rPr>
          <w:rFonts w:cs="David" w:hint="cs"/>
          <w:sz w:val="24"/>
          <w:szCs w:val="24"/>
          <w:rtl/>
        </w:rPr>
        <w:t>שמואלהואניצולשואהבן</w:t>
      </w:r>
      <w:r w:rsidR="001B5475" w:rsidRPr="001B5475">
        <w:rPr>
          <w:rFonts w:cs="David"/>
          <w:sz w:val="24"/>
          <w:szCs w:val="24"/>
          <w:rtl/>
        </w:rPr>
        <w:t xml:space="preserve"> 96, </w:t>
      </w:r>
      <w:r w:rsidR="00522947">
        <w:rPr>
          <w:rFonts w:cs="David" w:hint="cs"/>
          <w:sz w:val="24"/>
          <w:szCs w:val="24"/>
          <w:rtl/>
        </w:rPr>
        <w:t>תפקודו ו</w:t>
      </w:r>
      <w:r w:rsidR="001B5475" w:rsidRPr="001B5475">
        <w:rPr>
          <w:rFonts w:cs="David" w:hint="cs"/>
          <w:sz w:val="24"/>
          <w:szCs w:val="24"/>
          <w:rtl/>
        </w:rPr>
        <w:t>מצבוהבריאותי</w:t>
      </w:r>
      <w:r w:rsidR="00522947">
        <w:rPr>
          <w:rFonts w:cs="David" w:hint="cs"/>
          <w:sz w:val="24"/>
          <w:szCs w:val="24"/>
          <w:rtl/>
        </w:rPr>
        <w:t>ירודים</w:t>
      </w:r>
      <w:r w:rsidR="001B5475" w:rsidRPr="001B5475">
        <w:rPr>
          <w:rFonts w:cs="David"/>
          <w:sz w:val="24"/>
          <w:szCs w:val="24"/>
          <w:rtl/>
        </w:rPr>
        <w:t xml:space="preserve">, </w:t>
      </w:r>
      <w:r w:rsidR="001B5475" w:rsidRPr="001B5475">
        <w:rPr>
          <w:rFonts w:cs="David" w:hint="cs"/>
          <w:sz w:val="24"/>
          <w:szCs w:val="24"/>
          <w:rtl/>
        </w:rPr>
        <w:t>הואחילבדואין</w:t>
      </w:r>
      <w:r w:rsidR="007347E0">
        <w:rPr>
          <w:rFonts w:cs="David" w:hint="cs"/>
          <w:sz w:val="24"/>
          <w:szCs w:val="24"/>
          <w:rtl/>
        </w:rPr>
        <w:t xml:space="preserve"> מי ש</w:t>
      </w:r>
      <w:r w:rsidR="001B5475" w:rsidRPr="001B5475">
        <w:rPr>
          <w:rFonts w:cs="David" w:hint="cs"/>
          <w:sz w:val="24"/>
          <w:szCs w:val="24"/>
          <w:rtl/>
        </w:rPr>
        <w:t>ייעץלובנושא</w:t>
      </w:r>
      <w:r w:rsidR="001B5475" w:rsidRPr="001B5475">
        <w:rPr>
          <w:rFonts w:cs="David"/>
          <w:sz w:val="24"/>
          <w:szCs w:val="24"/>
          <w:rtl/>
        </w:rPr>
        <w:t xml:space="preserve">, </w:t>
      </w:r>
      <w:r w:rsidR="001B5475" w:rsidRPr="001B5475">
        <w:rPr>
          <w:rFonts w:cs="David" w:hint="cs"/>
          <w:sz w:val="24"/>
          <w:szCs w:val="24"/>
          <w:rtl/>
        </w:rPr>
        <w:t>לכןהחליט</w:t>
      </w:r>
      <w:r w:rsidR="001B5475" w:rsidRPr="00542B1A">
        <w:rPr>
          <w:rFonts w:cs="David" w:hint="cs"/>
          <w:sz w:val="24"/>
          <w:szCs w:val="24"/>
          <w:rtl/>
        </w:rPr>
        <w:t>להיוועץברונן</w:t>
      </w:r>
      <w:r w:rsidR="001B5475" w:rsidRPr="001B5475">
        <w:rPr>
          <w:rFonts w:cs="David" w:hint="cs"/>
          <w:sz w:val="24"/>
          <w:szCs w:val="24"/>
          <w:rtl/>
        </w:rPr>
        <w:t>שכנושעוסקבתחום</w:t>
      </w:r>
      <w:r w:rsidR="001B5475" w:rsidRPr="001B5475">
        <w:rPr>
          <w:rFonts w:cs="David"/>
          <w:sz w:val="24"/>
          <w:szCs w:val="24"/>
          <w:rtl/>
        </w:rPr>
        <w:t xml:space="preserve">. </w:t>
      </w:r>
      <w:r w:rsidR="001B5475" w:rsidRPr="001B5475">
        <w:rPr>
          <w:rFonts w:cs="David" w:hint="cs"/>
          <w:sz w:val="24"/>
          <w:szCs w:val="24"/>
          <w:rtl/>
        </w:rPr>
        <w:t>בהתייחסלנסיבותחלהעלרונןחובתהגילוישאותההפר</w:t>
      </w:r>
      <w:r w:rsidR="00EA409A">
        <w:rPr>
          <w:rFonts w:cs="David"/>
          <w:sz w:val="24"/>
          <w:szCs w:val="24"/>
          <w:rtl/>
        </w:rPr>
        <w:t>,</w:t>
      </w:r>
      <w:r w:rsidR="001B5475" w:rsidRPr="001B5475">
        <w:rPr>
          <w:rFonts w:cs="David" w:hint="cs"/>
          <w:sz w:val="24"/>
          <w:szCs w:val="24"/>
          <w:rtl/>
        </w:rPr>
        <w:t>שהריברורשהכיר</w:t>
      </w:r>
      <w:r w:rsidR="00EA409A">
        <w:rPr>
          <w:rFonts w:cs="David" w:hint="cs"/>
          <w:sz w:val="24"/>
          <w:szCs w:val="24"/>
          <w:rtl/>
        </w:rPr>
        <w:t xml:space="preserve"> באפשרות </w:t>
      </w:r>
      <w:r w:rsidR="001B5475" w:rsidRPr="001B5475">
        <w:rPr>
          <w:rFonts w:cs="David" w:hint="cs"/>
          <w:sz w:val="24"/>
          <w:szCs w:val="24"/>
          <w:rtl/>
        </w:rPr>
        <w:t>זואךבחרלשתוקובכךהטעהאתשמואל</w:t>
      </w:r>
      <w:r w:rsidR="001B5475" w:rsidRPr="001B5475">
        <w:rPr>
          <w:rFonts w:cs="David"/>
          <w:sz w:val="24"/>
          <w:szCs w:val="24"/>
          <w:rtl/>
        </w:rPr>
        <w:t>.</w:t>
      </w:r>
      <w:r w:rsidR="0026200B">
        <w:rPr>
          <w:rFonts w:cs="David" w:hint="cs"/>
          <w:color w:val="FF0000"/>
          <w:sz w:val="24"/>
          <w:szCs w:val="24"/>
          <w:rtl/>
        </w:rPr>
        <w:t xml:space="preserve">יסוד </w:t>
      </w:r>
      <w:r w:rsidR="0026200B" w:rsidRPr="0026200B">
        <w:rPr>
          <w:rFonts w:cs="David" w:hint="cs"/>
          <w:color w:val="FF0000"/>
          <w:sz w:val="24"/>
          <w:szCs w:val="24"/>
          <w:rtl/>
        </w:rPr>
        <w:t>רביעי</w:t>
      </w:r>
      <w:r w:rsidR="0026200B" w:rsidRPr="0026200B">
        <w:rPr>
          <w:rFonts w:cs="David" w:hint="cs"/>
          <w:sz w:val="24"/>
          <w:szCs w:val="24"/>
          <w:rtl/>
        </w:rPr>
        <w:t xml:space="preserve">- </w:t>
      </w:r>
      <w:r w:rsidR="00302BFA" w:rsidRPr="0026200B">
        <w:rPr>
          <w:rFonts w:cs="David" w:hint="cs"/>
          <w:sz w:val="24"/>
          <w:szCs w:val="24"/>
          <w:rtl/>
        </w:rPr>
        <w:t xml:space="preserve">באשר </w:t>
      </w:r>
      <w:r w:rsidR="00302BFA">
        <w:rPr>
          <w:rFonts w:cs="David" w:hint="cs"/>
          <w:sz w:val="24"/>
          <w:szCs w:val="24"/>
          <w:rtl/>
        </w:rPr>
        <w:t xml:space="preserve">לקשר הסיבתי הכפול- </w:t>
      </w:r>
      <w:r w:rsidR="00007BA0" w:rsidRPr="00302BFA">
        <w:rPr>
          <w:rFonts w:cs="David" w:hint="cs"/>
          <w:sz w:val="24"/>
          <w:szCs w:val="24"/>
          <w:u w:val="single"/>
          <w:rtl/>
        </w:rPr>
        <w:t>התנאי הראשון-</w:t>
      </w:r>
      <w:r w:rsidR="00A82036">
        <w:rPr>
          <w:rFonts w:cs="David" w:hint="cs"/>
          <w:sz w:val="24"/>
          <w:szCs w:val="24"/>
          <w:rtl/>
        </w:rPr>
        <w:t xml:space="preserve">קשר סיבתי בין </w:t>
      </w:r>
      <w:r w:rsidR="00542B1A" w:rsidRPr="00542B1A">
        <w:rPr>
          <w:rFonts w:cs="David" w:hint="cs"/>
          <w:sz w:val="24"/>
          <w:szCs w:val="24"/>
          <w:rtl/>
        </w:rPr>
        <w:t>הטעותוביןההתקשרותבהסכם</w:t>
      </w:r>
      <w:r w:rsidR="00542B1A">
        <w:rPr>
          <w:rFonts w:cs="David" w:hint="cs"/>
          <w:sz w:val="24"/>
          <w:szCs w:val="24"/>
          <w:rtl/>
        </w:rPr>
        <w:t>-</w:t>
      </w:r>
      <w:r w:rsidR="00007BA0" w:rsidRPr="00302BFA">
        <w:rPr>
          <w:rFonts w:cs="David" w:hint="cs"/>
          <w:sz w:val="24"/>
          <w:szCs w:val="24"/>
          <w:rtl/>
        </w:rPr>
        <w:t>במקרה דנן, שמואל יטען שרונן שבקיא ב</w:t>
      </w:r>
      <w:r w:rsidR="00093702" w:rsidRPr="00302BFA">
        <w:rPr>
          <w:rFonts w:cs="David" w:hint="cs"/>
          <w:sz w:val="24"/>
          <w:szCs w:val="24"/>
          <w:rtl/>
        </w:rPr>
        <w:t>תחוםהטעה אותובכך שגרם לו להאמין</w:t>
      </w:r>
      <w:r w:rsidR="00007BA0" w:rsidRPr="00302BFA">
        <w:rPr>
          <w:rFonts w:cs="David" w:hint="cs"/>
          <w:sz w:val="24"/>
          <w:szCs w:val="24"/>
          <w:rtl/>
        </w:rPr>
        <w:t xml:space="preserve"> שאין</w:t>
      </w:r>
      <w:r w:rsidR="00093702" w:rsidRPr="00302BFA">
        <w:rPr>
          <w:rFonts w:cs="David" w:hint="cs"/>
          <w:sz w:val="24"/>
          <w:szCs w:val="24"/>
          <w:rtl/>
        </w:rPr>
        <w:t xml:space="preserve"> ביכולתו</w:t>
      </w:r>
      <w:r w:rsidR="00007BA0" w:rsidRPr="00302BFA">
        <w:rPr>
          <w:rFonts w:cs="David" w:hint="cs"/>
          <w:sz w:val="24"/>
          <w:szCs w:val="24"/>
          <w:rtl/>
        </w:rPr>
        <w:t xml:space="preserve"> לממן את בית האבות,ולכן </w:t>
      </w:r>
      <w:r w:rsidR="007347E0">
        <w:rPr>
          <w:rFonts w:cs="David" w:hint="cs"/>
          <w:sz w:val="24"/>
          <w:szCs w:val="24"/>
          <w:rtl/>
        </w:rPr>
        <w:t xml:space="preserve">התקשר </w:t>
      </w:r>
      <w:r w:rsidR="00007BA0" w:rsidRPr="00302BFA">
        <w:rPr>
          <w:rFonts w:cs="David" w:hint="cs"/>
          <w:sz w:val="24"/>
          <w:szCs w:val="24"/>
          <w:rtl/>
        </w:rPr>
        <w:t>בחוזהבעודו מאמין שזה הפתרון היחיד.במקרה זה נטל ההוכחה</w:t>
      </w:r>
      <w:r w:rsidR="00007BA0" w:rsidRPr="00BD7380">
        <w:rPr>
          <w:rStyle w:val="a5"/>
          <w:rFonts w:cs="David"/>
          <w:sz w:val="24"/>
          <w:szCs w:val="24"/>
          <w:rtl/>
        </w:rPr>
        <w:footnoteReference w:id="22"/>
      </w:r>
      <w:r w:rsidR="00007BA0" w:rsidRPr="00302BFA">
        <w:rPr>
          <w:rFonts w:cs="David" w:hint="cs"/>
          <w:sz w:val="24"/>
          <w:szCs w:val="24"/>
          <w:rtl/>
        </w:rPr>
        <w:t xml:space="preserve"> חל עלשמואל- עליו</w:t>
      </w:r>
      <w:r w:rsidR="007347E0">
        <w:rPr>
          <w:rFonts w:cs="David" w:hint="cs"/>
          <w:sz w:val="24"/>
          <w:szCs w:val="24"/>
          <w:rtl/>
        </w:rPr>
        <w:t xml:space="preserve"> להוכיח שאי הגילוי </w:t>
      </w:r>
      <w:r w:rsidR="00007BA0" w:rsidRPr="00302BFA">
        <w:rPr>
          <w:rFonts w:cs="David" w:hint="cs"/>
          <w:sz w:val="24"/>
          <w:szCs w:val="24"/>
          <w:rtl/>
        </w:rPr>
        <w:t xml:space="preserve">הניעאותו </w:t>
      </w:r>
      <w:r w:rsidR="00007BA0" w:rsidRPr="00E462EF">
        <w:rPr>
          <w:rFonts w:cs="David" w:hint="cs"/>
          <w:sz w:val="24"/>
          <w:szCs w:val="24"/>
          <w:rtl/>
        </w:rPr>
        <w:t>להתקשר בחוזה.</w:t>
      </w:r>
      <w:r w:rsidR="00007BA0" w:rsidRPr="00E462EF">
        <w:rPr>
          <w:rFonts w:cs="David" w:hint="cs"/>
          <w:sz w:val="24"/>
          <w:szCs w:val="24"/>
          <w:u w:val="single"/>
          <w:rtl/>
        </w:rPr>
        <w:t>הת</w:t>
      </w:r>
      <w:r w:rsidR="00093702" w:rsidRPr="00E462EF">
        <w:rPr>
          <w:rFonts w:cs="David" w:hint="cs"/>
          <w:sz w:val="24"/>
          <w:szCs w:val="24"/>
          <w:u w:val="single"/>
          <w:rtl/>
        </w:rPr>
        <w:t>נאי השני-</w:t>
      </w:r>
      <w:r w:rsidR="00A82036">
        <w:rPr>
          <w:rFonts w:cs="David" w:hint="cs"/>
          <w:sz w:val="24"/>
          <w:szCs w:val="24"/>
          <w:rtl/>
        </w:rPr>
        <w:t xml:space="preserve">קשר סיבתי בין </w:t>
      </w:r>
      <w:r w:rsidR="00A82036" w:rsidRPr="00A82036">
        <w:rPr>
          <w:rFonts w:cs="David" w:hint="cs"/>
          <w:sz w:val="24"/>
          <w:szCs w:val="24"/>
          <w:rtl/>
        </w:rPr>
        <w:t>ההטעיהלביןהטעות</w:t>
      </w:r>
      <w:r w:rsidR="00A82036">
        <w:rPr>
          <w:rFonts w:cs="David" w:hint="cs"/>
          <w:sz w:val="24"/>
          <w:szCs w:val="24"/>
          <w:rtl/>
        </w:rPr>
        <w:t xml:space="preserve">- </w:t>
      </w:r>
      <w:r w:rsidR="00093702" w:rsidRPr="00E462EF">
        <w:rPr>
          <w:rFonts w:cs="David" w:hint="cs"/>
          <w:sz w:val="24"/>
          <w:szCs w:val="24"/>
          <w:rtl/>
        </w:rPr>
        <w:t>במקרה דנן,</w:t>
      </w:r>
      <w:r w:rsidR="00522947">
        <w:rPr>
          <w:rFonts w:cs="David" w:hint="cs"/>
          <w:sz w:val="24"/>
          <w:szCs w:val="24"/>
          <w:rtl/>
        </w:rPr>
        <w:t xml:space="preserve">רונן שעוסק בתחום </w:t>
      </w:r>
      <w:r w:rsidR="00542B1A">
        <w:rPr>
          <w:rFonts w:cs="David" w:hint="cs"/>
          <w:sz w:val="24"/>
          <w:szCs w:val="24"/>
          <w:rtl/>
        </w:rPr>
        <w:t>הציג בפני שמואל</w:t>
      </w:r>
      <w:r w:rsidR="00093702" w:rsidRPr="00E462EF">
        <w:rPr>
          <w:rFonts w:cs="David" w:hint="cs"/>
          <w:sz w:val="24"/>
          <w:szCs w:val="24"/>
          <w:rtl/>
        </w:rPr>
        <w:t xml:space="preserve"> מצג-שווא</w:t>
      </w:r>
      <w:r w:rsidR="00093702" w:rsidRPr="00BD7380">
        <w:rPr>
          <w:rStyle w:val="a5"/>
          <w:rFonts w:cs="David"/>
          <w:sz w:val="24"/>
          <w:szCs w:val="24"/>
          <w:rtl/>
        </w:rPr>
        <w:footnoteReference w:id="23"/>
      </w:r>
      <w:r w:rsidR="00093702" w:rsidRPr="00E462EF">
        <w:rPr>
          <w:rFonts w:cs="David" w:hint="cs"/>
          <w:sz w:val="24"/>
          <w:szCs w:val="24"/>
          <w:rtl/>
        </w:rPr>
        <w:t xml:space="preserve"> לפיו</w:t>
      </w:r>
      <w:r w:rsidR="00EA409A">
        <w:rPr>
          <w:rFonts w:cs="David" w:hint="cs"/>
          <w:sz w:val="24"/>
          <w:szCs w:val="24"/>
          <w:rtl/>
        </w:rPr>
        <w:t xml:space="preserve"> משתמע שאין לו </w:t>
      </w:r>
      <w:r w:rsidR="00093702" w:rsidRPr="00E462EF">
        <w:rPr>
          <w:rFonts w:cs="David" w:hint="cs"/>
          <w:sz w:val="24"/>
          <w:szCs w:val="24"/>
          <w:rtl/>
        </w:rPr>
        <w:t>שום אפשרות להוזיל את עלויות בית האבות,ובכך ג</w:t>
      </w:r>
      <w:r w:rsidR="00E462EF">
        <w:rPr>
          <w:rFonts w:cs="David" w:hint="cs"/>
          <w:sz w:val="24"/>
          <w:szCs w:val="24"/>
          <w:rtl/>
        </w:rPr>
        <w:t>רם לו לטעות</w:t>
      </w:r>
      <w:r w:rsidR="00A865B2">
        <w:rPr>
          <w:rFonts w:cs="David" w:hint="cs"/>
          <w:sz w:val="24"/>
          <w:szCs w:val="24"/>
          <w:rtl/>
        </w:rPr>
        <w:t xml:space="preserve">בהבנת משמעות ההסכם, בנוסף טען </w:t>
      </w:r>
      <w:r w:rsidR="00EA409A">
        <w:rPr>
          <w:rFonts w:cs="David" w:hint="cs"/>
          <w:sz w:val="24"/>
          <w:szCs w:val="24"/>
          <w:rtl/>
        </w:rPr>
        <w:t xml:space="preserve">רונן ששמואל יוכל לגור </w:t>
      </w:r>
      <w:r w:rsidR="00E462EF">
        <w:rPr>
          <w:rFonts w:cs="David" w:hint="cs"/>
          <w:sz w:val="24"/>
          <w:szCs w:val="24"/>
          <w:rtl/>
        </w:rPr>
        <w:t>בבית האבות ללאתשלום נ</w:t>
      </w:r>
      <w:r w:rsidR="002B5797">
        <w:rPr>
          <w:rFonts w:cs="David" w:hint="cs"/>
          <w:sz w:val="24"/>
          <w:szCs w:val="24"/>
          <w:rtl/>
        </w:rPr>
        <w:t>וסףלכל ימי</w:t>
      </w:r>
      <w:r w:rsidR="006E1B1B">
        <w:rPr>
          <w:rFonts w:cs="David" w:hint="cs"/>
          <w:sz w:val="24"/>
          <w:szCs w:val="24"/>
          <w:rtl/>
        </w:rPr>
        <w:t xml:space="preserve">חייו, כשבמעמד </w:t>
      </w:r>
      <w:r w:rsidR="002B5797">
        <w:rPr>
          <w:rFonts w:cs="David" w:hint="cs"/>
          <w:sz w:val="24"/>
          <w:szCs w:val="24"/>
          <w:rtl/>
        </w:rPr>
        <w:t>חתימת החוזההתברר לו שהמגורים בבית האבות לא כולליםתרופותוהוצאות רפואיות נלוות.</w:t>
      </w:r>
    </w:p>
    <w:p w:rsidR="006E1B1B" w:rsidRDefault="00BD7380" w:rsidP="00B50CB3">
      <w:pPr>
        <w:keepNext/>
        <w:spacing w:line="360" w:lineRule="auto"/>
        <w:rPr>
          <w:rFonts w:cs="David"/>
          <w:sz w:val="24"/>
          <w:szCs w:val="24"/>
          <w:rtl/>
        </w:rPr>
      </w:pPr>
      <w:r w:rsidRPr="00BD7380">
        <w:rPr>
          <w:rFonts w:cs="David" w:hint="cs"/>
          <w:b/>
          <w:bCs/>
          <w:sz w:val="24"/>
          <w:szCs w:val="24"/>
          <w:u w:val="single"/>
          <w:rtl/>
        </w:rPr>
        <w:lastRenderedPageBreak/>
        <w:t>עושק-</w:t>
      </w:r>
      <w:r w:rsidR="00FA5672" w:rsidRPr="0010193B">
        <w:rPr>
          <w:rFonts w:cs="David" w:hint="cs"/>
          <w:sz w:val="24"/>
          <w:szCs w:val="24"/>
          <w:u w:val="single"/>
          <w:rtl/>
        </w:rPr>
        <w:t>במידה ונכרת חוזה</w:t>
      </w:r>
      <w:r>
        <w:rPr>
          <w:rFonts w:cs="David" w:hint="cs"/>
          <w:sz w:val="24"/>
          <w:szCs w:val="24"/>
          <w:rtl/>
        </w:rPr>
        <w:t xml:space="preserve">עילת </w:t>
      </w:r>
      <w:r w:rsidR="00FA5672">
        <w:rPr>
          <w:rFonts w:cs="David" w:hint="cs"/>
          <w:sz w:val="24"/>
          <w:szCs w:val="24"/>
          <w:rtl/>
        </w:rPr>
        <w:t xml:space="preserve">ביטול מסוג </w:t>
      </w:r>
      <w:r>
        <w:rPr>
          <w:rFonts w:cs="David" w:hint="cs"/>
          <w:sz w:val="24"/>
          <w:szCs w:val="24"/>
          <w:rtl/>
        </w:rPr>
        <w:t>העושק כמוגדר בסעיף 18 לחוק החוזים</w:t>
      </w:r>
      <w:r>
        <w:rPr>
          <w:rStyle w:val="a5"/>
          <w:rFonts w:cs="David"/>
          <w:sz w:val="24"/>
          <w:szCs w:val="24"/>
          <w:rtl/>
        </w:rPr>
        <w:footnoteReference w:id="24"/>
      </w:r>
      <w:r w:rsidR="00FA5672">
        <w:rPr>
          <w:rFonts w:cs="David" w:hint="cs"/>
          <w:sz w:val="24"/>
          <w:szCs w:val="24"/>
          <w:rtl/>
        </w:rPr>
        <w:t xml:space="preserve"> מורכבת משלושה </w:t>
      </w:r>
      <w:r>
        <w:rPr>
          <w:rFonts w:cs="David" w:hint="cs"/>
          <w:sz w:val="24"/>
          <w:szCs w:val="24"/>
          <w:rtl/>
        </w:rPr>
        <w:t>יסודות מצטברים</w:t>
      </w:r>
      <w:r>
        <w:rPr>
          <w:rStyle w:val="a5"/>
          <w:rFonts w:cs="David"/>
          <w:sz w:val="24"/>
          <w:szCs w:val="24"/>
          <w:rtl/>
        </w:rPr>
        <w:footnoteReference w:id="25"/>
      </w:r>
      <w:r w:rsidR="00FA5672">
        <w:rPr>
          <w:rFonts w:cs="David" w:hint="cs"/>
          <w:sz w:val="24"/>
          <w:szCs w:val="24"/>
          <w:rtl/>
        </w:rPr>
        <w:t>:</w:t>
      </w:r>
      <w:r w:rsidR="00B50CB3">
        <w:rPr>
          <w:rFonts w:cs="David" w:hint="cs"/>
          <w:b/>
          <w:bCs/>
          <w:sz w:val="24"/>
          <w:szCs w:val="24"/>
          <w:rtl/>
        </w:rPr>
        <w:t xml:space="preserve"> א. </w:t>
      </w:r>
      <w:r w:rsidR="00A52D44" w:rsidRPr="0010193B">
        <w:rPr>
          <w:rFonts w:cs="David" w:hint="cs"/>
          <w:sz w:val="24"/>
          <w:szCs w:val="24"/>
          <w:rtl/>
        </w:rPr>
        <w:t>מצבו של העשוק (מצוקה חולשה</w:t>
      </w:r>
      <w:r w:rsidR="0010193B">
        <w:rPr>
          <w:rFonts w:cs="David" w:hint="cs"/>
          <w:sz w:val="24"/>
          <w:szCs w:val="24"/>
          <w:rtl/>
        </w:rPr>
        <w:t xml:space="preserve"> שכלית או גופנית או חוסר נ</w:t>
      </w:r>
      <w:r w:rsidR="00B50CB3">
        <w:rPr>
          <w:rFonts w:cs="David" w:hint="cs"/>
          <w:sz w:val="24"/>
          <w:szCs w:val="24"/>
          <w:rtl/>
        </w:rPr>
        <w:t>י</w:t>
      </w:r>
      <w:r w:rsidR="00CE04F1">
        <w:rPr>
          <w:rFonts w:cs="David" w:hint="cs"/>
          <w:sz w:val="24"/>
          <w:szCs w:val="24"/>
          <w:rtl/>
        </w:rPr>
        <w:t>סיון).</w:t>
      </w:r>
      <w:r w:rsidR="00B50CB3">
        <w:rPr>
          <w:rFonts w:cs="David" w:hint="cs"/>
          <w:b/>
          <w:bCs/>
          <w:sz w:val="24"/>
          <w:szCs w:val="24"/>
          <w:rtl/>
        </w:rPr>
        <w:t xml:space="preserve">                                                          ב. </w:t>
      </w:r>
      <w:r w:rsidR="003D5946">
        <w:rPr>
          <w:rFonts w:cs="David" w:hint="cs"/>
          <w:sz w:val="24"/>
          <w:szCs w:val="24"/>
          <w:rtl/>
        </w:rPr>
        <w:t xml:space="preserve">התנהגות </w:t>
      </w:r>
      <w:r w:rsidR="00B50CB3">
        <w:rPr>
          <w:rFonts w:cs="David" w:hint="cs"/>
          <w:sz w:val="24"/>
          <w:szCs w:val="24"/>
          <w:rtl/>
        </w:rPr>
        <w:t>העושק</w:t>
      </w:r>
      <w:r w:rsidR="00A82036">
        <w:rPr>
          <w:rFonts w:cs="David" w:hint="cs"/>
          <w:sz w:val="24"/>
          <w:szCs w:val="24"/>
          <w:rtl/>
        </w:rPr>
        <w:t xml:space="preserve"> (ניצול מצבו של המתקשר).</w:t>
      </w:r>
      <w:r w:rsidR="00B50CB3">
        <w:rPr>
          <w:rFonts w:cs="David" w:hint="cs"/>
          <w:b/>
          <w:bCs/>
          <w:sz w:val="24"/>
          <w:szCs w:val="24"/>
          <w:rtl/>
        </w:rPr>
        <w:t xml:space="preserve">                                                                                                                                       ג.</w:t>
      </w:r>
      <w:r w:rsidR="00EA409A">
        <w:rPr>
          <w:rFonts w:cs="David" w:hint="cs"/>
          <w:sz w:val="24"/>
          <w:szCs w:val="24"/>
          <w:rtl/>
        </w:rPr>
        <w:t>תנאי החוזה</w:t>
      </w:r>
      <w:r w:rsidR="00A82036">
        <w:rPr>
          <w:rFonts w:cs="David" w:hint="cs"/>
          <w:sz w:val="24"/>
          <w:szCs w:val="24"/>
          <w:rtl/>
        </w:rPr>
        <w:t xml:space="preserve"> שנוצר כתוצאה מהניצול</w:t>
      </w:r>
      <w:r w:rsidR="00A52D44" w:rsidRPr="0010193B">
        <w:rPr>
          <w:rFonts w:cs="David" w:hint="cs"/>
          <w:sz w:val="24"/>
          <w:szCs w:val="24"/>
          <w:rtl/>
        </w:rPr>
        <w:t>גרועים במידה בלתי סבירה מן המקובל.</w:t>
      </w:r>
      <w:r>
        <w:rPr>
          <w:rFonts w:cs="David" w:hint="cs"/>
          <w:sz w:val="24"/>
          <w:szCs w:val="24"/>
          <w:rtl/>
        </w:rPr>
        <w:t>במ</w:t>
      </w:r>
      <w:r w:rsidR="00725545">
        <w:rPr>
          <w:rFonts w:cs="David" w:hint="cs"/>
          <w:sz w:val="24"/>
          <w:szCs w:val="24"/>
          <w:rtl/>
        </w:rPr>
        <w:t xml:space="preserve">קרה דנן, שמואל יטען שהתקשר בחוזה </w:t>
      </w:r>
      <w:r w:rsidR="00FB4086">
        <w:rPr>
          <w:rFonts w:cs="David" w:hint="cs"/>
          <w:sz w:val="24"/>
          <w:szCs w:val="24"/>
          <w:rtl/>
        </w:rPr>
        <w:t xml:space="preserve">כתוצאה מכך </w:t>
      </w:r>
      <w:r w:rsidR="00725545">
        <w:rPr>
          <w:rFonts w:cs="David" w:hint="cs"/>
          <w:sz w:val="24"/>
          <w:szCs w:val="24"/>
          <w:rtl/>
        </w:rPr>
        <w:t>שרונ</w:t>
      </w:r>
      <w:r w:rsidR="00FB4086">
        <w:rPr>
          <w:rFonts w:cs="David" w:hint="cs"/>
          <w:sz w:val="24"/>
          <w:szCs w:val="24"/>
          <w:rtl/>
        </w:rPr>
        <w:t xml:space="preserve">ן ניצל את מצוקתו וחולשתו, </w:t>
      </w:r>
      <w:r w:rsidR="00725545">
        <w:rPr>
          <w:rFonts w:cs="David" w:hint="cs"/>
          <w:sz w:val="24"/>
          <w:szCs w:val="24"/>
          <w:rtl/>
        </w:rPr>
        <w:t xml:space="preserve">יש להניח שרונן כשכנו של שמואל </w:t>
      </w:r>
      <w:r w:rsidR="00FB4086">
        <w:rPr>
          <w:rFonts w:cs="David" w:hint="cs"/>
          <w:sz w:val="24"/>
          <w:szCs w:val="24"/>
          <w:rtl/>
        </w:rPr>
        <w:t xml:space="preserve">ידע שאין לו </w:t>
      </w:r>
      <w:r w:rsidR="00725545">
        <w:rPr>
          <w:rFonts w:cs="David" w:hint="cs"/>
          <w:sz w:val="24"/>
          <w:szCs w:val="24"/>
          <w:rtl/>
        </w:rPr>
        <w:t>ק</w:t>
      </w:r>
      <w:r w:rsidR="00FB4086">
        <w:rPr>
          <w:rFonts w:cs="David" w:hint="cs"/>
          <w:sz w:val="24"/>
          <w:szCs w:val="24"/>
          <w:rtl/>
        </w:rPr>
        <w:t xml:space="preserve">רובי משפחה שיכולים לייעץ </w:t>
      </w:r>
      <w:r w:rsidR="00725545">
        <w:rPr>
          <w:rFonts w:cs="David" w:hint="cs"/>
          <w:sz w:val="24"/>
          <w:szCs w:val="24"/>
          <w:rtl/>
        </w:rPr>
        <w:t>לוולכן ניצל את מצוקתו והציע לו חוזה שתנאיו גרועים במידה בלתי סבירה מן המקובל. עוד ניתן לומר שרונן</w:t>
      </w:r>
      <w:r w:rsidR="005B7BEA">
        <w:rPr>
          <w:rFonts w:cs="David" w:hint="cs"/>
          <w:sz w:val="24"/>
          <w:szCs w:val="24"/>
          <w:rtl/>
        </w:rPr>
        <w:t xml:space="preserve"> שידע שתנאי החוזה  גרועים ולא הוגנים,</w:t>
      </w:r>
      <w:r w:rsidR="00725545">
        <w:rPr>
          <w:rFonts w:cs="David" w:hint="cs"/>
          <w:sz w:val="24"/>
          <w:szCs w:val="24"/>
          <w:rtl/>
        </w:rPr>
        <w:t xml:space="preserve">דאג לזמן עו"ד </w:t>
      </w:r>
      <w:r w:rsidR="00D37F05">
        <w:rPr>
          <w:rFonts w:cs="David" w:hint="cs"/>
          <w:sz w:val="24"/>
          <w:szCs w:val="24"/>
          <w:rtl/>
        </w:rPr>
        <w:t xml:space="preserve">עוד באותו הערב, </w:t>
      </w:r>
      <w:r w:rsidR="005B7BEA">
        <w:rPr>
          <w:rFonts w:cs="David" w:hint="cs"/>
          <w:sz w:val="24"/>
          <w:szCs w:val="24"/>
          <w:rtl/>
        </w:rPr>
        <w:t>מהחשש ששמואל יבין זאת</w:t>
      </w:r>
      <w:r w:rsidR="00D37F05">
        <w:rPr>
          <w:rFonts w:cs="David" w:hint="cs"/>
          <w:sz w:val="24"/>
          <w:szCs w:val="24"/>
          <w:rtl/>
        </w:rPr>
        <w:t xml:space="preserve"> ויחזור בו. רונן יטען שעל שמואל </w:t>
      </w:r>
      <w:r w:rsidR="00725545">
        <w:rPr>
          <w:rFonts w:cs="David" w:hint="cs"/>
          <w:sz w:val="24"/>
          <w:szCs w:val="24"/>
          <w:rtl/>
        </w:rPr>
        <w:t>להוכיח כי מדובר במצב מצוקה חמור ומתמשך</w:t>
      </w:r>
      <w:r w:rsidR="0010193B">
        <w:rPr>
          <w:rFonts w:cs="David" w:hint="cs"/>
          <w:sz w:val="24"/>
          <w:szCs w:val="24"/>
          <w:rtl/>
        </w:rPr>
        <w:t xml:space="preserve">ולא </w:t>
      </w:r>
      <w:r w:rsidR="00725545">
        <w:rPr>
          <w:rFonts w:cs="David" w:hint="cs"/>
          <w:sz w:val="24"/>
          <w:szCs w:val="24"/>
          <w:rtl/>
        </w:rPr>
        <w:t>בקושי ארעי או חולף</w:t>
      </w:r>
      <w:r w:rsidR="00725545">
        <w:rPr>
          <w:rStyle w:val="a5"/>
          <w:rFonts w:cs="David"/>
          <w:sz w:val="24"/>
          <w:szCs w:val="24"/>
          <w:rtl/>
        </w:rPr>
        <w:footnoteReference w:id="26"/>
      </w:r>
      <w:r w:rsidR="00725545">
        <w:rPr>
          <w:rFonts w:cs="David" w:hint="cs"/>
          <w:sz w:val="24"/>
          <w:szCs w:val="24"/>
          <w:rtl/>
        </w:rPr>
        <w:t>. במקרה דנן, ניתן לומר ששמואל אכן היה במצב מצוקה מתמשך שכפי הנראהלא יחלוף. מצבו הידרדר בשל גילו המבוגר ובשל מחלות שתקפו אותו, כמו כן לקח לו זמן עד אשר פנהלעזרה</w:t>
      </w:r>
      <w:r w:rsidR="005B7BEA">
        <w:rPr>
          <w:rFonts w:cs="David" w:hint="cs"/>
          <w:sz w:val="24"/>
          <w:szCs w:val="24"/>
          <w:rtl/>
        </w:rPr>
        <w:t xml:space="preserve"> "שמואל הבין כי הוא אינו מסוגל עוד לחיות לבדו..</w:t>
      </w:r>
      <w:r w:rsidR="00725545">
        <w:rPr>
          <w:rFonts w:cs="David" w:hint="cs"/>
          <w:sz w:val="24"/>
          <w:szCs w:val="24"/>
          <w:rtl/>
        </w:rPr>
        <w:t>.</w:t>
      </w:r>
      <w:r w:rsidR="005B7BEA">
        <w:rPr>
          <w:rFonts w:cs="David" w:hint="cs"/>
          <w:sz w:val="24"/>
          <w:szCs w:val="24"/>
          <w:rtl/>
        </w:rPr>
        <w:t>".</w:t>
      </w:r>
      <w:r w:rsidR="00725545">
        <w:rPr>
          <w:rFonts w:cs="David" w:hint="cs"/>
          <w:sz w:val="24"/>
          <w:szCs w:val="24"/>
          <w:rtl/>
        </w:rPr>
        <w:t xml:space="preserve"> יש לציין</w:t>
      </w:r>
      <w:r w:rsidR="00FB4086">
        <w:rPr>
          <w:rFonts w:cs="David" w:hint="cs"/>
          <w:sz w:val="24"/>
          <w:szCs w:val="24"/>
          <w:rtl/>
        </w:rPr>
        <w:t>שבהנחה ש</w:t>
      </w:r>
      <w:r w:rsidR="00725545">
        <w:rPr>
          <w:rFonts w:cs="David" w:hint="cs"/>
          <w:sz w:val="24"/>
          <w:szCs w:val="24"/>
          <w:rtl/>
        </w:rPr>
        <w:t>שמואל לא היה במצב מצוקה מתמשך, עדי</w:t>
      </w:r>
      <w:r w:rsidR="000A4DFF">
        <w:rPr>
          <w:rFonts w:cs="David" w:hint="cs"/>
          <w:sz w:val="24"/>
          <w:szCs w:val="24"/>
          <w:rtl/>
        </w:rPr>
        <w:t>ין ניתן ל</w:t>
      </w:r>
      <w:r w:rsidR="00FB4086">
        <w:rPr>
          <w:rFonts w:cs="David" w:hint="cs"/>
          <w:sz w:val="24"/>
          <w:szCs w:val="24"/>
          <w:rtl/>
        </w:rPr>
        <w:t xml:space="preserve">טעון לעושק, </w:t>
      </w:r>
      <w:r w:rsidR="000A4DFF">
        <w:rPr>
          <w:rFonts w:cs="David" w:hint="cs"/>
          <w:sz w:val="24"/>
          <w:szCs w:val="24"/>
          <w:rtl/>
        </w:rPr>
        <w:t>ישנם מצביםשל קושי ארעי וחולף שאליו יכול ה"עשוק" להיקלע לפתע וגם אז יתקיימוכל היסודות הדרושים</w:t>
      </w:r>
      <w:r w:rsidR="000A4DFF">
        <w:rPr>
          <w:rStyle w:val="a5"/>
          <w:rFonts w:cs="David"/>
          <w:sz w:val="24"/>
          <w:szCs w:val="24"/>
          <w:rtl/>
        </w:rPr>
        <w:footnoteReference w:id="27"/>
      </w:r>
      <w:r w:rsidR="000A4DFF">
        <w:rPr>
          <w:rFonts w:cs="David" w:hint="cs"/>
          <w:sz w:val="24"/>
          <w:szCs w:val="24"/>
          <w:rtl/>
        </w:rPr>
        <w:t>.</w:t>
      </w:r>
      <w:r w:rsidR="00026833">
        <w:rPr>
          <w:rFonts w:cs="David" w:hint="cs"/>
          <w:sz w:val="24"/>
          <w:szCs w:val="24"/>
          <w:rtl/>
        </w:rPr>
        <w:t>שמואל יטען כי</w:t>
      </w:r>
      <w:r w:rsidR="00817E3E">
        <w:rPr>
          <w:rFonts w:cs="David" w:hint="cs"/>
          <w:sz w:val="24"/>
          <w:szCs w:val="24"/>
          <w:rtl/>
        </w:rPr>
        <w:t xml:space="preserve">התנהגות </w:t>
      </w:r>
      <w:r w:rsidR="00026833">
        <w:rPr>
          <w:rFonts w:cs="David" w:hint="cs"/>
          <w:sz w:val="24"/>
          <w:szCs w:val="24"/>
          <w:rtl/>
        </w:rPr>
        <w:t xml:space="preserve">העושק </w:t>
      </w:r>
      <w:r w:rsidR="00FA5672">
        <w:rPr>
          <w:rFonts w:cs="David" w:hint="cs"/>
          <w:sz w:val="24"/>
          <w:szCs w:val="24"/>
          <w:rtl/>
        </w:rPr>
        <w:t>תבחן במבחן הסובייקטיבי</w:t>
      </w:r>
      <w:r w:rsidR="00817E3E">
        <w:rPr>
          <w:rStyle w:val="a5"/>
          <w:rFonts w:cs="David"/>
          <w:sz w:val="24"/>
          <w:szCs w:val="24"/>
          <w:rtl/>
        </w:rPr>
        <w:footnoteReference w:id="28"/>
      </w:r>
      <w:r w:rsidR="00FB4086">
        <w:rPr>
          <w:rFonts w:cs="David" w:hint="cs"/>
          <w:sz w:val="24"/>
          <w:szCs w:val="24"/>
          <w:rtl/>
        </w:rPr>
        <w:t>, רונן כבעל</w:t>
      </w:r>
      <w:r w:rsidR="00817E3E">
        <w:rPr>
          <w:rFonts w:cs="David" w:hint="cs"/>
          <w:sz w:val="24"/>
          <w:szCs w:val="24"/>
          <w:rtl/>
        </w:rPr>
        <w:t xml:space="preserve"> בית אבות ודאי ידע על הסבסוד, בנוסף, הוא ידע ששמואל בודד ובמצוקה ולכן ידע שביכולתו לנצל את מצבו ולהציע לוחוזה שתנאיו לא הוגנים.</w:t>
      </w:r>
      <w:r w:rsidR="00026833">
        <w:rPr>
          <w:rFonts w:cs="David" w:hint="cs"/>
          <w:sz w:val="24"/>
          <w:szCs w:val="24"/>
          <w:rtl/>
        </w:rPr>
        <w:t xml:space="preserve"> מנגד רונן יטען שלא היה ביכולתו לדעת ששמואל נמצא במצב מצוקה.</w:t>
      </w:r>
      <w:r w:rsidR="00D37F05">
        <w:rPr>
          <w:rFonts w:cs="David" w:hint="cs"/>
          <w:sz w:val="24"/>
          <w:szCs w:val="24"/>
          <w:rtl/>
        </w:rPr>
        <w:t>במקרה דנן, שמואל יטען</w:t>
      </w:r>
      <w:r w:rsidR="000A4DFF">
        <w:rPr>
          <w:rFonts w:cs="David" w:hint="cs"/>
          <w:sz w:val="24"/>
          <w:szCs w:val="24"/>
          <w:rtl/>
        </w:rPr>
        <w:t xml:space="preserve"> שתנאי החוזה גרועים במידה בלתי סבירה מן המקובל. זאת נבדוק ע"יהמבחן האובייקטיבי המחייב בירור שתי שאלות משנה</w:t>
      </w:r>
      <w:r w:rsidR="000A4DFF">
        <w:rPr>
          <w:rStyle w:val="a5"/>
          <w:rFonts w:cs="David"/>
          <w:sz w:val="24"/>
          <w:szCs w:val="24"/>
          <w:rtl/>
        </w:rPr>
        <w:footnoteReference w:id="29"/>
      </w:r>
      <w:r w:rsidR="000A4DFF">
        <w:rPr>
          <w:rFonts w:cs="David" w:hint="cs"/>
          <w:sz w:val="24"/>
          <w:szCs w:val="24"/>
          <w:rtl/>
        </w:rPr>
        <w:t>:</w:t>
      </w:r>
      <w:r w:rsidR="000A4DFF" w:rsidRPr="001065E4">
        <w:rPr>
          <w:rFonts w:cs="David" w:hint="cs"/>
          <w:sz w:val="24"/>
          <w:szCs w:val="24"/>
          <w:u w:val="single"/>
          <w:rtl/>
        </w:rPr>
        <w:t>מהו ה"מקובל"-</w:t>
      </w:r>
      <w:r w:rsidR="000A4DFF">
        <w:rPr>
          <w:rFonts w:cs="David" w:hint="cs"/>
          <w:sz w:val="24"/>
          <w:szCs w:val="24"/>
          <w:rtl/>
        </w:rPr>
        <w:t xml:space="preserve"> התנאים הנהוגים בחוזים מסוגזה. לרוב, בחוזה למכירת דירה המ</w:t>
      </w:r>
      <w:r w:rsidR="00A865B2">
        <w:rPr>
          <w:rFonts w:cs="David" w:hint="cs"/>
          <w:sz w:val="24"/>
          <w:szCs w:val="24"/>
          <w:rtl/>
        </w:rPr>
        <w:t xml:space="preserve">וכר מקבל סכום כסף </w:t>
      </w:r>
      <w:r w:rsidR="001065E4">
        <w:rPr>
          <w:rFonts w:cs="David" w:hint="cs"/>
          <w:sz w:val="24"/>
          <w:szCs w:val="24"/>
          <w:rtl/>
        </w:rPr>
        <w:t>השווה לערכה של</w:t>
      </w:r>
      <w:r w:rsidR="000A4DFF">
        <w:rPr>
          <w:rFonts w:cs="David" w:hint="cs"/>
          <w:sz w:val="24"/>
          <w:szCs w:val="24"/>
          <w:rtl/>
        </w:rPr>
        <w:t xml:space="preserve"> הדירה. במקרה דנן, נראה כי ההסכם גרוע מהמקובל, ערך הדירה גבוה בהרבה מעלותו המצטברת של בית האבות, זאת גם בהנחהש</w:t>
      </w:r>
      <w:r w:rsidR="001065E4">
        <w:rPr>
          <w:rFonts w:cs="David" w:hint="cs"/>
          <w:sz w:val="24"/>
          <w:szCs w:val="24"/>
          <w:rtl/>
        </w:rPr>
        <w:t xml:space="preserve">לשמואל לא נותרו שנים רבות לחיות (מה שסביר להניח שהיה ידוע לרונן). </w:t>
      </w:r>
      <w:r w:rsidR="001065E4" w:rsidRPr="001065E4">
        <w:rPr>
          <w:rFonts w:cs="David" w:hint="cs"/>
          <w:sz w:val="24"/>
          <w:szCs w:val="24"/>
          <w:u w:val="single"/>
          <w:rtl/>
        </w:rPr>
        <w:t>מהי "מידה בלתי סבירה"</w:t>
      </w:r>
      <w:r w:rsidR="001065E4">
        <w:rPr>
          <w:rFonts w:cs="David" w:hint="cs"/>
          <w:sz w:val="24"/>
          <w:szCs w:val="24"/>
          <w:u w:val="single"/>
          <w:rtl/>
        </w:rPr>
        <w:t>-</w:t>
      </w:r>
      <w:r w:rsidR="000435DD">
        <w:rPr>
          <w:rFonts w:cs="David" w:hint="cs"/>
          <w:sz w:val="24"/>
          <w:szCs w:val="24"/>
          <w:rtl/>
        </w:rPr>
        <w:t>אמת המידה היא חוסר סבירות שתיבחן ע"פ נסיבות העניין, תנאי השוק, הוראות החוזה וכד'</w:t>
      </w:r>
      <w:r w:rsidR="000435DD">
        <w:rPr>
          <w:rStyle w:val="a5"/>
          <w:rFonts w:cs="David"/>
          <w:sz w:val="24"/>
          <w:szCs w:val="24"/>
          <w:rtl/>
        </w:rPr>
        <w:footnoteReference w:id="30"/>
      </w:r>
      <w:r w:rsidR="000435DD">
        <w:rPr>
          <w:rFonts w:cs="David" w:hint="cs"/>
          <w:sz w:val="24"/>
          <w:szCs w:val="24"/>
          <w:rtl/>
        </w:rPr>
        <w:t xml:space="preserve">. </w:t>
      </w:r>
      <w:r w:rsidR="00E3701B">
        <w:rPr>
          <w:rFonts w:cs="David" w:hint="cs"/>
          <w:sz w:val="24"/>
          <w:szCs w:val="24"/>
          <w:rtl/>
        </w:rPr>
        <w:t>בענייננו,</w:t>
      </w:r>
      <w:r w:rsidR="00D37F05">
        <w:rPr>
          <w:rFonts w:cs="David" w:hint="cs"/>
          <w:sz w:val="24"/>
          <w:szCs w:val="24"/>
          <w:rtl/>
        </w:rPr>
        <w:t>ניתן לומר ש</w:t>
      </w:r>
      <w:r w:rsidR="001065E4">
        <w:rPr>
          <w:rFonts w:cs="David" w:hint="cs"/>
          <w:sz w:val="24"/>
          <w:szCs w:val="24"/>
          <w:rtl/>
        </w:rPr>
        <w:t>תנאי ההסכם אינם סבירים</w:t>
      </w:r>
      <w:r w:rsidR="00FB4086">
        <w:rPr>
          <w:rFonts w:cs="David" w:hint="cs"/>
          <w:sz w:val="24"/>
          <w:szCs w:val="24"/>
          <w:rtl/>
        </w:rPr>
        <w:t>ופרופורציונאל</w:t>
      </w:r>
      <w:r w:rsidR="001065E4">
        <w:rPr>
          <w:rFonts w:cs="David" w:hint="cs"/>
          <w:sz w:val="24"/>
          <w:szCs w:val="24"/>
          <w:rtl/>
        </w:rPr>
        <w:t>י</w:t>
      </w:r>
      <w:r w:rsidR="00E3701B">
        <w:rPr>
          <w:rFonts w:cs="David" w:hint="cs"/>
          <w:sz w:val="24"/>
          <w:szCs w:val="24"/>
          <w:rtl/>
        </w:rPr>
        <w:t>ים</w:t>
      </w:r>
      <w:r w:rsidR="001065E4">
        <w:rPr>
          <w:rFonts w:cs="David" w:hint="cs"/>
          <w:sz w:val="24"/>
          <w:szCs w:val="24"/>
          <w:rtl/>
        </w:rPr>
        <w:t>שכן</w:t>
      </w:r>
      <w:r w:rsidR="00D37F05">
        <w:rPr>
          <w:rFonts w:cs="David" w:hint="cs"/>
          <w:sz w:val="24"/>
          <w:szCs w:val="24"/>
          <w:rtl/>
        </w:rPr>
        <w:t xml:space="preserve"> ברור ששווי הדירה </w:t>
      </w:r>
      <w:r w:rsidR="001065E4">
        <w:rPr>
          <w:rFonts w:cs="David" w:hint="cs"/>
          <w:sz w:val="24"/>
          <w:szCs w:val="24"/>
          <w:rtl/>
        </w:rPr>
        <w:t xml:space="preserve">גבוה בהרבה מהתשלום המצטבר לבית האבות.יש להוסיף כי ככל שהיחס בין הערכים נוטה יותר לרעתו של </w:t>
      </w:r>
      <w:r w:rsidR="00E3701B">
        <w:rPr>
          <w:rFonts w:cs="David" w:hint="cs"/>
          <w:sz w:val="24"/>
          <w:szCs w:val="24"/>
          <w:rtl/>
        </w:rPr>
        <w:t>העשוק, ייטה ביהמ"ש</w:t>
      </w:r>
      <w:r w:rsidR="00535FE7">
        <w:rPr>
          <w:rFonts w:cs="David" w:hint="cs"/>
          <w:sz w:val="24"/>
          <w:szCs w:val="24"/>
          <w:rtl/>
        </w:rPr>
        <w:t>לקבל את יתר</w:t>
      </w:r>
      <w:r w:rsidR="00E3701B">
        <w:rPr>
          <w:rFonts w:cs="David" w:hint="cs"/>
          <w:sz w:val="24"/>
          <w:szCs w:val="24"/>
          <w:rtl/>
        </w:rPr>
        <w:t xml:space="preserve">היסודות </w:t>
      </w:r>
      <w:r w:rsidR="00535FE7">
        <w:rPr>
          <w:rFonts w:cs="David" w:hint="cs"/>
          <w:sz w:val="24"/>
          <w:szCs w:val="24"/>
          <w:rtl/>
        </w:rPr>
        <w:t xml:space="preserve">של עילת העושק. </w:t>
      </w:r>
    </w:p>
    <w:p w:rsidR="001065E4" w:rsidRPr="001065E4" w:rsidRDefault="00535FE7" w:rsidP="00B50CB3">
      <w:pPr>
        <w:keepNext/>
        <w:spacing w:line="360" w:lineRule="auto"/>
        <w:rPr>
          <w:rFonts w:cs="David"/>
          <w:sz w:val="24"/>
          <w:szCs w:val="24"/>
          <w:rtl/>
        </w:rPr>
      </w:pPr>
      <w:r>
        <w:rPr>
          <w:rFonts w:cs="David" w:hint="cs"/>
          <w:sz w:val="24"/>
          <w:szCs w:val="24"/>
          <w:rtl/>
        </w:rPr>
        <w:t>לסיכום, אני סבורה כי מעשיו של רונן במקרה דנן גובלים בהטעיה ועושק, יש להוסיף שעסקה כזאת אי אפשר לעשות אלא עם אדם הנתון במצוקה וחולשה שכלית ופיזית, ובהיות שמואל במצב זה, ידע רונןשהוא יכול להציע עסקה בלתי סבירה שכזו. על כן, לעניות דעתי החוזה יבוטל בשל אחת הטענות או שתיהן יחד.</w:t>
      </w:r>
    </w:p>
    <w:p w:rsidR="00D74E43" w:rsidRPr="00701970" w:rsidRDefault="00D74E43" w:rsidP="00701970">
      <w:pPr>
        <w:keepNext/>
        <w:spacing w:line="360" w:lineRule="auto"/>
        <w:rPr>
          <w:rFonts w:cs="Guttman Mantova-Decor"/>
          <w:sz w:val="52"/>
          <w:szCs w:val="52"/>
        </w:rPr>
      </w:pPr>
    </w:p>
    <w:sectPr w:rsidR="00D74E43" w:rsidRPr="00701970" w:rsidSect="00DF620C">
      <w:pgSz w:w="11906" w:h="16838"/>
      <w:pgMar w:top="1418" w:right="1418" w:bottom="1418" w:left="1418"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E24" w:rsidRDefault="00497E24" w:rsidP="00B60162">
      <w:pPr>
        <w:spacing w:after="0" w:line="240" w:lineRule="auto"/>
      </w:pPr>
      <w:r>
        <w:separator/>
      </w:r>
    </w:p>
  </w:endnote>
  <w:endnote w:type="continuationSeparator" w:id="1">
    <w:p w:rsidR="00497E24" w:rsidRDefault="00497E24" w:rsidP="00B601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Guttman Mantova-Decor">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E24" w:rsidRDefault="00497E24" w:rsidP="00B60162">
      <w:pPr>
        <w:spacing w:after="0" w:line="240" w:lineRule="auto"/>
      </w:pPr>
      <w:r>
        <w:separator/>
      </w:r>
    </w:p>
  </w:footnote>
  <w:footnote w:type="continuationSeparator" w:id="1">
    <w:p w:rsidR="00497E24" w:rsidRDefault="00497E24" w:rsidP="00B60162">
      <w:pPr>
        <w:spacing w:after="0" w:line="240" w:lineRule="auto"/>
      </w:pPr>
      <w:r>
        <w:continuationSeparator/>
      </w:r>
    </w:p>
  </w:footnote>
  <w:footnote w:id="2">
    <w:p w:rsidR="00B60162" w:rsidRDefault="00B60162" w:rsidP="006966FC">
      <w:pPr>
        <w:pStyle w:val="a3"/>
        <w:tabs>
          <w:tab w:val="left" w:pos="4675"/>
        </w:tabs>
      </w:pPr>
      <w:r>
        <w:rPr>
          <w:rStyle w:val="a5"/>
        </w:rPr>
        <w:footnoteRef/>
      </w:r>
      <w:r w:rsidR="00B0573C">
        <w:rPr>
          <w:rFonts w:hint="cs"/>
          <w:rtl/>
        </w:rPr>
        <w:t>סעיף 20 לחוק החוזים (חלק כללי), תשל"ג-1973.</w:t>
      </w:r>
    </w:p>
  </w:footnote>
  <w:footnote w:id="3">
    <w:p w:rsidR="00B60162" w:rsidRDefault="00B60162" w:rsidP="00B16947">
      <w:pPr>
        <w:pStyle w:val="a3"/>
      </w:pPr>
      <w:r>
        <w:rPr>
          <w:rStyle w:val="a5"/>
        </w:rPr>
        <w:footnoteRef/>
      </w:r>
      <w:r w:rsidR="004A0513">
        <w:rPr>
          <w:rFonts w:hint="cs"/>
          <w:rtl/>
        </w:rPr>
        <w:t xml:space="preserve">ע"א 2469/06 </w:t>
      </w:r>
      <w:r w:rsidR="004A0513">
        <w:rPr>
          <w:rFonts w:hint="cs"/>
          <w:b/>
          <w:bCs/>
          <w:rtl/>
        </w:rPr>
        <w:t>סויסה נ' חברת זאגא בע"מ,</w:t>
      </w:r>
      <w:r w:rsidR="00B16947">
        <w:rPr>
          <w:rFonts w:hint="cs"/>
          <w:rtl/>
        </w:rPr>
        <w:t xml:space="preserve"> פסקה 9 לפס"ד של השופטת חיות (טרם פורסם, 14.08.2008</w:t>
      </w:r>
      <w:r w:rsidR="009864D1">
        <w:rPr>
          <w:rFonts w:hint="cs"/>
          <w:rtl/>
        </w:rPr>
        <w:t>).</w:t>
      </w:r>
    </w:p>
  </w:footnote>
  <w:footnote w:id="4">
    <w:p w:rsidR="007255D9" w:rsidRDefault="007255D9" w:rsidP="00AD6609">
      <w:pPr>
        <w:pStyle w:val="a3"/>
      </w:pPr>
      <w:r>
        <w:rPr>
          <w:rStyle w:val="a5"/>
        </w:rPr>
        <w:footnoteRef/>
      </w:r>
      <w:r w:rsidR="00AD6609">
        <w:rPr>
          <w:rFonts w:hint="cs"/>
          <w:rtl/>
        </w:rPr>
        <w:t xml:space="preserve">גבריאלה שלו </w:t>
      </w:r>
      <w:r w:rsidR="00AD6609">
        <w:rPr>
          <w:rFonts w:hint="cs"/>
          <w:b/>
          <w:bCs/>
          <w:rtl/>
        </w:rPr>
        <w:t xml:space="preserve">דיני חוזים-החלק הכללי לקראת קודיפיקציה של המשפט </w:t>
      </w:r>
      <w:r w:rsidR="00AD6609" w:rsidRPr="00AD6609">
        <w:rPr>
          <w:rFonts w:hint="cs"/>
          <w:b/>
          <w:bCs/>
          <w:rtl/>
        </w:rPr>
        <w:t>האזרחי</w:t>
      </w:r>
      <w:r w:rsidR="00506430">
        <w:rPr>
          <w:rFonts w:hint="cs"/>
          <w:rtl/>
        </w:rPr>
        <w:t xml:space="preserve">עמ' </w:t>
      </w:r>
      <w:r w:rsidR="00AD6609">
        <w:rPr>
          <w:rFonts w:hint="cs"/>
          <w:rtl/>
        </w:rPr>
        <w:t>277(2005).</w:t>
      </w:r>
    </w:p>
  </w:footnote>
  <w:footnote w:id="5">
    <w:p w:rsidR="00C42F69" w:rsidRDefault="00C42F69" w:rsidP="00942CA1">
      <w:pPr>
        <w:pStyle w:val="a3"/>
      </w:pPr>
      <w:r>
        <w:rPr>
          <w:rStyle w:val="a5"/>
        </w:rPr>
        <w:footnoteRef/>
      </w:r>
      <w:r w:rsidR="00942CA1">
        <w:rPr>
          <w:rFonts w:hint="cs"/>
          <w:rtl/>
        </w:rPr>
        <w:t xml:space="preserve">ע"א 838/75 </w:t>
      </w:r>
      <w:r w:rsidR="00942CA1" w:rsidRPr="00942CA1">
        <w:rPr>
          <w:rFonts w:hint="cs"/>
          <w:b/>
          <w:bCs/>
          <w:rtl/>
        </w:rPr>
        <w:t>ספקטור נ' צרפתי</w:t>
      </w:r>
      <w:r w:rsidR="00942CA1">
        <w:rPr>
          <w:rFonts w:hint="cs"/>
          <w:rtl/>
        </w:rPr>
        <w:t>, פ"ד לב(1) 231, 237 (1977).</w:t>
      </w:r>
    </w:p>
  </w:footnote>
  <w:footnote w:id="6">
    <w:p w:rsidR="00000788" w:rsidRDefault="00000788" w:rsidP="00385C28">
      <w:pPr>
        <w:pStyle w:val="a3"/>
        <w:rPr>
          <w:rtl/>
        </w:rPr>
      </w:pPr>
      <w:r>
        <w:rPr>
          <w:rStyle w:val="a5"/>
        </w:rPr>
        <w:footnoteRef/>
      </w:r>
      <w:r w:rsidR="00385C28" w:rsidRPr="00385C28">
        <w:rPr>
          <w:rFonts w:cs="Arial" w:hint="cs"/>
          <w:rtl/>
        </w:rPr>
        <w:t>ע</w:t>
      </w:r>
      <w:r w:rsidR="00385C28" w:rsidRPr="00385C28">
        <w:rPr>
          <w:rFonts w:cs="Arial"/>
          <w:rtl/>
        </w:rPr>
        <w:t>"</w:t>
      </w:r>
      <w:r w:rsidR="00385C28" w:rsidRPr="00385C28">
        <w:rPr>
          <w:rFonts w:cs="Arial" w:hint="cs"/>
          <w:rtl/>
        </w:rPr>
        <w:t>א</w:t>
      </w:r>
      <w:r w:rsidR="00385C28" w:rsidRPr="00385C28">
        <w:rPr>
          <w:rFonts w:cs="Arial"/>
          <w:rtl/>
        </w:rPr>
        <w:t xml:space="preserve"> 2469/06 </w:t>
      </w:r>
      <w:r w:rsidR="00385C28" w:rsidRPr="00385C28">
        <w:rPr>
          <w:rFonts w:cs="Arial" w:hint="cs"/>
          <w:b/>
          <w:bCs/>
          <w:rtl/>
        </w:rPr>
        <w:t>סויסהנ</w:t>
      </w:r>
      <w:r w:rsidR="00385C28" w:rsidRPr="00385C28">
        <w:rPr>
          <w:rFonts w:cs="Arial"/>
          <w:b/>
          <w:bCs/>
          <w:rtl/>
        </w:rPr>
        <w:t xml:space="preserve">' </w:t>
      </w:r>
      <w:r w:rsidR="00385C28" w:rsidRPr="00385C28">
        <w:rPr>
          <w:rFonts w:cs="Arial" w:hint="cs"/>
          <w:b/>
          <w:bCs/>
          <w:rtl/>
        </w:rPr>
        <w:t>חברתזאגאבע</w:t>
      </w:r>
      <w:r w:rsidR="00385C28" w:rsidRPr="00385C28">
        <w:rPr>
          <w:rFonts w:cs="Arial"/>
          <w:b/>
          <w:bCs/>
          <w:rtl/>
        </w:rPr>
        <w:t>"</w:t>
      </w:r>
      <w:r w:rsidR="00385C28" w:rsidRPr="00385C28">
        <w:rPr>
          <w:rFonts w:cs="Arial" w:hint="cs"/>
          <w:b/>
          <w:bCs/>
          <w:rtl/>
        </w:rPr>
        <w:t>מ</w:t>
      </w:r>
      <w:r w:rsidR="00385C28" w:rsidRPr="00385C28">
        <w:rPr>
          <w:rFonts w:cs="Arial"/>
          <w:b/>
          <w:bCs/>
          <w:rtl/>
        </w:rPr>
        <w:t>,</w:t>
      </w:r>
      <w:r w:rsidR="00385C28" w:rsidRPr="00385C28">
        <w:rPr>
          <w:rFonts w:cs="Arial" w:hint="cs"/>
          <w:rtl/>
        </w:rPr>
        <w:t>פסקה</w:t>
      </w:r>
      <w:r w:rsidR="00385C28">
        <w:rPr>
          <w:rFonts w:cs="Arial" w:hint="cs"/>
          <w:rtl/>
        </w:rPr>
        <w:t>12</w:t>
      </w:r>
      <w:r w:rsidR="00385C28" w:rsidRPr="00385C28">
        <w:rPr>
          <w:rFonts w:cs="Arial" w:hint="cs"/>
          <w:rtl/>
        </w:rPr>
        <w:t>לפס</w:t>
      </w:r>
      <w:r w:rsidR="00385C28" w:rsidRPr="00385C28">
        <w:rPr>
          <w:rFonts w:cs="Arial"/>
          <w:rtl/>
        </w:rPr>
        <w:t>"</w:t>
      </w:r>
      <w:r w:rsidR="00385C28" w:rsidRPr="00385C28">
        <w:rPr>
          <w:rFonts w:cs="Arial" w:hint="cs"/>
          <w:rtl/>
        </w:rPr>
        <w:t>דשלהשופטתחיות</w:t>
      </w:r>
      <w:r w:rsidR="00385C28" w:rsidRPr="00385C28">
        <w:rPr>
          <w:rFonts w:cs="Arial"/>
          <w:rtl/>
        </w:rPr>
        <w:t xml:space="preserve"> (</w:t>
      </w:r>
      <w:r w:rsidR="00385C28" w:rsidRPr="00385C28">
        <w:rPr>
          <w:rFonts w:cs="Arial" w:hint="cs"/>
          <w:rtl/>
        </w:rPr>
        <w:t>טרםפורסם</w:t>
      </w:r>
      <w:r w:rsidR="00385C28" w:rsidRPr="00385C28">
        <w:rPr>
          <w:rFonts w:cs="Arial"/>
          <w:rtl/>
        </w:rPr>
        <w:t>, 14.08.2008).</w:t>
      </w:r>
    </w:p>
  </w:footnote>
  <w:footnote w:id="7">
    <w:p w:rsidR="00D04B2B" w:rsidRDefault="00D04B2B" w:rsidP="00AD6609">
      <w:pPr>
        <w:pStyle w:val="a3"/>
        <w:rPr>
          <w:rtl/>
        </w:rPr>
      </w:pPr>
      <w:r>
        <w:rPr>
          <w:rStyle w:val="a5"/>
        </w:rPr>
        <w:footnoteRef/>
      </w:r>
      <w:r w:rsidR="00AD6609" w:rsidRPr="00AD6609">
        <w:rPr>
          <w:rFonts w:cs="Arial" w:hint="cs"/>
          <w:rtl/>
        </w:rPr>
        <w:t>גבריאלהשלו</w:t>
      </w:r>
      <w:r w:rsidR="00AD6609" w:rsidRPr="00AD6609">
        <w:rPr>
          <w:rFonts w:cs="Arial" w:hint="cs"/>
          <w:b/>
          <w:bCs/>
          <w:rtl/>
        </w:rPr>
        <w:t>דיניחוזים</w:t>
      </w:r>
      <w:r w:rsidR="00AD6609" w:rsidRPr="00AD6609">
        <w:rPr>
          <w:rFonts w:cs="Arial"/>
          <w:b/>
          <w:bCs/>
          <w:rtl/>
        </w:rPr>
        <w:t>-</w:t>
      </w:r>
      <w:r w:rsidR="00AD6609" w:rsidRPr="00AD6609">
        <w:rPr>
          <w:rFonts w:cs="Arial" w:hint="cs"/>
          <w:b/>
          <w:bCs/>
          <w:rtl/>
        </w:rPr>
        <w:t>החלקהכללילקראתקודיפיקציהשלהמשפטהאזרחי</w:t>
      </w:r>
      <w:r w:rsidR="00506430">
        <w:rPr>
          <w:rFonts w:cs="Arial" w:hint="cs"/>
          <w:rtl/>
        </w:rPr>
        <w:t xml:space="preserve">עמ' </w:t>
      </w:r>
      <w:r w:rsidR="00AD6609">
        <w:rPr>
          <w:rFonts w:cs="Arial" w:hint="cs"/>
          <w:rtl/>
        </w:rPr>
        <w:t>299</w:t>
      </w:r>
      <w:r w:rsidR="00AD6609" w:rsidRPr="00AD6609">
        <w:rPr>
          <w:rFonts w:cs="Arial"/>
          <w:rtl/>
        </w:rPr>
        <w:t xml:space="preserve"> (2005).</w:t>
      </w:r>
    </w:p>
  </w:footnote>
  <w:footnote w:id="8">
    <w:p w:rsidR="00DB07F1" w:rsidRDefault="00DB07F1" w:rsidP="00E367A5">
      <w:pPr>
        <w:pStyle w:val="a3"/>
        <w:rPr>
          <w:rtl/>
        </w:rPr>
      </w:pPr>
      <w:r>
        <w:rPr>
          <w:rStyle w:val="a5"/>
        </w:rPr>
        <w:footnoteRef/>
      </w:r>
      <w:r w:rsidR="00E367A5">
        <w:rPr>
          <w:rFonts w:cs="Arial" w:hint="cs"/>
          <w:rtl/>
        </w:rPr>
        <w:t xml:space="preserve">ע"א 44/66,309/66 </w:t>
      </w:r>
      <w:r w:rsidR="00E367A5" w:rsidRPr="00E367A5">
        <w:rPr>
          <w:rFonts w:cs="Arial" w:hint="cs"/>
          <w:b/>
          <w:bCs/>
          <w:rtl/>
        </w:rPr>
        <w:t>לקי דרייב נ' הרץ,</w:t>
      </w:r>
      <w:r w:rsidR="00E367A5">
        <w:rPr>
          <w:rFonts w:cs="Arial" w:hint="cs"/>
          <w:rtl/>
        </w:rPr>
        <w:t xml:space="preserve"> פ"ד כא(1) 576, 585 (</w:t>
      </w:r>
      <w:r w:rsidR="00E367A5">
        <w:rPr>
          <w:rFonts w:hint="cs"/>
          <w:rtl/>
        </w:rPr>
        <w:t>1967).</w:t>
      </w:r>
    </w:p>
  </w:footnote>
  <w:footnote w:id="9">
    <w:p w:rsidR="00DB07F1" w:rsidRDefault="00DB07F1">
      <w:pPr>
        <w:pStyle w:val="a3"/>
      </w:pPr>
      <w:r>
        <w:rPr>
          <w:rStyle w:val="a5"/>
        </w:rPr>
        <w:footnoteRef/>
      </w:r>
      <w:r w:rsidRPr="00DB07F1">
        <w:rPr>
          <w:rFonts w:cs="Arial" w:hint="cs"/>
          <w:rtl/>
        </w:rPr>
        <w:t>ע</w:t>
      </w:r>
      <w:r w:rsidRPr="00DB07F1">
        <w:rPr>
          <w:rFonts w:cs="Arial"/>
          <w:rtl/>
        </w:rPr>
        <w:t>"</w:t>
      </w:r>
      <w:r w:rsidRPr="00DB07F1">
        <w:rPr>
          <w:rFonts w:cs="Arial" w:hint="cs"/>
          <w:rtl/>
        </w:rPr>
        <w:t>א</w:t>
      </w:r>
      <w:r w:rsidRPr="00DB07F1">
        <w:rPr>
          <w:rFonts w:cs="Arial"/>
          <w:rtl/>
        </w:rPr>
        <w:t xml:space="preserve"> 494/74 </w:t>
      </w:r>
      <w:r w:rsidRPr="00E367A5">
        <w:rPr>
          <w:rFonts w:cs="Arial" w:hint="cs"/>
          <w:b/>
          <w:bCs/>
          <w:rtl/>
        </w:rPr>
        <w:t>חברתביתהחשמונאיםנ</w:t>
      </w:r>
      <w:r w:rsidRPr="00E367A5">
        <w:rPr>
          <w:rFonts w:cs="Arial"/>
          <w:b/>
          <w:bCs/>
          <w:rtl/>
        </w:rPr>
        <w:t xml:space="preserve">' </w:t>
      </w:r>
      <w:r w:rsidRPr="00E367A5">
        <w:rPr>
          <w:rFonts w:cs="Arial" w:hint="cs"/>
          <w:b/>
          <w:bCs/>
          <w:rtl/>
        </w:rPr>
        <w:t>אהרוני</w:t>
      </w:r>
      <w:r w:rsidRPr="00E367A5">
        <w:rPr>
          <w:rFonts w:cs="Arial"/>
          <w:b/>
          <w:bCs/>
          <w:rtl/>
        </w:rPr>
        <w:t>,</w:t>
      </w:r>
      <w:r w:rsidRPr="00DB07F1">
        <w:rPr>
          <w:rFonts w:cs="Arial" w:hint="cs"/>
          <w:rtl/>
        </w:rPr>
        <w:t>פ</w:t>
      </w:r>
      <w:r w:rsidRPr="00DB07F1">
        <w:rPr>
          <w:rFonts w:cs="Arial"/>
          <w:rtl/>
        </w:rPr>
        <w:t>"</w:t>
      </w:r>
      <w:r w:rsidRPr="00DB07F1">
        <w:rPr>
          <w:rFonts w:cs="Arial" w:hint="cs"/>
          <w:rtl/>
        </w:rPr>
        <w:t>דל</w:t>
      </w:r>
      <w:r w:rsidRPr="00DB07F1">
        <w:rPr>
          <w:rFonts w:cs="Arial"/>
          <w:rtl/>
        </w:rPr>
        <w:t>(2) 141, 145 (1976).</w:t>
      </w:r>
    </w:p>
  </w:footnote>
  <w:footnote w:id="10">
    <w:p w:rsidR="009A2D93" w:rsidRDefault="009A2D93" w:rsidP="00942CA1">
      <w:pPr>
        <w:pStyle w:val="a3"/>
      </w:pPr>
      <w:r>
        <w:rPr>
          <w:rStyle w:val="a5"/>
        </w:rPr>
        <w:footnoteRef/>
      </w:r>
      <w:r w:rsidR="00942CA1" w:rsidRPr="00942CA1">
        <w:rPr>
          <w:rFonts w:cs="Arial" w:hint="cs"/>
          <w:rtl/>
        </w:rPr>
        <w:t>ע</w:t>
      </w:r>
      <w:r w:rsidR="00942CA1" w:rsidRPr="00942CA1">
        <w:rPr>
          <w:rFonts w:cs="Arial"/>
          <w:rtl/>
        </w:rPr>
        <w:t>"</w:t>
      </w:r>
      <w:r w:rsidR="00942CA1" w:rsidRPr="00942CA1">
        <w:rPr>
          <w:rFonts w:cs="Arial" w:hint="cs"/>
          <w:rtl/>
        </w:rPr>
        <w:t>א</w:t>
      </w:r>
      <w:r w:rsidR="00942CA1" w:rsidRPr="00942CA1">
        <w:rPr>
          <w:rFonts w:cs="Arial"/>
          <w:rtl/>
        </w:rPr>
        <w:t xml:space="preserve"> 838/75 </w:t>
      </w:r>
      <w:r w:rsidR="00942CA1" w:rsidRPr="00942CA1">
        <w:rPr>
          <w:rFonts w:cs="Arial" w:hint="cs"/>
          <w:b/>
          <w:bCs/>
          <w:rtl/>
        </w:rPr>
        <w:t>ספקטורנ</w:t>
      </w:r>
      <w:r w:rsidR="00942CA1" w:rsidRPr="00942CA1">
        <w:rPr>
          <w:rFonts w:cs="Arial"/>
          <w:b/>
          <w:bCs/>
          <w:rtl/>
        </w:rPr>
        <w:t xml:space="preserve">' </w:t>
      </w:r>
      <w:r w:rsidR="00942CA1" w:rsidRPr="00942CA1">
        <w:rPr>
          <w:rFonts w:cs="Arial" w:hint="cs"/>
          <w:b/>
          <w:bCs/>
          <w:rtl/>
        </w:rPr>
        <w:t>צרפתי</w:t>
      </w:r>
      <w:r w:rsidR="00942CA1" w:rsidRPr="00942CA1">
        <w:rPr>
          <w:rFonts w:cs="Arial"/>
          <w:b/>
          <w:bCs/>
          <w:rtl/>
        </w:rPr>
        <w:t>,</w:t>
      </w:r>
      <w:r w:rsidR="00942CA1" w:rsidRPr="00942CA1">
        <w:rPr>
          <w:rFonts w:cs="Arial" w:hint="cs"/>
          <w:rtl/>
        </w:rPr>
        <w:t>פ</w:t>
      </w:r>
      <w:r w:rsidR="00942CA1" w:rsidRPr="00942CA1">
        <w:rPr>
          <w:rFonts w:cs="Arial"/>
          <w:rtl/>
        </w:rPr>
        <w:t>"</w:t>
      </w:r>
      <w:r w:rsidR="00942CA1" w:rsidRPr="00942CA1">
        <w:rPr>
          <w:rFonts w:cs="Arial" w:hint="cs"/>
          <w:rtl/>
        </w:rPr>
        <w:t>דלב</w:t>
      </w:r>
      <w:r w:rsidR="00942CA1" w:rsidRPr="00942CA1">
        <w:rPr>
          <w:rFonts w:cs="Arial"/>
          <w:rtl/>
        </w:rPr>
        <w:t>(1) 231, 23</w:t>
      </w:r>
      <w:r w:rsidR="00942CA1">
        <w:rPr>
          <w:rFonts w:cs="Arial" w:hint="cs"/>
          <w:rtl/>
        </w:rPr>
        <w:t>8</w:t>
      </w:r>
      <w:r w:rsidR="00942CA1" w:rsidRPr="00942CA1">
        <w:rPr>
          <w:rFonts w:cs="Arial"/>
          <w:rtl/>
        </w:rPr>
        <w:t xml:space="preserve"> (1977).</w:t>
      </w:r>
    </w:p>
  </w:footnote>
  <w:footnote w:id="11">
    <w:p w:rsidR="00BC5D04" w:rsidRDefault="00BC5D04" w:rsidP="00953ED8">
      <w:pPr>
        <w:pStyle w:val="a3"/>
        <w:rPr>
          <w:rtl/>
        </w:rPr>
      </w:pPr>
      <w:r>
        <w:rPr>
          <w:rStyle w:val="a5"/>
        </w:rPr>
        <w:footnoteRef/>
      </w:r>
      <w:r w:rsidR="00953ED8">
        <w:rPr>
          <w:rFonts w:hint="cs"/>
          <w:rtl/>
        </w:rPr>
        <w:t xml:space="preserve">ע"א 5393/03 </w:t>
      </w:r>
      <w:r w:rsidR="00953ED8">
        <w:rPr>
          <w:rFonts w:hint="cs"/>
          <w:b/>
          <w:bCs/>
          <w:rtl/>
        </w:rPr>
        <w:t xml:space="preserve">פרג' נ' מיטל, </w:t>
      </w:r>
      <w:r w:rsidR="00953ED8">
        <w:rPr>
          <w:rFonts w:hint="cs"/>
          <w:rtl/>
        </w:rPr>
        <w:t xml:space="preserve">פסקה 6 </w:t>
      </w:r>
      <w:r w:rsidR="00506430">
        <w:rPr>
          <w:rFonts w:hint="cs"/>
          <w:rtl/>
        </w:rPr>
        <w:t>ע</w:t>
      </w:r>
      <w:r w:rsidR="00953ED8">
        <w:rPr>
          <w:rFonts w:hint="cs"/>
          <w:rtl/>
        </w:rPr>
        <w:t>מ</w:t>
      </w:r>
      <w:r w:rsidR="00506430">
        <w:rPr>
          <w:rFonts w:hint="cs"/>
          <w:rtl/>
        </w:rPr>
        <w:t>'</w:t>
      </w:r>
      <w:r w:rsidR="00953ED8">
        <w:rPr>
          <w:rFonts w:hint="cs"/>
          <w:rtl/>
        </w:rPr>
        <w:t xml:space="preserve"> 8 לפס"ד של השופטת ארבל (טרם פורסם, 18.01.2005).</w:t>
      </w:r>
    </w:p>
  </w:footnote>
  <w:footnote w:id="12">
    <w:p w:rsidR="00302BFA" w:rsidRDefault="00302BFA" w:rsidP="00942CA1">
      <w:pPr>
        <w:pStyle w:val="a3"/>
      </w:pPr>
      <w:r>
        <w:rPr>
          <w:rStyle w:val="a5"/>
        </w:rPr>
        <w:footnoteRef/>
      </w:r>
      <w:r w:rsidR="00942CA1" w:rsidRPr="00942CA1">
        <w:rPr>
          <w:rFonts w:cs="Arial" w:hint="cs"/>
          <w:rtl/>
        </w:rPr>
        <w:t>ע</w:t>
      </w:r>
      <w:r w:rsidR="00942CA1" w:rsidRPr="00942CA1">
        <w:rPr>
          <w:rFonts w:cs="Arial"/>
          <w:rtl/>
        </w:rPr>
        <w:t>"</w:t>
      </w:r>
      <w:r w:rsidR="00942CA1" w:rsidRPr="00942CA1">
        <w:rPr>
          <w:rFonts w:cs="Arial" w:hint="cs"/>
          <w:rtl/>
        </w:rPr>
        <w:t>א</w:t>
      </w:r>
      <w:r w:rsidR="00942CA1" w:rsidRPr="00942CA1">
        <w:rPr>
          <w:rFonts w:cs="Arial"/>
          <w:rtl/>
        </w:rPr>
        <w:t xml:space="preserve"> 838/75 </w:t>
      </w:r>
      <w:r w:rsidR="00942CA1" w:rsidRPr="00942CA1">
        <w:rPr>
          <w:rFonts w:cs="Arial" w:hint="cs"/>
          <w:b/>
          <w:bCs/>
          <w:rtl/>
        </w:rPr>
        <w:t>ספקטורנ</w:t>
      </w:r>
      <w:r w:rsidR="00942CA1" w:rsidRPr="00942CA1">
        <w:rPr>
          <w:rFonts w:cs="Arial"/>
          <w:b/>
          <w:bCs/>
          <w:rtl/>
        </w:rPr>
        <w:t xml:space="preserve">' </w:t>
      </w:r>
      <w:r w:rsidR="00942CA1" w:rsidRPr="00942CA1">
        <w:rPr>
          <w:rFonts w:cs="Arial" w:hint="cs"/>
          <w:b/>
          <w:bCs/>
          <w:rtl/>
        </w:rPr>
        <w:t>צרפתי</w:t>
      </w:r>
      <w:r w:rsidR="00942CA1" w:rsidRPr="00942CA1">
        <w:rPr>
          <w:rFonts w:cs="Arial"/>
          <w:b/>
          <w:bCs/>
          <w:rtl/>
        </w:rPr>
        <w:t>,</w:t>
      </w:r>
      <w:r w:rsidR="00942CA1" w:rsidRPr="00942CA1">
        <w:rPr>
          <w:rFonts w:cs="Arial" w:hint="cs"/>
          <w:rtl/>
        </w:rPr>
        <w:t>פ</w:t>
      </w:r>
      <w:r w:rsidR="00942CA1" w:rsidRPr="00942CA1">
        <w:rPr>
          <w:rFonts w:cs="Arial"/>
          <w:rtl/>
        </w:rPr>
        <w:t>"</w:t>
      </w:r>
      <w:r w:rsidR="00942CA1" w:rsidRPr="00942CA1">
        <w:rPr>
          <w:rFonts w:cs="Arial" w:hint="cs"/>
          <w:rtl/>
        </w:rPr>
        <w:t>דלב</w:t>
      </w:r>
      <w:r w:rsidR="00942CA1">
        <w:rPr>
          <w:rFonts w:cs="Arial"/>
          <w:rtl/>
        </w:rPr>
        <w:t>(1)</w:t>
      </w:r>
      <w:r w:rsidR="00942CA1" w:rsidRPr="00942CA1">
        <w:rPr>
          <w:rFonts w:cs="Arial"/>
          <w:rtl/>
        </w:rPr>
        <w:t>231, 23</w:t>
      </w:r>
      <w:r w:rsidR="00942CA1">
        <w:rPr>
          <w:rFonts w:cs="Arial" w:hint="cs"/>
          <w:rtl/>
        </w:rPr>
        <w:t>6</w:t>
      </w:r>
      <w:r w:rsidR="00942CA1" w:rsidRPr="00942CA1">
        <w:rPr>
          <w:rFonts w:cs="Arial"/>
          <w:rtl/>
        </w:rPr>
        <w:t xml:space="preserve"> (1977).</w:t>
      </w:r>
    </w:p>
  </w:footnote>
  <w:footnote w:id="13">
    <w:p w:rsidR="00DA3048" w:rsidRDefault="00DA3048" w:rsidP="002E3DEA">
      <w:pPr>
        <w:pStyle w:val="a3"/>
        <w:rPr>
          <w:rtl/>
        </w:rPr>
      </w:pPr>
      <w:r>
        <w:rPr>
          <w:rStyle w:val="a5"/>
        </w:rPr>
        <w:footnoteRef/>
      </w:r>
      <w:r w:rsidR="00A40E8D" w:rsidRPr="00A40E8D">
        <w:t xml:space="preserve">Anthony T.Kronman, "mistake, disclosure, information, and the law of contracts" </w:t>
      </w:r>
      <w:r w:rsidR="00A40E8D" w:rsidRPr="000B01F1">
        <w:rPr>
          <w:b/>
          <w:bCs/>
        </w:rPr>
        <w:t>the journal of legal studies,</w:t>
      </w:r>
      <w:r w:rsidR="00A40E8D" w:rsidRPr="00A40E8D">
        <w:t xml:space="preserve"> vol.7, no.1 ,</w:t>
      </w:r>
      <w:r w:rsidR="002E3DEA" w:rsidRPr="00A40E8D">
        <w:t>pp.</w:t>
      </w:r>
      <w:r w:rsidR="002E3DEA">
        <w:t xml:space="preserve"> 13-16</w:t>
      </w:r>
      <w:r w:rsidR="00A40E8D" w:rsidRPr="00A40E8D">
        <w:t xml:space="preserve"> (1978</w:t>
      </w:r>
      <w:r w:rsidR="002E3DEA">
        <w:t>)</w:t>
      </w:r>
      <w:r w:rsidR="00A52F13">
        <w:t>.</w:t>
      </w:r>
    </w:p>
  </w:footnote>
  <w:footnote w:id="14">
    <w:p w:rsidR="00F40BE4" w:rsidRDefault="00F40BE4">
      <w:pPr>
        <w:pStyle w:val="a3"/>
        <w:rPr>
          <w:rtl/>
        </w:rPr>
      </w:pPr>
      <w:r>
        <w:rPr>
          <w:rStyle w:val="a5"/>
        </w:rPr>
        <w:footnoteRef/>
      </w:r>
      <w:r w:rsidRPr="00F40BE4">
        <w:rPr>
          <w:rFonts w:cs="Arial" w:hint="cs"/>
          <w:rtl/>
        </w:rPr>
        <w:t>סעיף</w:t>
      </w:r>
      <w:r w:rsidRPr="00F40BE4">
        <w:rPr>
          <w:rFonts w:cs="Arial"/>
          <w:rtl/>
        </w:rPr>
        <w:t xml:space="preserve"> 15 </w:t>
      </w:r>
      <w:r w:rsidRPr="00F40BE4">
        <w:rPr>
          <w:rFonts w:cs="Arial" w:hint="cs"/>
          <w:rtl/>
        </w:rPr>
        <w:t>לחוקהחוזים</w:t>
      </w:r>
      <w:r w:rsidRPr="00F40BE4">
        <w:rPr>
          <w:rFonts w:cs="Arial"/>
          <w:rtl/>
        </w:rPr>
        <w:t xml:space="preserve"> (</w:t>
      </w:r>
      <w:r w:rsidRPr="00F40BE4">
        <w:rPr>
          <w:rFonts w:cs="Arial" w:hint="cs"/>
          <w:rtl/>
        </w:rPr>
        <w:t>חלקכללי</w:t>
      </w:r>
      <w:r w:rsidRPr="00F40BE4">
        <w:rPr>
          <w:rFonts w:cs="Arial"/>
          <w:rtl/>
        </w:rPr>
        <w:t xml:space="preserve">), </w:t>
      </w:r>
      <w:r w:rsidRPr="00F40BE4">
        <w:rPr>
          <w:rFonts w:cs="Arial" w:hint="cs"/>
          <w:rtl/>
        </w:rPr>
        <w:t>תשל</w:t>
      </w:r>
      <w:r w:rsidRPr="00F40BE4">
        <w:rPr>
          <w:rFonts w:cs="Arial"/>
          <w:rtl/>
        </w:rPr>
        <w:t>"</w:t>
      </w:r>
      <w:r w:rsidRPr="00F40BE4">
        <w:rPr>
          <w:rFonts w:cs="Arial" w:hint="cs"/>
          <w:rtl/>
        </w:rPr>
        <w:t>ג</w:t>
      </w:r>
      <w:r w:rsidRPr="00F40BE4">
        <w:rPr>
          <w:rFonts w:cs="Arial"/>
          <w:rtl/>
        </w:rPr>
        <w:t>-1973.</w:t>
      </w:r>
    </w:p>
  </w:footnote>
  <w:footnote w:id="15">
    <w:p w:rsidR="00F40BE4" w:rsidRDefault="00F40BE4">
      <w:pPr>
        <w:pStyle w:val="a3"/>
        <w:rPr>
          <w:rtl/>
        </w:rPr>
      </w:pPr>
      <w:r>
        <w:rPr>
          <w:rStyle w:val="a5"/>
        </w:rPr>
        <w:footnoteRef/>
      </w:r>
      <w:r w:rsidRPr="00F40BE4">
        <w:rPr>
          <w:rFonts w:cs="Arial" w:hint="cs"/>
          <w:rtl/>
        </w:rPr>
        <w:t>סעיף</w:t>
      </w:r>
      <w:r w:rsidRPr="00F40BE4">
        <w:rPr>
          <w:rFonts w:cs="Arial"/>
          <w:rtl/>
        </w:rPr>
        <w:t xml:space="preserve"> 12 </w:t>
      </w:r>
      <w:r w:rsidRPr="00F40BE4">
        <w:rPr>
          <w:rFonts w:cs="Arial" w:hint="cs"/>
          <w:rtl/>
        </w:rPr>
        <w:t>לחוקהחוזים</w:t>
      </w:r>
      <w:r w:rsidRPr="00F40BE4">
        <w:rPr>
          <w:rFonts w:cs="Arial"/>
          <w:rtl/>
        </w:rPr>
        <w:t xml:space="preserve"> (</w:t>
      </w:r>
      <w:r w:rsidRPr="00F40BE4">
        <w:rPr>
          <w:rFonts w:cs="Arial" w:hint="cs"/>
          <w:rtl/>
        </w:rPr>
        <w:t>חלקכללי</w:t>
      </w:r>
      <w:r w:rsidRPr="00F40BE4">
        <w:rPr>
          <w:rFonts w:cs="Arial"/>
          <w:rtl/>
        </w:rPr>
        <w:t xml:space="preserve">), </w:t>
      </w:r>
      <w:r w:rsidRPr="00F40BE4">
        <w:rPr>
          <w:rFonts w:cs="Arial" w:hint="cs"/>
          <w:rtl/>
        </w:rPr>
        <w:t>תשל</w:t>
      </w:r>
      <w:r w:rsidRPr="00F40BE4">
        <w:rPr>
          <w:rFonts w:cs="Arial"/>
          <w:rtl/>
        </w:rPr>
        <w:t>"</w:t>
      </w:r>
      <w:r w:rsidRPr="00F40BE4">
        <w:rPr>
          <w:rFonts w:cs="Arial" w:hint="cs"/>
          <w:rtl/>
        </w:rPr>
        <w:t>ג</w:t>
      </w:r>
      <w:r w:rsidRPr="00F40BE4">
        <w:rPr>
          <w:rFonts w:cs="Arial"/>
          <w:rtl/>
        </w:rPr>
        <w:t>-1973.</w:t>
      </w:r>
    </w:p>
  </w:footnote>
  <w:footnote w:id="16">
    <w:p w:rsidR="00F40BE4" w:rsidRDefault="00F40BE4">
      <w:pPr>
        <w:pStyle w:val="a3"/>
      </w:pPr>
      <w:r>
        <w:rPr>
          <w:rStyle w:val="a5"/>
        </w:rPr>
        <w:footnoteRef/>
      </w:r>
      <w:r w:rsidRPr="00F40BE4">
        <w:rPr>
          <w:rFonts w:cs="Arial" w:hint="cs"/>
          <w:rtl/>
        </w:rPr>
        <w:t>ע</w:t>
      </w:r>
      <w:r w:rsidRPr="00F40BE4">
        <w:rPr>
          <w:rFonts w:cs="Arial"/>
          <w:rtl/>
        </w:rPr>
        <w:t>"</w:t>
      </w:r>
      <w:r w:rsidRPr="00F40BE4">
        <w:rPr>
          <w:rFonts w:cs="Arial" w:hint="cs"/>
          <w:rtl/>
        </w:rPr>
        <w:t>א</w:t>
      </w:r>
      <w:r w:rsidRPr="00F40BE4">
        <w:rPr>
          <w:rFonts w:cs="Arial"/>
          <w:rtl/>
        </w:rPr>
        <w:t xml:space="preserve"> 9019/99 </w:t>
      </w:r>
      <w:r w:rsidRPr="00F40BE4">
        <w:rPr>
          <w:rFonts w:cs="Arial" w:hint="cs"/>
          <w:b/>
          <w:bCs/>
          <w:rtl/>
        </w:rPr>
        <w:t>קינסטלינגרנ</w:t>
      </w:r>
      <w:r w:rsidRPr="00F40BE4">
        <w:rPr>
          <w:rFonts w:cs="Arial"/>
          <w:b/>
          <w:bCs/>
          <w:rtl/>
        </w:rPr>
        <w:t xml:space="preserve">' </w:t>
      </w:r>
      <w:r w:rsidRPr="00F40BE4">
        <w:rPr>
          <w:rFonts w:cs="Arial" w:hint="cs"/>
          <w:b/>
          <w:bCs/>
          <w:rtl/>
        </w:rPr>
        <w:t>אליה</w:t>
      </w:r>
      <w:r w:rsidRPr="00F40BE4">
        <w:rPr>
          <w:rFonts w:cs="Arial"/>
          <w:b/>
          <w:bCs/>
          <w:rtl/>
        </w:rPr>
        <w:t>,</w:t>
      </w:r>
      <w:r w:rsidRPr="00F40BE4">
        <w:rPr>
          <w:rFonts w:cs="Arial" w:hint="cs"/>
          <w:rtl/>
        </w:rPr>
        <w:t>פ</w:t>
      </w:r>
      <w:r w:rsidRPr="00F40BE4">
        <w:rPr>
          <w:rFonts w:cs="Arial"/>
          <w:rtl/>
        </w:rPr>
        <w:t>"</w:t>
      </w:r>
      <w:r w:rsidRPr="00F40BE4">
        <w:rPr>
          <w:rFonts w:cs="Arial" w:hint="cs"/>
          <w:rtl/>
        </w:rPr>
        <w:t>דנה</w:t>
      </w:r>
      <w:r w:rsidRPr="00F40BE4">
        <w:rPr>
          <w:rFonts w:cs="Arial"/>
          <w:rtl/>
        </w:rPr>
        <w:t>(3) 542, 547 (2001).</w:t>
      </w:r>
    </w:p>
  </w:footnote>
  <w:footnote w:id="17">
    <w:p w:rsidR="00F40BE4" w:rsidRDefault="00F40BE4" w:rsidP="00506430">
      <w:pPr>
        <w:pStyle w:val="a3"/>
      </w:pPr>
      <w:r>
        <w:rPr>
          <w:rStyle w:val="a5"/>
        </w:rPr>
        <w:footnoteRef/>
      </w:r>
      <w:r w:rsidR="00506430" w:rsidRPr="00506430">
        <w:rPr>
          <w:rFonts w:cs="Arial" w:hint="cs"/>
          <w:rtl/>
        </w:rPr>
        <w:t>ע</w:t>
      </w:r>
      <w:r w:rsidR="00506430" w:rsidRPr="00506430">
        <w:rPr>
          <w:rFonts w:cs="Arial"/>
          <w:rtl/>
        </w:rPr>
        <w:t>"</w:t>
      </w:r>
      <w:r w:rsidR="00506430" w:rsidRPr="00506430">
        <w:rPr>
          <w:rFonts w:cs="Arial" w:hint="cs"/>
          <w:rtl/>
        </w:rPr>
        <w:t>א</w:t>
      </w:r>
      <w:r w:rsidR="00506430" w:rsidRPr="00506430">
        <w:rPr>
          <w:rFonts w:cs="Arial"/>
          <w:rtl/>
        </w:rPr>
        <w:t xml:space="preserve"> 5393/03 </w:t>
      </w:r>
      <w:r w:rsidR="00506430" w:rsidRPr="00506430">
        <w:rPr>
          <w:rFonts w:cs="Arial" w:hint="cs"/>
          <w:b/>
          <w:bCs/>
          <w:rtl/>
        </w:rPr>
        <w:t>פרג</w:t>
      </w:r>
      <w:r w:rsidR="00506430" w:rsidRPr="00506430">
        <w:rPr>
          <w:rFonts w:cs="Arial"/>
          <w:b/>
          <w:bCs/>
          <w:rtl/>
        </w:rPr>
        <w:t xml:space="preserve">' </w:t>
      </w:r>
      <w:r w:rsidR="00506430" w:rsidRPr="00506430">
        <w:rPr>
          <w:rFonts w:cs="Arial" w:hint="cs"/>
          <w:b/>
          <w:bCs/>
          <w:rtl/>
        </w:rPr>
        <w:t>נ</w:t>
      </w:r>
      <w:r w:rsidR="00506430" w:rsidRPr="00506430">
        <w:rPr>
          <w:rFonts w:cs="Arial"/>
          <w:b/>
          <w:bCs/>
          <w:rtl/>
        </w:rPr>
        <w:t xml:space="preserve">' </w:t>
      </w:r>
      <w:r w:rsidR="00506430" w:rsidRPr="00506430">
        <w:rPr>
          <w:rFonts w:cs="Arial" w:hint="cs"/>
          <w:b/>
          <w:bCs/>
          <w:rtl/>
        </w:rPr>
        <w:t>מיטל</w:t>
      </w:r>
      <w:r w:rsidR="00506430" w:rsidRPr="00506430">
        <w:rPr>
          <w:rFonts w:cs="Arial"/>
          <w:b/>
          <w:bCs/>
          <w:rtl/>
        </w:rPr>
        <w:t>,</w:t>
      </w:r>
      <w:r w:rsidR="00506430" w:rsidRPr="00506430">
        <w:rPr>
          <w:rFonts w:cs="Arial" w:hint="cs"/>
          <w:rtl/>
        </w:rPr>
        <w:t>פסקה</w:t>
      </w:r>
      <w:r w:rsidR="00506430">
        <w:rPr>
          <w:rFonts w:cs="Arial" w:hint="cs"/>
          <w:rtl/>
        </w:rPr>
        <w:t>9</w:t>
      </w:r>
      <w:r w:rsidR="00FF19A2">
        <w:rPr>
          <w:rFonts w:cs="Arial" w:hint="cs"/>
          <w:rtl/>
        </w:rPr>
        <w:t>ע</w:t>
      </w:r>
      <w:r w:rsidR="00506430">
        <w:rPr>
          <w:rFonts w:cs="Arial" w:hint="cs"/>
          <w:rtl/>
        </w:rPr>
        <w:t>מ'11</w:t>
      </w:r>
      <w:r w:rsidR="00506430" w:rsidRPr="00506430">
        <w:rPr>
          <w:rFonts w:cs="Arial" w:hint="cs"/>
          <w:rtl/>
        </w:rPr>
        <w:t>לפס</w:t>
      </w:r>
      <w:r w:rsidR="00506430" w:rsidRPr="00506430">
        <w:rPr>
          <w:rFonts w:cs="Arial"/>
          <w:rtl/>
        </w:rPr>
        <w:t>"</w:t>
      </w:r>
      <w:r w:rsidR="00506430" w:rsidRPr="00506430">
        <w:rPr>
          <w:rFonts w:cs="Arial" w:hint="cs"/>
          <w:rtl/>
        </w:rPr>
        <w:t>דשלהשופטתארבל</w:t>
      </w:r>
      <w:r w:rsidR="00506430" w:rsidRPr="00506430">
        <w:rPr>
          <w:rFonts w:cs="Arial"/>
          <w:rtl/>
        </w:rPr>
        <w:t xml:space="preserve"> (</w:t>
      </w:r>
      <w:r w:rsidR="00506430" w:rsidRPr="00506430">
        <w:rPr>
          <w:rFonts w:cs="Arial" w:hint="cs"/>
          <w:rtl/>
        </w:rPr>
        <w:t>טרםפורסם</w:t>
      </w:r>
      <w:r w:rsidR="00506430" w:rsidRPr="00506430">
        <w:rPr>
          <w:rFonts w:cs="Arial"/>
          <w:rtl/>
        </w:rPr>
        <w:t>, 18.01.2005).</w:t>
      </w:r>
    </w:p>
  </w:footnote>
  <w:footnote w:id="18">
    <w:p w:rsidR="00A80F86" w:rsidRDefault="00A80F86">
      <w:pPr>
        <w:pStyle w:val="a3"/>
      </w:pPr>
      <w:r>
        <w:rPr>
          <w:rStyle w:val="a5"/>
        </w:rPr>
        <w:footnoteRef/>
      </w:r>
      <w:r>
        <w:rPr>
          <w:rFonts w:hint="cs"/>
          <w:rtl/>
        </w:rPr>
        <w:t>סעיף 16 לחוק המכר</w:t>
      </w:r>
      <w:r w:rsidR="003C1AC6">
        <w:rPr>
          <w:rFonts w:hint="cs"/>
          <w:rtl/>
        </w:rPr>
        <w:t>, תשכ"ח- 1968.</w:t>
      </w:r>
    </w:p>
  </w:footnote>
  <w:footnote w:id="19">
    <w:p w:rsidR="001A5B7F" w:rsidRDefault="001A5B7F" w:rsidP="00AB1973">
      <w:pPr>
        <w:pStyle w:val="a3"/>
      </w:pPr>
      <w:r>
        <w:rPr>
          <w:rStyle w:val="a5"/>
        </w:rPr>
        <w:footnoteRef/>
      </w:r>
      <w:r w:rsidR="00AB1973" w:rsidRPr="00AB1973">
        <w:rPr>
          <w:rFonts w:cs="Arial" w:hint="cs"/>
          <w:rtl/>
        </w:rPr>
        <w:t>ע</w:t>
      </w:r>
      <w:r w:rsidR="00AB1973" w:rsidRPr="00AB1973">
        <w:rPr>
          <w:rFonts w:cs="Arial"/>
          <w:rtl/>
        </w:rPr>
        <w:t>"</w:t>
      </w:r>
      <w:r w:rsidR="00AB1973" w:rsidRPr="00AB1973">
        <w:rPr>
          <w:rFonts w:cs="Arial" w:hint="cs"/>
          <w:rtl/>
        </w:rPr>
        <w:t>א</w:t>
      </w:r>
      <w:r w:rsidR="00AB1973" w:rsidRPr="00AB1973">
        <w:rPr>
          <w:rFonts w:cs="Arial"/>
          <w:rtl/>
        </w:rPr>
        <w:t xml:space="preserve"> 838/75 </w:t>
      </w:r>
      <w:r w:rsidR="00AB1973" w:rsidRPr="00AB1973">
        <w:rPr>
          <w:rFonts w:cs="Arial" w:hint="cs"/>
          <w:b/>
          <w:bCs/>
          <w:rtl/>
        </w:rPr>
        <w:t>ספקטורנ</w:t>
      </w:r>
      <w:r w:rsidR="00AB1973" w:rsidRPr="00AB1973">
        <w:rPr>
          <w:rFonts w:cs="Arial"/>
          <w:b/>
          <w:bCs/>
          <w:rtl/>
        </w:rPr>
        <w:t xml:space="preserve">' </w:t>
      </w:r>
      <w:r w:rsidR="00AB1973" w:rsidRPr="00AB1973">
        <w:rPr>
          <w:rFonts w:cs="Arial" w:hint="cs"/>
          <w:b/>
          <w:bCs/>
          <w:rtl/>
        </w:rPr>
        <w:t>צרפתי</w:t>
      </w:r>
      <w:r w:rsidR="00AB1973" w:rsidRPr="00AB1973">
        <w:rPr>
          <w:rFonts w:cs="Arial"/>
          <w:b/>
          <w:bCs/>
          <w:rtl/>
        </w:rPr>
        <w:t>,</w:t>
      </w:r>
      <w:r w:rsidR="00AB1973" w:rsidRPr="00AB1973">
        <w:rPr>
          <w:rFonts w:cs="Arial" w:hint="cs"/>
          <w:rtl/>
        </w:rPr>
        <w:t>פ</w:t>
      </w:r>
      <w:r w:rsidR="00AB1973" w:rsidRPr="00AB1973">
        <w:rPr>
          <w:rFonts w:cs="Arial"/>
          <w:rtl/>
        </w:rPr>
        <w:t>"</w:t>
      </w:r>
      <w:r w:rsidR="00AB1973" w:rsidRPr="00AB1973">
        <w:rPr>
          <w:rFonts w:cs="Arial" w:hint="cs"/>
          <w:rtl/>
        </w:rPr>
        <w:t>דלב</w:t>
      </w:r>
      <w:r w:rsidR="00AB1973" w:rsidRPr="00AB1973">
        <w:rPr>
          <w:rFonts w:cs="Arial"/>
          <w:rtl/>
        </w:rPr>
        <w:t xml:space="preserve">(1) 231, </w:t>
      </w:r>
      <w:r w:rsidR="00AB1973">
        <w:rPr>
          <w:rFonts w:cs="Arial" w:hint="cs"/>
          <w:rtl/>
        </w:rPr>
        <w:t>232</w:t>
      </w:r>
      <w:r w:rsidR="00AB1973" w:rsidRPr="00AB1973">
        <w:rPr>
          <w:rFonts w:cs="Arial"/>
          <w:rtl/>
        </w:rPr>
        <w:t xml:space="preserve"> (1977).</w:t>
      </w:r>
    </w:p>
  </w:footnote>
  <w:footnote w:id="20">
    <w:p w:rsidR="005D0E3A" w:rsidRDefault="005D0E3A" w:rsidP="00AD6609">
      <w:pPr>
        <w:pStyle w:val="a3"/>
      </w:pPr>
      <w:r>
        <w:rPr>
          <w:rStyle w:val="a5"/>
        </w:rPr>
        <w:footnoteRef/>
      </w:r>
      <w:r w:rsidR="00AD6609" w:rsidRPr="00AD6609">
        <w:rPr>
          <w:rFonts w:cs="Arial" w:hint="cs"/>
          <w:rtl/>
        </w:rPr>
        <w:t>גבריאלהשלו</w:t>
      </w:r>
      <w:r w:rsidR="00AD6609" w:rsidRPr="00AD6609">
        <w:rPr>
          <w:rFonts w:cs="Arial" w:hint="cs"/>
          <w:b/>
          <w:bCs/>
          <w:rtl/>
        </w:rPr>
        <w:t>דיניחוזים</w:t>
      </w:r>
      <w:r w:rsidR="00AD6609" w:rsidRPr="00AD6609">
        <w:rPr>
          <w:rFonts w:cs="Arial"/>
          <w:b/>
          <w:bCs/>
          <w:rtl/>
        </w:rPr>
        <w:t>-</w:t>
      </w:r>
      <w:r w:rsidR="00AD6609" w:rsidRPr="00AD6609">
        <w:rPr>
          <w:rFonts w:cs="Arial" w:hint="cs"/>
          <w:b/>
          <w:bCs/>
          <w:rtl/>
        </w:rPr>
        <w:t>החלקהכללילקראתקודיפיקציהשלהמשפטהאזרחי</w:t>
      </w:r>
      <w:r w:rsidR="00AD6609">
        <w:rPr>
          <w:rFonts w:cs="Arial" w:hint="cs"/>
          <w:rtl/>
        </w:rPr>
        <w:t xml:space="preserve"> 322</w:t>
      </w:r>
      <w:r w:rsidR="00AD6609" w:rsidRPr="00AD6609">
        <w:rPr>
          <w:rFonts w:cs="Arial"/>
          <w:rtl/>
        </w:rPr>
        <w:t xml:space="preserve"> (2005).</w:t>
      </w:r>
    </w:p>
  </w:footnote>
  <w:footnote w:id="21">
    <w:p w:rsidR="001B5475" w:rsidRDefault="001B5475" w:rsidP="00385C28">
      <w:pPr>
        <w:pStyle w:val="a3"/>
      </w:pPr>
      <w:r>
        <w:rPr>
          <w:rStyle w:val="a5"/>
        </w:rPr>
        <w:footnoteRef/>
      </w:r>
      <w:r w:rsidR="00385C28" w:rsidRPr="00385C28">
        <w:rPr>
          <w:rFonts w:cs="Arial" w:hint="cs"/>
          <w:rtl/>
        </w:rPr>
        <w:t>ע</w:t>
      </w:r>
      <w:r w:rsidR="00385C28" w:rsidRPr="00385C28">
        <w:rPr>
          <w:rFonts w:cs="Arial"/>
          <w:rtl/>
        </w:rPr>
        <w:t>"</w:t>
      </w:r>
      <w:r w:rsidR="00385C28" w:rsidRPr="00385C28">
        <w:rPr>
          <w:rFonts w:cs="Arial" w:hint="cs"/>
          <w:rtl/>
        </w:rPr>
        <w:t>א</w:t>
      </w:r>
      <w:r w:rsidR="00385C28" w:rsidRPr="00385C28">
        <w:rPr>
          <w:rFonts w:cs="Arial"/>
          <w:rtl/>
        </w:rPr>
        <w:t xml:space="preserve"> 2469/06 </w:t>
      </w:r>
      <w:r w:rsidR="00385C28" w:rsidRPr="00385C28">
        <w:rPr>
          <w:rFonts w:cs="Arial" w:hint="cs"/>
          <w:b/>
          <w:bCs/>
          <w:rtl/>
        </w:rPr>
        <w:t>סויסהנ</w:t>
      </w:r>
      <w:r w:rsidR="00385C28" w:rsidRPr="00385C28">
        <w:rPr>
          <w:rFonts w:cs="Arial"/>
          <w:b/>
          <w:bCs/>
          <w:rtl/>
        </w:rPr>
        <w:t xml:space="preserve">' </w:t>
      </w:r>
      <w:r w:rsidR="00385C28" w:rsidRPr="00385C28">
        <w:rPr>
          <w:rFonts w:cs="Arial" w:hint="cs"/>
          <w:b/>
          <w:bCs/>
          <w:rtl/>
        </w:rPr>
        <w:t>חברתזאגאבע</w:t>
      </w:r>
      <w:r w:rsidR="00385C28" w:rsidRPr="00385C28">
        <w:rPr>
          <w:rFonts w:cs="Arial"/>
          <w:b/>
          <w:bCs/>
          <w:rtl/>
        </w:rPr>
        <w:t>"</w:t>
      </w:r>
      <w:r w:rsidR="00385C28" w:rsidRPr="00385C28">
        <w:rPr>
          <w:rFonts w:cs="Arial" w:hint="cs"/>
          <w:b/>
          <w:bCs/>
          <w:rtl/>
        </w:rPr>
        <w:t>מ</w:t>
      </w:r>
      <w:r w:rsidR="00385C28" w:rsidRPr="00385C28">
        <w:rPr>
          <w:rFonts w:cs="Arial"/>
          <w:b/>
          <w:bCs/>
          <w:rtl/>
        </w:rPr>
        <w:t>,</w:t>
      </w:r>
      <w:r w:rsidR="00385C28" w:rsidRPr="00385C28">
        <w:rPr>
          <w:rFonts w:cs="Arial" w:hint="cs"/>
          <w:rtl/>
        </w:rPr>
        <w:t>פסקה</w:t>
      </w:r>
      <w:r w:rsidR="00385C28">
        <w:rPr>
          <w:rFonts w:cs="Arial" w:hint="cs"/>
          <w:rtl/>
        </w:rPr>
        <w:t>11</w:t>
      </w:r>
      <w:r w:rsidR="00385C28" w:rsidRPr="00385C28">
        <w:rPr>
          <w:rFonts w:cs="Arial" w:hint="cs"/>
          <w:rtl/>
        </w:rPr>
        <w:t>לפס</w:t>
      </w:r>
      <w:r w:rsidR="00385C28" w:rsidRPr="00385C28">
        <w:rPr>
          <w:rFonts w:cs="Arial"/>
          <w:rtl/>
        </w:rPr>
        <w:t>"</w:t>
      </w:r>
      <w:r w:rsidR="00385C28" w:rsidRPr="00385C28">
        <w:rPr>
          <w:rFonts w:cs="Arial" w:hint="cs"/>
          <w:rtl/>
        </w:rPr>
        <w:t>דשלהשופטתחיות</w:t>
      </w:r>
      <w:r w:rsidR="00385C28" w:rsidRPr="00385C28">
        <w:rPr>
          <w:rFonts w:cs="Arial"/>
          <w:rtl/>
        </w:rPr>
        <w:t xml:space="preserve"> (</w:t>
      </w:r>
      <w:r w:rsidR="00385C28" w:rsidRPr="00385C28">
        <w:rPr>
          <w:rFonts w:cs="Arial" w:hint="cs"/>
          <w:rtl/>
        </w:rPr>
        <w:t>טרםפורסם</w:t>
      </w:r>
      <w:r w:rsidR="00385C28" w:rsidRPr="00385C28">
        <w:rPr>
          <w:rFonts w:cs="Arial"/>
          <w:rtl/>
        </w:rPr>
        <w:t>, 14.08.2008).</w:t>
      </w:r>
    </w:p>
  </w:footnote>
  <w:footnote w:id="22">
    <w:p w:rsidR="00007BA0" w:rsidRDefault="00007BA0" w:rsidP="00E8417D">
      <w:pPr>
        <w:pStyle w:val="a3"/>
      </w:pPr>
      <w:r>
        <w:rPr>
          <w:rStyle w:val="a5"/>
        </w:rPr>
        <w:footnoteRef/>
      </w:r>
      <w:r w:rsidR="00E8417D">
        <w:rPr>
          <w:rFonts w:hint="cs"/>
          <w:rtl/>
        </w:rPr>
        <w:t xml:space="preserve">ע"א 1581/92 </w:t>
      </w:r>
      <w:r w:rsidR="00E8417D">
        <w:rPr>
          <w:rFonts w:hint="cs"/>
          <w:b/>
          <w:bCs/>
          <w:rtl/>
        </w:rPr>
        <w:t>ולנטין נ' ולנטין,</w:t>
      </w:r>
      <w:r w:rsidR="00E8417D">
        <w:rPr>
          <w:rFonts w:hint="cs"/>
          <w:rtl/>
        </w:rPr>
        <w:t xml:space="preserve"> פ"ד מט(3) 441, </w:t>
      </w:r>
      <w:r w:rsidR="00463280">
        <w:rPr>
          <w:rFonts w:hint="cs"/>
          <w:rtl/>
        </w:rPr>
        <w:t xml:space="preserve">452- </w:t>
      </w:r>
      <w:r w:rsidR="00E8417D">
        <w:rPr>
          <w:rFonts w:hint="cs"/>
          <w:rtl/>
        </w:rPr>
        <w:t>453 (1995).</w:t>
      </w:r>
    </w:p>
  </w:footnote>
  <w:footnote w:id="23">
    <w:p w:rsidR="00093702" w:rsidRDefault="00093702" w:rsidP="00E367A5">
      <w:pPr>
        <w:pStyle w:val="a3"/>
      </w:pPr>
      <w:r>
        <w:rPr>
          <w:rStyle w:val="a5"/>
        </w:rPr>
        <w:footnoteRef/>
      </w:r>
      <w:r w:rsidR="00E367A5" w:rsidRPr="00E367A5">
        <w:rPr>
          <w:rFonts w:cs="Arial" w:hint="cs"/>
          <w:rtl/>
        </w:rPr>
        <w:t>ע</w:t>
      </w:r>
      <w:r w:rsidR="00E367A5" w:rsidRPr="00E367A5">
        <w:rPr>
          <w:rFonts w:cs="Arial"/>
          <w:rtl/>
        </w:rPr>
        <w:t>"</w:t>
      </w:r>
      <w:r w:rsidR="00E367A5" w:rsidRPr="00E367A5">
        <w:rPr>
          <w:rFonts w:cs="Arial" w:hint="cs"/>
          <w:rtl/>
        </w:rPr>
        <w:t>א</w:t>
      </w:r>
      <w:r w:rsidR="00E367A5" w:rsidRPr="00E367A5">
        <w:rPr>
          <w:rFonts w:cs="Arial"/>
          <w:rtl/>
        </w:rPr>
        <w:t xml:space="preserve"> 44/66,309/66 </w:t>
      </w:r>
      <w:r w:rsidR="00E367A5" w:rsidRPr="00E367A5">
        <w:rPr>
          <w:rFonts w:cs="Arial" w:hint="cs"/>
          <w:b/>
          <w:bCs/>
          <w:rtl/>
        </w:rPr>
        <w:t>לקידרייבנ</w:t>
      </w:r>
      <w:r w:rsidR="00E367A5" w:rsidRPr="00E367A5">
        <w:rPr>
          <w:rFonts w:cs="Arial"/>
          <w:b/>
          <w:bCs/>
          <w:rtl/>
        </w:rPr>
        <w:t xml:space="preserve">' </w:t>
      </w:r>
      <w:r w:rsidR="00E367A5" w:rsidRPr="00E367A5">
        <w:rPr>
          <w:rFonts w:cs="Arial" w:hint="cs"/>
          <w:b/>
          <w:bCs/>
          <w:rtl/>
        </w:rPr>
        <w:t>הרץ</w:t>
      </w:r>
      <w:r w:rsidR="00E367A5" w:rsidRPr="00E367A5">
        <w:rPr>
          <w:rFonts w:cs="Arial"/>
          <w:b/>
          <w:bCs/>
          <w:rtl/>
        </w:rPr>
        <w:t>,</w:t>
      </w:r>
      <w:r w:rsidR="00E367A5" w:rsidRPr="00E367A5">
        <w:rPr>
          <w:rFonts w:cs="Arial" w:hint="cs"/>
          <w:rtl/>
        </w:rPr>
        <w:t>פ</w:t>
      </w:r>
      <w:r w:rsidR="00E367A5" w:rsidRPr="00E367A5">
        <w:rPr>
          <w:rFonts w:cs="Arial"/>
          <w:rtl/>
        </w:rPr>
        <w:t>"</w:t>
      </w:r>
      <w:r w:rsidR="00E367A5" w:rsidRPr="00E367A5">
        <w:rPr>
          <w:rFonts w:cs="Arial" w:hint="cs"/>
          <w:rtl/>
        </w:rPr>
        <w:t>דכא</w:t>
      </w:r>
      <w:r w:rsidR="00E367A5" w:rsidRPr="00E367A5">
        <w:rPr>
          <w:rFonts w:cs="Arial"/>
          <w:rtl/>
        </w:rPr>
        <w:t>(1) 576, 585 (1967).</w:t>
      </w:r>
    </w:p>
  </w:footnote>
  <w:footnote w:id="24">
    <w:p w:rsidR="00BD7380" w:rsidRDefault="00BD7380" w:rsidP="00020B21">
      <w:pPr>
        <w:pStyle w:val="a3"/>
      </w:pPr>
      <w:r>
        <w:rPr>
          <w:rStyle w:val="a5"/>
        </w:rPr>
        <w:footnoteRef/>
      </w:r>
      <w:r w:rsidR="00020B21" w:rsidRPr="00020B21">
        <w:rPr>
          <w:rFonts w:cs="Arial" w:hint="cs"/>
          <w:rtl/>
        </w:rPr>
        <w:t>סעיף</w:t>
      </w:r>
      <w:r w:rsidR="00020B21">
        <w:rPr>
          <w:rFonts w:cs="Arial" w:hint="cs"/>
          <w:rtl/>
        </w:rPr>
        <w:t>18</w:t>
      </w:r>
      <w:r w:rsidR="00020B21" w:rsidRPr="00020B21">
        <w:rPr>
          <w:rFonts w:cs="Arial" w:hint="cs"/>
          <w:rtl/>
        </w:rPr>
        <w:t>לחוקהחוזים</w:t>
      </w:r>
      <w:r w:rsidR="00020B21" w:rsidRPr="00020B21">
        <w:rPr>
          <w:rFonts w:cs="Arial"/>
          <w:rtl/>
        </w:rPr>
        <w:t xml:space="preserve"> (</w:t>
      </w:r>
      <w:r w:rsidR="00020B21" w:rsidRPr="00020B21">
        <w:rPr>
          <w:rFonts w:cs="Arial" w:hint="cs"/>
          <w:rtl/>
        </w:rPr>
        <w:t>חלקכללי</w:t>
      </w:r>
      <w:r w:rsidR="00020B21" w:rsidRPr="00020B21">
        <w:rPr>
          <w:rFonts w:cs="Arial"/>
          <w:rtl/>
        </w:rPr>
        <w:t xml:space="preserve">), </w:t>
      </w:r>
      <w:r w:rsidR="00020B21" w:rsidRPr="00020B21">
        <w:rPr>
          <w:rFonts w:cs="Arial" w:hint="cs"/>
          <w:rtl/>
        </w:rPr>
        <w:t>תשל</w:t>
      </w:r>
      <w:r w:rsidR="00020B21" w:rsidRPr="00020B21">
        <w:rPr>
          <w:rFonts w:cs="Arial"/>
          <w:rtl/>
        </w:rPr>
        <w:t>"</w:t>
      </w:r>
      <w:r w:rsidR="00020B21" w:rsidRPr="00020B21">
        <w:rPr>
          <w:rFonts w:cs="Arial" w:hint="cs"/>
          <w:rtl/>
        </w:rPr>
        <w:t>ג</w:t>
      </w:r>
      <w:r w:rsidR="00020B21" w:rsidRPr="00020B21">
        <w:rPr>
          <w:rFonts w:cs="Arial"/>
          <w:rtl/>
        </w:rPr>
        <w:t>-1973.</w:t>
      </w:r>
    </w:p>
  </w:footnote>
  <w:footnote w:id="25">
    <w:p w:rsidR="00BD7380" w:rsidRDefault="00BD7380" w:rsidP="00A82036">
      <w:pPr>
        <w:pStyle w:val="a3"/>
      </w:pPr>
      <w:r>
        <w:rPr>
          <w:rStyle w:val="a5"/>
        </w:rPr>
        <w:footnoteRef/>
      </w:r>
      <w:r w:rsidR="00A82036" w:rsidRPr="00A82036">
        <w:rPr>
          <w:rFonts w:cs="Arial" w:hint="cs"/>
          <w:rtl/>
        </w:rPr>
        <w:t>ע</w:t>
      </w:r>
      <w:r w:rsidR="00A82036" w:rsidRPr="00A82036">
        <w:rPr>
          <w:rFonts w:cs="Arial"/>
          <w:rtl/>
        </w:rPr>
        <w:t>"</w:t>
      </w:r>
      <w:r w:rsidR="00A82036" w:rsidRPr="00A82036">
        <w:rPr>
          <w:rFonts w:cs="Arial" w:hint="cs"/>
          <w:rtl/>
        </w:rPr>
        <w:t>א</w:t>
      </w:r>
      <w:r w:rsidR="00A82036" w:rsidRPr="00A82036">
        <w:rPr>
          <w:rFonts w:cs="Arial"/>
          <w:rtl/>
        </w:rPr>
        <w:t xml:space="preserve"> 2041/05 </w:t>
      </w:r>
      <w:r w:rsidR="00A82036" w:rsidRPr="00A82036">
        <w:rPr>
          <w:rFonts w:cs="Arial" w:hint="cs"/>
          <w:b/>
          <w:bCs/>
          <w:rtl/>
        </w:rPr>
        <w:t>מחקשווילינ</w:t>
      </w:r>
      <w:r w:rsidR="00A82036" w:rsidRPr="00A82036">
        <w:rPr>
          <w:rFonts w:cs="Arial"/>
          <w:b/>
          <w:bCs/>
          <w:rtl/>
        </w:rPr>
        <w:t xml:space="preserve">' </w:t>
      </w:r>
      <w:r w:rsidR="00A82036" w:rsidRPr="00A82036">
        <w:rPr>
          <w:rFonts w:cs="Arial" w:hint="cs"/>
          <w:b/>
          <w:bCs/>
          <w:rtl/>
        </w:rPr>
        <w:t>מיכקשווילי</w:t>
      </w:r>
      <w:r w:rsidR="00A82036" w:rsidRPr="00A82036">
        <w:rPr>
          <w:rFonts w:cs="Arial"/>
          <w:b/>
          <w:bCs/>
          <w:rtl/>
        </w:rPr>
        <w:t>,</w:t>
      </w:r>
      <w:r w:rsidR="00A82036" w:rsidRPr="00A82036">
        <w:rPr>
          <w:rFonts w:cs="Arial" w:hint="cs"/>
          <w:rtl/>
        </w:rPr>
        <w:t>פסקה</w:t>
      </w:r>
      <w:r w:rsidR="00A82036">
        <w:rPr>
          <w:rFonts w:cs="Arial" w:hint="cs"/>
          <w:rtl/>
        </w:rPr>
        <w:t xml:space="preserve">12 עמ' 13 </w:t>
      </w:r>
      <w:r w:rsidR="00A82036" w:rsidRPr="00A82036">
        <w:rPr>
          <w:rFonts w:cs="Arial" w:hint="cs"/>
          <w:rtl/>
        </w:rPr>
        <w:t>לפס</w:t>
      </w:r>
      <w:r w:rsidR="00A82036" w:rsidRPr="00A82036">
        <w:rPr>
          <w:rFonts w:cs="Arial"/>
          <w:rtl/>
        </w:rPr>
        <w:t>"</w:t>
      </w:r>
      <w:r w:rsidR="00A82036" w:rsidRPr="00A82036">
        <w:rPr>
          <w:rFonts w:cs="Arial" w:hint="cs"/>
          <w:rtl/>
        </w:rPr>
        <w:t>דשלהשופטתברלינר</w:t>
      </w:r>
      <w:r w:rsidR="00A82036" w:rsidRPr="00A82036">
        <w:rPr>
          <w:rFonts w:cs="Arial"/>
          <w:rtl/>
        </w:rPr>
        <w:t xml:space="preserve"> (</w:t>
      </w:r>
      <w:r w:rsidR="00A82036" w:rsidRPr="00A82036">
        <w:rPr>
          <w:rFonts w:cs="Arial" w:hint="cs"/>
          <w:rtl/>
        </w:rPr>
        <w:t>טרםפורסם</w:t>
      </w:r>
      <w:r w:rsidR="00A82036" w:rsidRPr="00A82036">
        <w:rPr>
          <w:rFonts w:cs="Arial"/>
          <w:rtl/>
        </w:rPr>
        <w:t>, 19.11.2007).</w:t>
      </w:r>
    </w:p>
  </w:footnote>
  <w:footnote w:id="26">
    <w:p w:rsidR="00725545" w:rsidRDefault="00725545" w:rsidP="00BB4633">
      <w:pPr>
        <w:pStyle w:val="a3"/>
      </w:pPr>
      <w:r>
        <w:rPr>
          <w:rStyle w:val="a5"/>
        </w:rPr>
        <w:footnoteRef/>
      </w:r>
      <w:r w:rsidR="00BB4633">
        <w:rPr>
          <w:rFonts w:hint="cs"/>
          <w:rtl/>
        </w:rPr>
        <w:t xml:space="preserve">ע"א 403/80 </w:t>
      </w:r>
      <w:r w:rsidR="00BB4633">
        <w:rPr>
          <w:rFonts w:hint="cs"/>
          <w:b/>
          <w:bCs/>
          <w:rtl/>
        </w:rPr>
        <w:t xml:space="preserve">סאסי נ' קיקאון, </w:t>
      </w:r>
      <w:r w:rsidR="00BB4633">
        <w:rPr>
          <w:rFonts w:hint="cs"/>
          <w:rtl/>
        </w:rPr>
        <w:t>פ"ד לו(1) 762, 768 (1981).</w:t>
      </w:r>
    </w:p>
  </w:footnote>
  <w:footnote w:id="27">
    <w:p w:rsidR="000A4DFF" w:rsidRDefault="000A4DFF" w:rsidP="00506430">
      <w:pPr>
        <w:pStyle w:val="a3"/>
      </w:pPr>
      <w:r>
        <w:rPr>
          <w:rStyle w:val="a5"/>
        </w:rPr>
        <w:footnoteRef/>
      </w:r>
      <w:r w:rsidR="00506430">
        <w:rPr>
          <w:rFonts w:cs="Arial" w:hint="cs"/>
          <w:rtl/>
        </w:rPr>
        <w:t>שם, בעמ' 770.</w:t>
      </w:r>
    </w:p>
  </w:footnote>
  <w:footnote w:id="28">
    <w:p w:rsidR="00817E3E" w:rsidRDefault="00817E3E" w:rsidP="00E367A5">
      <w:pPr>
        <w:pStyle w:val="a3"/>
      </w:pPr>
      <w:r>
        <w:rPr>
          <w:rStyle w:val="a5"/>
        </w:rPr>
        <w:footnoteRef/>
      </w:r>
      <w:r w:rsidR="00E367A5">
        <w:rPr>
          <w:rFonts w:hint="cs"/>
          <w:rtl/>
        </w:rPr>
        <w:t xml:space="preserve">ע"א 784/81 </w:t>
      </w:r>
      <w:r w:rsidR="00E367A5">
        <w:rPr>
          <w:rFonts w:hint="cs"/>
          <w:b/>
          <w:bCs/>
          <w:rtl/>
        </w:rPr>
        <w:t xml:space="preserve">שפיר נ' אפל, </w:t>
      </w:r>
      <w:r w:rsidR="00E367A5">
        <w:rPr>
          <w:rFonts w:hint="cs"/>
          <w:rtl/>
        </w:rPr>
        <w:t>פ"ד לט(4) 149,</w:t>
      </w:r>
      <w:r>
        <w:rPr>
          <w:rFonts w:hint="cs"/>
          <w:rtl/>
        </w:rPr>
        <w:t xml:space="preserve"> 155</w:t>
      </w:r>
      <w:r w:rsidR="00E367A5">
        <w:rPr>
          <w:rFonts w:hint="cs"/>
          <w:rtl/>
        </w:rPr>
        <w:t xml:space="preserve"> (1985).</w:t>
      </w:r>
    </w:p>
  </w:footnote>
  <w:footnote w:id="29">
    <w:p w:rsidR="000A4DFF" w:rsidRDefault="000A4DFF" w:rsidP="00506430">
      <w:pPr>
        <w:pStyle w:val="a3"/>
        <w:tabs>
          <w:tab w:val="left" w:pos="3385"/>
        </w:tabs>
        <w:rPr>
          <w:rtl/>
        </w:rPr>
      </w:pPr>
      <w:r>
        <w:rPr>
          <w:rStyle w:val="a5"/>
        </w:rPr>
        <w:footnoteRef/>
      </w:r>
      <w:r w:rsidR="00506430" w:rsidRPr="00506430">
        <w:rPr>
          <w:rFonts w:cs="Arial" w:hint="cs"/>
          <w:rtl/>
        </w:rPr>
        <w:t>ע</w:t>
      </w:r>
      <w:r w:rsidR="00506430" w:rsidRPr="00506430">
        <w:rPr>
          <w:rFonts w:cs="Arial"/>
          <w:rtl/>
        </w:rPr>
        <w:t>"</w:t>
      </w:r>
      <w:r w:rsidR="00506430" w:rsidRPr="00506430">
        <w:rPr>
          <w:rFonts w:cs="Arial" w:hint="cs"/>
          <w:rtl/>
        </w:rPr>
        <w:t>א</w:t>
      </w:r>
      <w:r w:rsidR="00506430" w:rsidRPr="00506430">
        <w:rPr>
          <w:rFonts w:cs="Arial"/>
          <w:rtl/>
        </w:rPr>
        <w:t xml:space="preserve"> 2041/05 </w:t>
      </w:r>
      <w:r w:rsidR="00506430" w:rsidRPr="00506430">
        <w:rPr>
          <w:rFonts w:cs="Arial" w:hint="cs"/>
          <w:b/>
          <w:bCs/>
          <w:rtl/>
        </w:rPr>
        <w:t>מחקשווילינ</w:t>
      </w:r>
      <w:r w:rsidR="00506430" w:rsidRPr="00506430">
        <w:rPr>
          <w:rFonts w:cs="Arial"/>
          <w:b/>
          <w:bCs/>
          <w:rtl/>
        </w:rPr>
        <w:t xml:space="preserve">' </w:t>
      </w:r>
      <w:r w:rsidR="00506430" w:rsidRPr="00506430">
        <w:rPr>
          <w:rFonts w:cs="Arial" w:hint="cs"/>
          <w:b/>
          <w:bCs/>
          <w:rtl/>
        </w:rPr>
        <w:t>מיכקשווילי</w:t>
      </w:r>
      <w:r w:rsidR="00506430" w:rsidRPr="00506430">
        <w:rPr>
          <w:rFonts w:cs="Arial"/>
          <w:b/>
          <w:bCs/>
          <w:rtl/>
        </w:rPr>
        <w:t>,</w:t>
      </w:r>
      <w:r w:rsidR="00FF19A2">
        <w:rPr>
          <w:rFonts w:cs="Arial" w:hint="cs"/>
          <w:rtl/>
        </w:rPr>
        <w:t xml:space="preserve"> פסקה 13 עמ' 14 לפס"ד של השופטת ברלינר (טרם פורסם, </w:t>
      </w:r>
      <w:r w:rsidR="00FF19A2">
        <w:rPr>
          <w:rFonts w:hint="cs"/>
          <w:rtl/>
        </w:rPr>
        <w:t>19.11.2007).</w:t>
      </w:r>
    </w:p>
  </w:footnote>
  <w:footnote w:id="30">
    <w:p w:rsidR="000435DD" w:rsidRDefault="000435DD" w:rsidP="00AD6609">
      <w:pPr>
        <w:pStyle w:val="a3"/>
        <w:rPr>
          <w:rtl/>
        </w:rPr>
      </w:pPr>
      <w:r>
        <w:rPr>
          <w:rStyle w:val="a5"/>
        </w:rPr>
        <w:footnoteRef/>
      </w:r>
      <w:r w:rsidR="00AD6609" w:rsidRPr="00AD6609">
        <w:rPr>
          <w:rFonts w:cs="Arial" w:hint="cs"/>
          <w:rtl/>
        </w:rPr>
        <w:t>גבריאלהשלו</w:t>
      </w:r>
      <w:r w:rsidR="00AD6609" w:rsidRPr="00AD6609">
        <w:rPr>
          <w:rFonts w:cs="Arial" w:hint="cs"/>
          <w:b/>
          <w:bCs/>
          <w:rtl/>
        </w:rPr>
        <w:t>דיניחוזים</w:t>
      </w:r>
      <w:r w:rsidR="00AD6609" w:rsidRPr="00AD6609">
        <w:rPr>
          <w:rFonts w:cs="Arial"/>
          <w:b/>
          <w:bCs/>
          <w:rtl/>
        </w:rPr>
        <w:t>-</w:t>
      </w:r>
      <w:r w:rsidR="00AD6609" w:rsidRPr="00AD6609">
        <w:rPr>
          <w:rFonts w:cs="Arial" w:hint="cs"/>
          <w:b/>
          <w:bCs/>
          <w:rtl/>
        </w:rPr>
        <w:t>החלקהכללילקראתקודיפיקציהשלהמשפטהאזרחי</w:t>
      </w:r>
      <w:r w:rsidR="00506430">
        <w:rPr>
          <w:rFonts w:cs="Arial" w:hint="cs"/>
          <w:rtl/>
        </w:rPr>
        <w:t>עמ' 350</w:t>
      </w:r>
      <w:r w:rsidR="00AD6609" w:rsidRPr="00AD6609">
        <w:rPr>
          <w:rFonts w:cs="Arial"/>
          <w:rtl/>
        </w:rPr>
        <w:t>(2005).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33315"/>
    <w:multiLevelType w:val="hybridMultilevel"/>
    <w:tmpl w:val="0C3CAB68"/>
    <w:lvl w:ilvl="0" w:tplc="B1D02A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11002D"/>
    <w:multiLevelType w:val="hybridMultilevel"/>
    <w:tmpl w:val="118EBFB8"/>
    <w:lvl w:ilvl="0" w:tplc="68702C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4E43"/>
    <w:rsid w:val="00000788"/>
    <w:rsid w:val="00007BA0"/>
    <w:rsid w:val="00020B21"/>
    <w:rsid w:val="00026833"/>
    <w:rsid w:val="000435DD"/>
    <w:rsid w:val="000453D4"/>
    <w:rsid w:val="0004771B"/>
    <w:rsid w:val="00093702"/>
    <w:rsid w:val="000A4DFF"/>
    <w:rsid w:val="000A69FE"/>
    <w:rsid w:val="000B01F1"/>
    <w:rsid w:val="001003CE"/>
    <w:rsid w:val="0010193B"/>
    <w:rsid w:val="001065E4"/>
    <w:rsid w:val="00123680"/>
    <w:rsid w:val="00125F50"/>
    <w:rsid w:val="001300D3"/>
    <w:rsid w:val="001317D0"/>
    <w:rsid w:val="00181D09"/>
    <w:rsid w:val="001A4EC0"/>
    <w:rsid w:val="001A5B7F"/>
    <w:rsid w:val="001B5475"/>
    <w:rsid w:val="00237863"/>
    <w:rsid w:val="002468D5"/>
    <w:rsid w:val="0025750B"/>
    <w:rsid w:val="0026200B"/>
    <w:rsid w:val="002668E9"/>
    <w:rsid w:val="002B5797"/>
    <w:rsid w:val="002E3DEA"/>
    <w:rsid w:val="00302BFA"/>
    <w:rsid w:val="00307570"/>
    <w:rsid w:val="00367589"/>
    <w:rsid w:val="00376272"/>
    <w:rsid w:val="00385C28"/>
    <w:rsid w:val="00394881"/>
    <w:rsid w:val="003B08D3"/>
    <w:rsid w:val="003C1AC6"/>
    <w:rsid w:val="003D5946"/>
    <w:rsid w:val="00412987"/>
    <w:rsid w:val="00427C36"/>
    <w:rsid w:val="004549D8"/>
    <w:rsid w:val="00463280"/>
    <w:rsid w:val="00497E24"/>
    <w:rsid w:val="004A0513"/>
    <w:rsid w:val="004B3CD1"/>
    <w:rsid w:val="004B4403"/>
    <w:rsid w:val="004C2A52"/>
    <w:rsid w:val="004D6D1F"/>
    <w:rsid w:val="005007EC"/>
    <w:rsid w:val="00504211"/>
    <w:rsid w:val="00506430"/>
    <w:rsid w:val="00522947"/>
    <w:rsid w:val="00535FE7"/>
    <w:rsid w:val="00542B1A"/>
    <w:rsid w:val="005722BC"/>
    <w:rsid w:val="00576D54"/>
    <w:rsid w:val="005B110B"/>
    <w:rsid w:val="005B7BEA"/>
    <w:rsid w:val="005D0E3A"/>
    <w:rsid w:val="005E00B7"/>
    <w:rsid w:val="006464E0"/>
    <w:rsid w:val="0066098A"/>
    <w:rsid w:val="006755AA"/>
    <w:rsid w:val="0068284E"/>
    <w:rsid w:val="006966FC"/>
    <w:rsid w:val="006C3C2D"/>
    <w:rsid w:val="006D770B"/>
    <w:rsid w:val="006E1B1B"/>
    <w:rsid w:val="00701970"/>
    <w:rsid w:val="00721091"/>
    <w:rsid w:val="00725545"/>
    <w:rsid w:val="007255D9"/>
    <w:rsid w:val="007347E0"/>
    <w:rsid w:val="007764CF"/>
    <w:rsid w:val="007C219D"/>
    <w:rsid w:val="00817E3E"/>
    <w:rsid w:val="008402C9"/>
    <w:rsid w:val="00851D84"/>
    <w:rsid w:val="00880F57"/>
    <w:rsid w:val="008D36B1"/>
    <w:rsid w:val="008D482D"/>
    <w:rsid w:val="008F19D5"/>
    <w:rsid w:val="008F1BDA"/>
    <w:rsid w:val="00902313"/>
    <w:rsid w:val="00915120"/>
    <w:rsid w:val="009258EB"/>
    <w:rsid w:val="00942CA1"/>
    <w:rsid w:val="00953ED8"/>
    <w:rsid w:val="009610CC"/>
    <w:rsid w:val="009864D1"/>
    <w:rsid w:val="009A2D93"/>
    <w:rsid w:val="009A3444"/>
    <w:rsid w:val="00A03215"/>
    <w:rsid w:val="00A40E8D"/>
    <w:rsid w:val="00A52D44"/>
    <w:rsid w:val="00A52F13"/>
    <w:rsid w:val="00A629B8"/>
    <w:rsid w:val="00A80F86"/>
    <w:rsid w:val="00A82036"/>
    <w:rsid w:val="00A865B2"/>
    <w:rsid w:val="00A9171A"/>
    <w:rsid w:val="00AB1973"/>
    <w:rsid w:val="00AC5767"/>
    <w:rsid w:val="00AC5787"/>
    <w:rsid w:val="00AD6609"/>
    <w:rsid w:val="00AE5B7B"/>
    <w:rsid w:val="00B02D77"/>
    <w:rsid w:val="00B0573C"/>
    <w:rsid w:val="00B16947"/>
    <w:rsid w:val="00B24D06"/>
    <w:rsid w:val="00B25FB8"/>
    <w:rsid w:val="00B343DE"/>
    <w:rsid w:val="00B4608E"/>
    <w:rsid w:val="00B50CB3"/>
    <w:rsid w:val="00B60162"/>
    <w:rsid w:val="00B72FA1"/>
    <w:rsid w:val="00B85A22"/>
    <w:rsid w:val="00BB4633"/>
    <w:rsid w:val="00BC5D04"/>
    <w:rsid w:val="00BD7380"/>
    <w:rsid w:val="00BE4A73"/>
    <w:rsid w:val="00BF36B4"/>
    <w:rsid w:val="00C42F69"/>
    <w:rsid w:val="00CB052E"/>
    <w:rsid w:val="00CE04F1"/>
    <w:rsid w:val="00CF60C7"/>
    <w:rsid w:val="00D045EB"/>
    <w:rsid w:val="00D04B2B"/>
    <w:rsid w:val="00D21D6D"/>
    <w:rsid w:val="00D36195"/>
    <w:rsid w:val="00D37F05"/>
    <w:rsid w:val="00D451CB"/>
    <w:rsid w:val="00D74E43"/>
    <w:rsid w:val="00D84F14"/>
    <w:rsid w:val="00DA3048"/>
    <w:rsid w:val="00DB07F1"/>
    <w:rsid w:val="00DC70AF"/>
    <w:rsid w:val="00DD3254"/>
    <w:rsid w:val="00DD3C91"/>
    <w:rsid w:val="00DF191A"/>
    <w:rsid w:val="00DF620C"/>
    <w:rsid w:val="00E367A5"/>
    <w:rsid w:val="00E3701B"/>
    <w:rsid w:val="00E462EF"/>
    <w:rsid w:val="00E6178E"/>
    <w:rsid w:val="00E63F25"/>
    <w:rsid w:val="00E8417D"/>
    <w:rsid w:val="00EA409A"/>
    <w:rsid w:val="00EB3357"/>
    <w:rsid w:val="00F0196B"/>
    <w:rsid w:val="00F401D4"/>
    <w:rsid w:val="00F40BE4"/>
    <w:rsid w:val="00F63E01"/>
    <w:rsid w:val="00F972E9"/>
    <w:rsid w:val="00FA5672"/>
    <w:rsid w:val="00FA709E"/>
    <w:rsid w:val="00FB4086"/>
    <w:rsid w:val="00FE2A3B"/>
    <w:rsid w:val="00FF19A2"/>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D77"/>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60162"/>
    <w:pPr>
      <w:spacing w:after="0" w:line="240" w:lineRule="auto"/>
    </w:pPr>
    <w:rPr>
      <w:sz w:val="20"/>
      <w:szCs w:val="20"/>
    </w:rPr>
  </w:style>
  <w:style w:type="character" w:customStyle="1" w:styleId="a4">
    <w:name w:val="טקסט הערת שוליים תו"/>
    <w:basedOn w:val="a0"/>
    <w:link w:val="a3"/>
    <w:uiPriority w:val="99"/>
    <w:semiHidden/>
    <w:rsid w:val="00B60162"/>
    <w:rPr>
      <w:sz w:val="20"/>
      <w:szCs w:val="20"/>
    </w:rPr>
  </w:style>
  <w:style w:type="character" w:styleId="a5">
    <w:name w:val="footnote reference"/>
    <w:basedOn w:val="a0"/>
    <w:uiPriority w:val="99"/>
    <w:semiHidden/>
    <w:unhideWhenUsed/>
    <w:rsid w:val="00B60162"/>
    <w:rPr>
      <w:vertAlign w:val="superscript"/>
    </w:rPr>
  </w:style>
  <w:style w:type="paragraph" w:styleId="a6">
    <w:name w:val="List Paragraph"/>
    <w:basedOn w:val="a"/>
    <w:uiPriority w:val="34"/>
    <w:qFormat/>
    <w:rsid w:val="00B601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60162"/>
    <w:pPr>
      <w:spacing w:after="0" w:line="240" w:lineRule="auto"/>
    </w:pPr>
    <w:rPr>
      <w:sz w:val="20"/>
      <w:szCs w:val="20"/>
    </w:rPr>
  </w:style>
  <w:style w:type="character" w:customStyle="1" w:styleId="a4">
    <w:name w:val="טקסט הערת שוליים תו"/>
    <w:basedOn w:val="a0"/>
    <w:link w:val="a3"/>
    <w:uiPriority w:val="99"/>
    <w:semiHidden/>
    <w:rsid w:val="00B60162"/>
    <w:rPr>
      <w:sz w:val="20"/>
      <w:szCs w:val="20"/>
    </w:rPr>
  </w:style>
  <w:style w:type="character" w:styleId="a5">
    <w:name w:val="footnote reference"/>
    <w:basedOn w:val="a0"/>
    <w:uiPriority w:val="99"/>
    <w:semiHidden/>
    <w:unhideWhenUsed/>
    <w:rsid w:val="00B60162"/>
    <w:rPr>
      <w:vertAlign w:val="superscript"/>
    </w:rPr>
  </w:style>
  <w:style w:type="paragraph" w:styleId="a6">
    <w:name w:val="List Paragraph"/>
    <w:basedOn w:val="a"/>
    <w:uiPriority w:val="34"/>
    <w:qFormat/>
    <w:rsid w:val="00B6016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1203</Words>
  <Characters>6020</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dc:creator>
  <cp:lastModifiedBy>YT</cp:lastModifiedBy>
  <cp:revision>2</cp:revision>
  <dcterms:created xsi:type="dcterms:W3CDTF">2012-09-26T16:59:00Z</dcterms:created>
  <dcterms:modified xsi:type="dcterms:W3CDTF">2012-09-26T16:59:00Z</dcterms:modified>
</cp:coreProperties>
</file>