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E8E" w:rsidRPr="00FD0C17" w:rsidRDefault="00196388" w:rsidP="00C94E8B">
      <w:pPr>
        <w:spacing w:after="0" w:line="360" w:lineRule="auto"/>
        <w:jc w:val="both"/>
        <w:rPr>
          <w:rFonts w:cs="David"/>
          <w:sz w:val="24"/>
          <w:szCs w:val="24"/>
          <w:highlight w:val="yellow"/>
        </w:rPr>
      </w:pPr>
      <w:r w:rsidRPr="00196388">
        <w:rPr>
          <w:rFonts w:cs="David"/>
          <w:noProof/>
          <w:sz w:val="24"/>
          <w:szCs w:val="24"/>
          <w:u w:val="single"/>
        </w:rPr>
        <w:pict>
          <v:shapetype id="_x0000_t32" coordsize="21600,21600" o:spt="32" o:oned="t" path="m,l21600,21600e" filled="f">
            <v:path arrowok="t" fillok="f" o:connecttype="none"/>
            <o:lock v:ext="edit" shapetype="t"/>
          </v:shapetype>
          <v:shape id="_x0000_s1031" type="#_x0000_t32" style="position:absolute;left:0;text-align:left;margin-left:370.1pt;margin-top:42.35pt;width:14.25pt;height:0;flip:x;z-index:251660288" o:connectortype="straight">
            <v:stroke endarrow="block"/>
            <w10:wrap anchorx="page"/>
          </v:shape>
        </w:pict>
      </w:r>
      <w:r w:rsidRPr="00196388">
        <w:rPr>
          <w:rFonts w:cs="David"/>
          <w:noProof/>
          <w:sz w:val="24"/>
          <w:szCs w:val="24"/>
          <w:u w:val="single"/>
        </w:rPr>
        <w:pict>
          <v:shape id="_x0000_s1026" type="#_x0000_t32" style="position:absolute;left:0;text-align:left;margin-left:411.35pt;margin-top:40.85pt;width:11.25pt;height:.75pt;flip:x y;z-index:251658240" o:connectortype="straight">
            <v:stroke endarrow="block"/>
            <w10:wrap anchorx="page"/>
          </v:shape>
        </w:pict>
      </w:r>
      <w:r w:rsidR="00E04E53" w:rsidRPr="00EC0E8C">
        <w:rPr>
          <w:rFonts w:cs="David" w:hint="cs"/>
          <w:sz w:val="24"/>
          <w:szCs w:val="24"/>
          <w:u w:val="single"/>
          <w:rtl/>
        </w:rPr>
        <w:t>עילת ההטעיה</w:t>
      </w:r>
      <w:r w:rsidR="000B5084" w:rsidRPr="00D63BE3">
        <w:rPr>
          <w:rStyle w:val="a5"/>
          <w:rFonts w:cs="David"/>
          <w:sz w:val="24"/>
          <w:szCs w:val="24"/>
          <w:rtl/>
        </w:rPr>
        <w:footnoteReference w:id="1"/>
      </w:r>
      <w:r w:rsidR="00E04E53" w:rsidRPr="00D63BE3">
        <w:rPr>
          <w:rFonts w:cs="David" w:hint="cs"/>
          <w:sz w:val="24"/>
          <w:szCs w:val="24"/>
          <w:rtl/>
        </w:rPr>
        <w:t xml:space="preserve"> </w:t>
      </w:r>
      <w:r w:rsidR="005A2C61">
        <w:rPr>
          <w:rFonts w:cs="David" w:hint="cs"/>
          <w:sz w:val="24"/>
          <w:szCs w:val="24"/>
          <w:rtl/>
        </w:rPr>
        <w:t>מורכבת ממספר יסודות</w:t>
      </w:r>
      <w:r w:rsidR="00512873">
        <w:rPr>
          <w:rFonts w:cs="David" w:hint="cs"/>
          <w:sz w:val="24"/>
          <w:szCs w:val="24"/>
          <w:rtl/>
        </w:rPr>
        <w:t>-</w:t>
      </w:r>
      <w:r w:rsidR="00D63BE3" w:rsidRPr="00C97353">
        <w:rPr>
          <w:rFonts w:cs="David" w:hint="cs"/>
          <w:sz w:val="24"/>
          <w:szCs w:val="24"/>
          <w:u w:val="single"/>
          <w:rtl/>
        </w:rPr>
        <w:t xml:space="preserve">נכרת </w:t>
      </w:r>
      <w:r w:rsidR="00D63BE3" w:rsidRPr="00E42EB4">
        <w:rPr>
          <w:rFonts w:cs="David" w:hint="cs"/>
          <w:b/>
          <w:bCs/>
          <w:sz w:val="24"/>
          <w:szCs w:val="24"/>
          <w:u w:val="single"/>
          <w:rtl/>
        </w:rPr>
        <w:t>חוזה</w:t>
      </w:r>
      <w:r w:rsidR="00D63BE3" w:rsidRPr="00E42EB4">
        <w:rPr>
          <w:rFonts w:cs="David" w:hint="cs"/>
          <w:b/>
          <w:bCs/>
          <w:sz w:val="24"/>
          <w:szCs w:val="24"/>
          <w:rtl/>
        </w:rPr>
        <w:t>,</w:t>
      </w:r>
      <w:r w:rsidR="00C97353" w:rsidRPr="00C97353">
        <w:rPr>
          <w:rFonts w:cs="David" w:hint="cs"/>
          <w:sz w:val="24"/>
          <w:szCs w:val="24"/>
          <w:u w:val="single"/>
          <w:rtl/>
        </w:rPr>
        <w:t xml:space="preserve">יש בחוזה </w:t>
      </w:r>
      <w:r w:rsidR="00C97353" w:rsidRPr="00E42EB4">
        <w:rPr>
          <w:rFonts w:cs="David" w:hint="cs"/>
          <w:b/>
          <w:bCs/>
          <w:sz w:val="24"/>
          <w:szCs w:val="24"/>
          <w:u w:val="single"/>
          <w:rtl/>
        </w:rPr>
        <w:t>טעות</w:t>
      </w:r>
      <w:r w:rsidR="00BD52A8">
        <w:rPr>
          <w:rFonts w:cs="David" w:hint="cs"/>
          <w:sz w:val="24"/>
          <w:szCs w:val="24"/>
          <w:u w:val="single"/>
          <w:rtl/>
        </w:rPr>
        <w:t xml:space="preserve"> </w:t>
      </w:r>
      <w:r w:rsidR="00C97353" w:rsidRPr="00C97353">
        <w:rPr>
          <w:rFonts w:cs="David" w:hint="cs"/>
          <w:sz w:val="24"/>
          <w:szCs w:val="24"/>
          <w:u w:val="single"/>
          <w:rtl/>
        </w:rPr>
        <w:t xml:space="preserve">שהיא כתוצאה </w:t>
      </w:r>
      <w:r w:rsidR="00B10317">
        <w:rPr>
          <w:rFonts w:cs="David" w:hint="cs"/>
          <w:b/>
          <w:bCs/>
          <w:sz w:val="24"/>
          <w:szCs w:val="24"/>
          <w:u w:val="single"/>
          <w:rtl/>
        </w:rPr>
        <w:t>מהטע</w:t>
      </w:r>
      <w:r w:rsidR="00C97353" w:rsidRPr="00E42EB4">
        <w:rPr>
          <w:rFonts w:cs="David" w:hint="cs"/>
          <w:b/>
          <w:bCs/>
          <w:sz w:val="24"/>
          <w:szCs w:val="24"/>
          <w:u w:val="single"/>
          <w:rtl/>
        </w:rPr>
        <w:t>יה</w:t>
      </w:r>
      <w:r w:rsidR="00C97353" w:rsidRPr="00C97353">
        <w:rPr>
          <w:rFonts w:cs="David" w:hint="cs"/>
          <w:sz w:val="24"/>
          <w:szCs w:val="24"/>
          <w:u w:val="single"/>
          <w:rtl/>
        </w:rPr>
        <w:t>.</w:t>
      </w:r>
      <w:r w:rsidR="00BD52A8">
        <w:rPr>
          <w:rFonts w:cs="David" w:hint="cs"/>
          <w:sz w:val="24"/>
          <w:szCs w:val="24"/>
          <w:u w:val="single"/>
          <w:rtl/>
        </w:rPr>
        <w:t xml:space="preserve">קיים </w:t>
      </w:r>
      <w:r w:rsidR="00BD52A8">
        <w:rPr>
          <w:rFonts w:cs="David" w:hint="cs"/>
          <w:b/>
          <w:bCs/>
          <w:sz w:val="24"/>
          <w:szCs w:val="24"/>
          <w:u w:val="single"/>
          <w:rtl/>
        </w:rPr>
        <w:t>קשר סיבתי כפול</w:t>
      </w:r>
      <w:r w:rsidR="00BD52A8">
        <w:rPr>
          <w:rFonts w:cs="David" w:hint="cs"/>
          <w:sz w:val="24"/>
          <w:szCs w:val="24"/>
          <w:u w:val="single"/>
          <w:rtl/>
        </w:rPr>
        <w:t>-</w:t>
      </w:r>
      <w:r w:rsidR="003F7BB1">
        <w:rPr>
          <w:rFonts w:cs="David" w:hint="cs"/>
          <w:sz w:val="24"/>
          <w:szCs w:val="24"/>
          <w:u w:val="single"/>
          <w:rtl/>
        </w:rPr>
        <w:t xml:space="preserve">בין </w:t>
      </w:r>
      <w:r w:rsidR="008F13A7">
        <w:rPr>
          <w:rFonts w:cs="David" w:hint="cs"/>
          <w:sz w:val="24"/>
          <w:szCs w:val="24"/>
          <w:u w:val="single"/>
          <w:rtl/>
        </w:rPr>
        <w:t>ההטעיה לטעות ו</w:t>
      </w:r>
      <w:r w:rsidR="00231CB5">
        <w:rPr>
          <w:rFonts w:cs="David" w:hint="cs"/>
          <w:sz w:val="24"/>
          <w:szCs w:val="24"/>
          <w:u w:val="single"/>
          <w:rtl/>
        </w:rPr>
        <w:t>בין הטעות להתקשרות החוזית-</w:t>
      </w:r>
      <w:r w:rsidR="00173E38">
        <w:rPr>
          <w:rFonts w:cs="David" w:hint="cs"/>
          <w:sz w:val="24"/>
          <w:szCs w:val="24"/>
          <w:u w:val="single"/>
          <w:rtl/>
        </w:rPr>
        <w:t xml:space="preserve">הטעות </w:t>
      </w:r>
      <w:r w:rsidR="00C97353" w:rsidRPr="00EC0E8C">
        <w:rPr>
          <w:rFonts w:cs="David" w:hint="cs"/>
          <w:b/>
          <w:bCs/>
          <w:sz w:val="24"/>
          <w:szCs w:val="24"/>
          <w:u w:val="single"/>
          <w:rtl/>
        </w:rPr>
        <w:t>גרמה להתקשרות החוזית</w:t>
      </w:r>
      <w:r w:rsidR="00C97353">
        <w:rPr>
          <w:rFonts w:cs="David" w:hint="cs"/>
          <w:sz w:val="24"/>
          <w:szCs w:val="24"/>
          <w:rtl/>
        </w:rPr>
        <w:t>.</w:t>
      </w:r>
      <w:r w:rsidR="00173E38">
        <w:rPr>
          <w:rFonts w:cs="David" w:hint="cs"/>
          <w:sz w:val="24"/>
          <w:szCs w:val="24"/>
          <w:rtl/>
        </w:rPr>
        <w:t xml:space="preserve"> </w:t>
      </w:r>
      <w:r w:rsidR="008214FF">
        <w:rPr>
          <w:rFonts w:cs="David" w:hint="cs"/>
          <w:sz w:val="24"/>
          <w:szCs w:val="24"/>
          <w:rtl/>
        </w:rPr>
        <w:t>הטע</w:t>
      </w:r>
      <w:r w:rsidR="00C97353">
        <w:rPr>
          <w:rFonts w:cs="David" w:hint="cs"/>
          <w:sz w:val="24"/>
          <w:szCs w:val="24"/>
          <w:rtl/>
        </w:rPr>
        <w:t>יה</w:t>
      </w:r>
      <w:r w:rsidR="006549DF">
        <w:rPr>
          <w:rFonts w:cs="David" w:hint="cs"/>
          <w:sz w:val="24"/>
          <w:szCs w:val="24"/>
          <w:rtl/>
        </w:rPr>
        <w:t xml:space="preserve">     טעות      התקשרות </w:t>
      </w:r>
      <w:r w:rsidR="00B73E9E">
        <w:rPr>
          <w:rFonts w:cs="David" w:hint="cs"/>
          <w:sz w:val="24"/>
          <w:szCs w:val="24"/>
          <w:rtl/>
        </w:rPr>
        <w:t>חוזית.</w:t>
      </w:r>
      <w:r w:rsidR="00EE7D10">
        <w:rPr>
          <w:rFonts w:cs="David" w:hint="cs"/>
          <w:sz w:val="24"/>
          <w:szCs w:val="24"/>
          <w:rtl/>
        </w:rPr>
        <w:t xml:space="preserve">טעות הינה הערכה שגויה של </w:t>
      </w:r>
      <w:r w:rsidR="007102FF">
        <w:rPr>
          <w:rFonts w:cs="David" w:hint="cs"/>
          <w:sz w:val="24"/>
          <w:szCs w:val="24"/>
          <w:rtl/>
        </w:rPr>
        <w:t>המציאות,</w:t>
      </w:r>
      <w:r w:rsidR="00E2141B">
        <w:rPr>
          <w:rFonts w:cs="David" w:hint="cs"/>
          <w:sz w:val="24"/>
          <w:szCs w:val="24"/>
          <w:rtl/>
        </w:rPr>
        <w:t>היא יכולה להתייחס לעובדה או למצב משפטי,</w:t>
      </w:r>
      <w:r w:rsidR="005979F6">
        <w:rPr>
          <w:rFonts w:cs="David" w:hint="cs"/>
          <w:sz w:val="24"/>
          <w:szCs w:val="24"/>
          <w:rtl/>
        </w:rPr>
        <w:t>ואינה מתייחסת למצב עתידי.</w:t>
      </w:r>
      <w:r w:rsidR="00EE7D10">
        <w:rPr>
          <w:rFonts w:cs="David" w:hint="cs"/>
          <w:sz w:val="24"/>
          <w:szCs w:val="24"/>
          <w:rtl/>
        </w:rPr>
        <w:t xml:space="preserve">מתוכה ננקטת פעולה-כריתת </w:t>
      </w:r>
      <w:r w:rsidR="00D65138">
        <w:rPr>
          <w:rFonts w:cs="David" w:hint="cs"/>
          <w:sz w:val="24"/>
          <w:szCs w:val="24"/>
          <w:rtl/>
        </w:rPr>
        <w:t>ה</w:t>
      </w:r>
      <w:r w:rsidR="00EE7D10">
        <w:rPr>
          <w:rFonts w:cs="David" w:hint="cs"/>
          <w:sz w:val="24"/>
          <w:szCs w:val="24"/>
          <w:rtl/>
        </w:rPr>
        <w:t>חוזה</w:t>
      </w:r>
      <w:r w:rsidR="00EC7E0C">
        <w:rPr>
          <w:rStyle w:val="a5"/>
          <w:rFonts w:cs="David"/>
          <w:sz w:val="24"/>
          <w:szCs w:val="24"/>
          <w:rtl/>
        </w:rPr>
        <w:footnoteReference w:id="2"/>
      </w:r>
      <w:r w:rsidR="001D28F3">
        <w:rPr>
          <w:rFonts w:cs="David" w:hint="cs"/>
          <w:sz w:val="24"/>
          <w:szCs w:val="24"/>
          <w:rtl/>
        </w:rPr>
        <w:t>.</w:t>
      </w:r>
      <w:r w:rsidR="00B73E9E">
        <w:rPr>
          <w:rFonts w:cs="David" w:hint="cs"/>
          <w:sz w:val="24"/>
          <w:szCs w:val="24"/>
          <w:rtl/>
        </w:rPr>
        <w:t>בשונה מטעות בסעיף 14</w:t>
      </w:r>
      <w:r w:rsidR="00B73E9E">
        <w:rPr>
          <w:rStyle w:val="a5"/>
          <w:rFonts w:cs="David"/>
          <w:sz w:val="24"/>
          <w:szCs w:val="24"/>
          <w:rtl/>
        </w:rPr>
        <w:footnoteReference w:id="3"/>
      </w:r>
      <w:r w:rsidR="00B73E9E">
        <w:rPr>
          <w:rFonts w:cs="David" w:hint="cs"/>
          <w:sz w:val="24"/>
          <w:szCs w:val="24"/>
          <w:rtl/>
        </w:rPr>
        <w:t xml:space="preserve"> הטעות במקרה של ה</w:t>
      </w:r>
      <w:r w:rsidR="008214FF">
        <w:rPr>
          <w:rFonts w:cs="David" w:hint="cs"/>
          <w:sz w:val="24"/>
          <w:szCs w:val="24"/>
          <w:rtl/>
        </w:rPr>
        <w:t>טעי</w:t>
      </w:r>
      <w:r w:rsidR="00BF58BA">
        <w:rPr>
          <w:rFonts w:cs="David" w:hint="cs"/>
          <w:sz w:val="24"/>
          <w:szCs w:val="24"/>
          <w:rtl/>
        </w:rPr>
        <w:t>ה אינה צריכה להיות יסודית ו</w:t>
      </w:r>
      <w:r w:rsidR="00B73E9E">
        <w:rPr>
          <w:rFonts w:cs="David" w:hint="cs"/>
          <w:sz w:val="24"/>
          <w:szCs w:val="24"/>
          <w:rtl/>
        </w:rPr>
        <w:t xml:space="preserve">היא </w:t>
      </w:r>
      <w:r w:rsidR="007C5843">
        <w:rPr>
          <w:rFonts w:cs="David" w:hint="cs"/>
          <w:sz w:val="24"/>
          <w:szCs w:val="24"/>
          <w:rtl/>
        </w:rPr>
        <w:t>נגרמת</w:t>
      </w:r>
      <w:r w:rsidR="00B73E9E">
        <w:rPr>
          <w:rFonts w:cs="David" w:hint="cs"/>
          <w:sz w:val="24"/>
          <w:szCs w:val="24"/>
          <w:rtl/>
        </w:rPr>
        <w:t xml:space="preserve"> ע"י הצד השני.</w:t>
      </w:r>
      <w:r w:rsidR="00E42EB4" w:rsidRPr="00C274CD">
        <w:rPr>
          <w:rFonts w:cs="David" w:hint="cs"/>
          <w:b/>
          <w:bCs/>
          <w:sz w:val="24"/>
          <w:szCs w:val="24"/>
          <w:rtl/>
        </w:rPr>
        <w:t>מהי הטעיה</w:t>
      </w:r>
      <w:r w:rsidR="00E42EB4">
        <w:rPr>
          <w:rFonts w:cs="David" w:hint="cs"/>
          <w:sz w:val="24"/>
          <w:szCs w:val="24"/>
          <w:rtl/>
        </w:rPr>
        <w:t>:</w:t>
      </w:r>
      <w:r w:rsidR="00C821C4">
        <w:rPr>
          <w:rFonts w:cs="David" w:hint="cs"/>
          <w:sz w:val="24"/>
          <w:szCs w:val="24"/>
          <w:rtl/>
        </w:rPr>
        <w:t xml:space="preserve">מצג </w:t>
      </w:r>
      <w:r w:rsidR="00F50411">
        <w:rPr>
          <w:rFonts w:cs="David" w:hint="cs"/>
          <w:sz w:val="24"/>
          <w:szCs w:val="24"/>
          <w:rtl/>
        </w:rPr>
        <w:t>שווא</w:t>
      </w:r>
      <w:r w:rsidR="00C821C4">
        <w:rPr>
          <w:rStyle w:val="a5"/>
          <w:rFonts w:cs="David"/>
          <w:sz w:val="24"/>
          <w:szCs w:val="24"/>
          <w:rtl/>
        </w:rPr>
        <w:footnoteReference w:id="4"/>
      </w:r>
      <w:r w:rsidR="00D42EDB">
        <w:rPr>
          <w:rFonts w:cs="David" w:hint="cs"/>
          <w:sz w:val="24"/>
          <w:szCs w:val="24"/>
          <w:rtl/>
        </w:rPr>
        <w:t xml:space="preserve">,העלמת </w:t>
      </w:r>
      <w:r w:rsidR="00C821C4">
        <w:rPr>
          <w:rFonts w:cs="David" w:hint="cs"/>
          <w:sz w:val="24"/>
          <w:szCs w:val="24"/>
          <w:rtl/>
        </w:rPr>
        <w:t>אינפורמציה</w:t>
      </w:r>
      <w:r w:rsidR="00FB4DAA">
        <w:rPr>
          <w:rStyle w:val="a5"/>
          <w:rFonts w:cs="David"/>
          <w:sz w:val="24"/>
          <w:szCs w:val="24"/>
          <w:rtl/>
        </w:rPr>
        <w:footnoteReference w:id="5"/>
      </w:r>
      <w:r w:rsidR="00C821C4">
        <w:rPr>
          <w:rFonts w:cs="David" w:hint="cs"/>
          <w:sz w:val="24"/>
          <w:szCs w:val="24"/>
          <w:rtl/>
        </w:rPr>
        <w:t xml:space="preserve"> </w:t>
      </w:r>
      <w:r w:rsidR="007A084A">
        <w:rPr>
          <w:rFonts w:cs="David" w:hint="cs"/>
          <w:sz w:val="24"/>
          <w:szCs w:val="24"/>
          <w:rtl/>
        </w:rPr>
        <w:t xml:space="preserve">מסר </w:t>
      </w:r>
      <w:r w:rsidR="00C821C4">
        <w:rPr>
          <w:rFonts w:cs="David" w:hint="cs"/>
          <w:sz w:val="24"/>
          <w:szCs w:val="24"/>
          <w:rtl/>
        </w:rPr>
        <w:t xml:space="preserve">או </w:t>
      </w:r>
      <w:r w:rsidR="00E42EB4">
        <w:rPr>
          <w:rFonts w:cs="David" w:hint="cs"/>
          <w:sz w:val="24"/>
          <w:szCs w:val="24"/>
          <w:rtl/>
        </w:rPr>
        <w:t>הצהר</w:t>
      </w:r>
      <w:r w:rsidR="00C821C4">
        <w:rPr>
          <w:rFonts w:cs="David" w:hint="cs"/>
          <w:sz w:val="24"/>
          <w:szCs w:val="24"/>
          <w:rtl/>
        </w:rPr>
        <w:t>ה כוזבת</w:t>
      </w:r>
      <w:r w:rsidR="00FB4DAA">
        <w:rPr>
          <w:rStyle w:val="a5"/>
          <w:rFonts w:cs="David"/>
          <w:sz w:val="24"/>
          <w:szCs w:val="24"/>
          <w:rtl/>
        </w:rPr>
        <w:footnoteReference w:id="6"/>
      </w:r>
      <w:r w:rsidR="00C821C4">
        <w:rPr>
          <w:rFonts w:cs="David" w:hint="cs"/>
          <w:sz w:val="24"/>
          <w:szCs w:val="24"/>
          <w:rtl/>
        </w:rPr>
        <w:t xml:space="preserve"> המתרחשת בשלב הטרום חוזי.</w:t>
      </w:r>
      <w:r w:rsidR="00E42EB4">
        <w:rPr>
          <w:rFonts w:cs="David" w:hint="cs"/>
          <w:sz w:val="24"/>
          <w:szCs w:val="24"/>
          <w:rtl/>
        </w:rPr>
        <w:t xml:space="preserve">היא </w:t>
      </w:r>
      <w:r w:rsidR="00D42EDB">
        <w:rPr>
          <w:rFonts w:cs="David" w:hint="cs"/>
          <w:sz w:val="24"/>
          <w:szCs w:val="24"/>
          <w:rtl/>
        </w:rPr>
        <w:t>מתייחסת</w:t>
      </w:r>
      <w:r w:rsidR="00E42EB4">
        <w:rPr>
          <w:rFonts w:cs="David" w:hint="cs"/>
          <w:sz w:val="24"/>
          <w:szCs w:val="24"/>
          <w:rtl/>
        </w:rPr>
        <w:t xml:space="preserve"> לאירוע שבעבר או לעובדה קיימת ובמקרים רבים תישאר מחוץ לחוזה</w:t>
      </w:r>
      <w:r w:rsidR="00E42EB4">
        <w:rPr>
          <w:rStyle w:val="a5"/>
          <w:rFonts w:cs="David"/>
          <w:sz w:val="24"/>
          <w:szCs w:val="24"/>
          <w:rtl/>
        </w:rPr>
        <w:footnoteReference w:id="7"/>
      </w:r>
      <w:r w:rsidR="00E42EB4">
        <w:rPr>
          <w:rFonts w:cs="David" w:hint="cs"/>
          <w:sz w:val="24"/>
          <w:szCs w:val="24"/>
          <w:rtl/>
        </w:rPr>
        <w:t>.היא אי גילויי ע</w:t>
      </w:r>
      <w:r w:rsidR="00E01833">
        <w:rPr>
          <w:rFonts w:cs="David" w:hint="cs"/>
          <w:sz w:val="24"/>
          <w:szCs w:val="24"/>
          <w:rtl/>
        </w:rPr>
        <w:t>ו</w:t>
      </w:r>
      <w:r w:rsidR="00E42EB4">
        <w:rPr>
          <w:rFonts w:cs="David" w:hint="cs"/>
          <w:sz w:val="24"/>
          <w:szCs w:val="24"/>
          <w:rtl/>
        </w:rPr>
        <w:t xml:space="preserve">בדות שעל פי דין,נוהג או נסיבות היה </w:t>
      </w:r>
      <w:r w:rsidR="00E01833">
        <w:rPr>
          <w:rFonts w:cs="David" w:hint="cs"/>
          <w:sz w:val="24"/>
          <w:szCs w:val="24"/>
          <w:rtl/>
        </w:rPr>
        <w:t xml:space="preserve">על </w:t>
      </w:r>
      <w:r w:rsidR="00E42EB4">
        <w:rPr>
          <w:rFonts w:cs="David" w:hint="cs"/>
          <w:sz w:val="24"/>
          <w:szCs w:val="24"/>
          <w:rtl/>
        </w:rPr>
        <w:t>הצד השני לגלותן</w:t>
      </w:r>
      <w:r w:rsidR="00625D98">
        <w:rPr>
          <w:rFonts w:cs="David" w:hint="cs"/>
          <w:sz w:val="24"/>
          <w:szCs w:val="24"/>
          <w:rtl/>
        </w:rPr>
        <w:t>.</w:t>
      </w:r>
      <w:r w:rsidR="00625D98" w:rsidRPr="00B00867">
        <w:rPr>
          <w:rFonts w:cs="David" w:hint="cs"/>
          <w:sz w:val="24"/>
          <w:szCs w:val="24"/>
          <w:u w:val="single"/>
          <w:rtl/>
        </w:rPr>
        <w:t>ישנן מספר גישות להיקף חובת הגילוי</w:t>
      </w:r>
      <w:r w:rsidR="00625D98">
        <w:rPr>
          <w:rFonts w:cs="David" w:hint="cs"/>
          <w:sz w:val="24"/>
          <w:szCs w:val="24"/>
          <w:rtl/>
        </w:rPr>
        <w:t>:</w:t>
      </w:r>
      <w:r w:rsidR="00052169">
        <w:rPr>
          <w:rFonts w:cs="David" w:hint="cs"/>
          <w:sz w:val="24"/>
          <w:szCs w:val="24"/>
          <w:rtl/>
        </w:rPr>
        <w:t>היקף מצומצם-</w:t>
      </w:r>
      <w:r w:rsidR="00625D98">
        <w:rPr>
          <w:rFonts w:cs="David" w:hint="cs"/>
          <w:sz w:val="24"/>
          <w:szCs w:val="24"/>
          <w:rtl/>
        </w:rPr>
        <w:t>במקום שהקונה יכול לבדוק את הדברים.היקף מורחב- יש לגלות את כל המידע ללא קשר</w:t>
      </w:r>
      <w:r w:rsidR="001339BE">
        <w:rPr>
          <w:rFonts w:cs="David" w:hint="cs"/>
          <w:sz w:val="24"/>
          <w:szCs w:val="24"/>
          <w:rtl/>
        </w:rPr>
        <w:t xml:space="preserve"> לאפשרות גילוי האינפורמציה.</w:t>
      </w:r>
      <w:r w:rsidR="00B6039D">
        <w:rPr>
          <w:rFonts w:cs="David" w:hint="cs"/>
          <w:sz w:val="24"/>
          <w:szCs w:val="24"/>
          <w:rtl/>
        </w:rPr>
        <w:t xml:space="preserve"> </w:t>
      </w:r>
      <w:r w:rsidR="00E42EB4">
        <w:rPr>
          <w:rFonts w:cs="David" w:hint="cs"/>
          <w:sz w:val="24"/>
          <w:szCs w:val="24"/>
          <w:rtl/>
        </w:rPr>
        <w:t>מתוך כך שתיקה תחשב כהטעיה במקרים מסוימים</w:t>
      </w:r>
      <w:r w:rsidR="00E42EB4">
        <w:rPr>
          <w:rStyle w:val="a5"/>
          <w:rFonts w:cs="David"/>
          <w:sz w:val="24"/>
          <w:szCs w:val="24"/>
          <w:rtl/>
        </w:rPr>
        <w:footnoteReference w:id="8"/>
      </w:r>
      <w:r w:rsidR="00E42EB4">
        <w:rPr>
          <w:rFonts w:cs="David" w:hint="cs"/>
          <w:sz w:val="24"/>
          <w:szCs w:val="24"/>
          <w:rtl/>
        </w:rPr>
        <w:t>.</w:t>
      </w:r>
      <w:r w:rsidR="00B6039D" w:rsidRPr="00B6039D">
        <w:rPr>
          <w:rFonts w:cs="David" w:hint="cs"/>
          <w:sz w:val="24"/>
          <w:szCs w:val="24"/>
          <w:rtl/>
        </w:rPr>
        <w:t xml:space="preserve"> </w:t>
      </w:r>
      <w:r w:rsidR="008214FF">
        <w:rPr>
          <w:rFonts w:cs="David" w:hint="cs"/>
          <w:sz w:val="24"/>
          <w:szCs w:val="24"/>
          <w:rtl/>
        </w:rPr>
        <w:t>הטע</w:t>
      </w:r>
      <w:r w:rsidR="00A539EA">
        <w:rPr>
          <w:rFonts w:cs="David" w:hint="cs"/>
          <w:sz w:val="24"/>
          <w:szCs w:val="24"/>
          <w:rtl/>
        </w:rPr>
        <w:t>יה</w:t>
      </w:r>
      <w:r w:rsidR="00C344AC">
        <w:rPr>
          <w:rFonts w:cs="David" w:hint="cs"/>
          <w:sz w:val="24"/>
          <w:szCs w:val="24"/>
          <w:rtl/>
        </w:rPr>
        <w:t xml:space="preserve"> יכולה </w:t>
      </w:r>
      <w:r w:rsidR="0052737D">
        <w:rPr>
          <w:rFonts w:cs="David" w:hint="cs"/>
          <w:sz w:val="24"/>
          <w:szCs w:val="24"/>
          <w:rtl/>
        </w:rPr>
        <w:t>להתבצע</w:t>
      </w:r>
      <w:r w:rsidR="00C344AC">
        <w:rPr>
          <w:rFonts w:cs="David" w:hint="cs"/>
          <w:sz w:val="24"/>
          <w:szCs w:val="24"/>
          <w:rtl/>
        </w:rPr>
        <w:t xml:space="preserve"> </w:t>
      </w:r>
      <w:r w:rsidR="0015495E">
        <w:rPr>
          <w:rFonts w:cs="David" w:hint="cs"/>
          <w:sz w:val="24"/>
          <w:szCs w:val="24"/>
          <w:rtl/>
        </w:rPr>
        <w:t>במעשה(בכוונה)</w:t>
      </w:r>
      <w:r w:rsidR="001339BE">
        <w:rPr>
          <w:rFonts w:cs="David" w:hint="cs"/>
          <w:sz w:val="24"/>
          <w:szCs w:val="24"/>
          <w:rtl/>
        </w:rPr>
        <w:t xml:space="preserve"> או </w:t>
      </w:r>
      <w:r w:rsidR="0015495E">
        <w:rPr>
          <w:rFonts w:cs="David" w:hint="cs"/>
          <w:sz w:val="24"/>
          <w:szCs w:val="24"/>
          <w:rtl/>
        </w:rPr>
        <w:t>במחדל</w:t>
      </w:r>
      <w:r w:rsidR="0069711F">
        <w:rPr>
          <w:rFonts w:cs="David" w:hint="cs"/>
          <w:sz w:val="24"/>
          <w:szCs w:val="24"/>
          <w:rtl/>
        </w:rPr>
        <w:t>,</w:t>
      </w:r>
      <w:r w:rsidR="007F3189">
        <w:rPr>
          <w:rFonts w:cs="David" w:hint="cs"/>
          <w:sz w:val="24"/>
          <w:szCs w:val="24"/>
          <w:rtl/>
        </w:rPr>
        <w:t xml:space="preserve"> </w:t>
      </w:r>
      <w:r w:rsidR="00C80A3A">
        <w:rPr>
          <w:rFonts w:cs="David" w:hint="cs"/>
          <w:sz w:val="24"/>
          <w:szCs w:val="24"/>
          <w:rtl/>
        </w:rPr>
        <w:t>במגוון דרכים-בכתב,בע"פ או ע"</w:t>
      </w:r>
      <w:r w:rsidR="0069711F">
        <w:rPr>
          <w:rFonts w:cs="David" w:hint="cs"/>
          <w:sz w:val="24"/>
          <w:szCs w:val="24"/>
          <w:rtl/>
        </w:rPr>
        <w:t>י התנהגות.</w:t>
      </w:r>
      <w:r w:rsidR="008214FF">
        <w:rPr>
          <w:rFonts w:cs="David" w:hint="cs"/>
          <w:sz w:val="24"/>
          <w:szCs w:val="24"/>
          <w:rtl/>
        </w:rPr>
        <w:t>הטע</w:t>
      </w:r>
      <w:r w:rsidR="001A28ED" w:rsidRPr="00992F90">
        <w:rPr>
          <w:rFonts w:cs="David" w:hint="cs"/>
          <w:sz w:val="24"/>
          <w:szCs w:val="24"/>
          <w:rtl/>
        </w:rPr>
        <w:t>יה פאסיבית</w:t>
      </w:r>
      <w:r w:rsidR="001A28ED">
        <w:rPr>
          <w:rFonts w:cs="David" w:hint="cs"/>
          <w:sz w:val="24"/>
          <w:szCs w:val="24"/>
          <w:rtl/>
        </w:rPr>
        <w:t xml:space="preserve"> קשה יותר להוכחה</w:t>
      </w:r>
      <w:r w:rsidR="00C80A3A">
        <w:rPr>
          <w:rFonts w:cs="David" w:hint="cs"/>
          <w:sz w:val="24"/>
          <w:szCs w:val="24"/>
          <w:rtl/>
        </w:rPr>
        <w:t>.</w:t>
      </w:r>
      <w:r w:rsidR="00C80A3A">
        <w:rPr>
          <w:rStyle w:val="a5"/>
          <w:rFonts w:cs="David"/>
          <w:sz w:val="24"/>
          <w:szCs w:val="24"/>
          <w:rtl/>
        </w:rPr>
        <w:footnoteReference w:id="9"/>
      </w:r>
      <w:r w:rsidR="004B5664">
        <w:rPr>
          <w:rFonts w:cs="David" w:hint="cs"/>
          <w:sz w:val="24"/>
          <w:szCs w:val="24"/>
          <w:rtl/>
        </w:rPr>
        <w:t xml:space="preserve"> חצאי</w:t>
      </w:r>
      <w:r w:rsidR="007F3189">
        <w:rPr>
          <w:rFonts w:cs="David" w:hint="cs"/>
          <w:sz w:val="24"/>
          <w:szCs w:val="24"/>
          <w:rtl/>
        </w:rPr>
        <w:t xml:space="preserve"> אמת </w:t>
      </w:r>
      <w:r w:rsidR="00A1715D">
        <w:rPr>
          <w:rFonts w:cs="David" w:hint="cs"/>
          <w:sz w:val="24"/>
          <w:szCs w:val="24"/>
          <w:rtl/>
        </w:rPr>
        <w:t>והטע</w:t>
      </w:r>
      <w:r w:rsidR="00C80A3A">
        <w:rPr>
          <w:rFonts w:cs="David" w:hint="cs"/>
          <w:sz w:val="24"/>
          <w:szCs w:val="24"/>
          <w:rtl/>
        </w:rPr>
        <w:t xml:space="preserve">יה ע"י </w:t>
      </w:r>
      <w:r w:rsidR="004D177B">
        <w:rPr>
          <w:rFonts w:cs="David" w:hint="cs"/>
          <w:sz w:val="24"/>
          <w:szCs w:val="24"/>
          <w:rtl/>
        </w:rPr>
        <w:t>גורם שלישי</w:t>
      </w:r>
      <w:r w:rsidR="00C80A3A">
        <w:rPr>
          <w:rFonts w:cs="David" w:hint="cs"/>
          <w:sz w:val="24"/>
          <w:szCs w:val="24"/>
          <w:rtl/>
        </w:rPr>
        <w:t xml:space="preserve"> מטעם הצד השני ,יחשבו כהטעיה</w:t>
      </w:r>
      <w:r w:rsidR="00C80A3A">
        <w:rPr>
          <w:rStyle w:val="a5"/>
          <w:rFonts w:cs="David"/>
          <w:sz w:val="24"/>
          <w:szCs w:val="24"/>
          <w:rtl/>
        </w:rPr>
        <w:footnoteReference w:id="10"/>
      </w:r>
      <w:r w:rsidR="00C80A3A">
        <w:rPr>
          <w:rFonts w:cs="David" w:hint="cs"/>
          <w:sz w:val="24"/>
          <w:szCs w:val="24"/>
          <w:rtl/>
        </w:rPr>
        <w:t>.</w:t>
      </w:r>
      <w:r w:rsidR="00F644AA">
        <w:rPr>
          <w:rFonts w:cs="David" w:hint="cs"/>
          <w:sz w:val="24"/>
          <w:szCs w:val="24"/>
          <w:rtl/>
        </w:rPr>
        <w:t xml:space="preserve">מבחן </w:t>
      </w:r>
      <w:r w:rsidR="0015495E">
        <w:rPr>
          <w:rFonts w:cs="David" w:hint="cs"/>
          <w:sz w:val="24"/>
          <w:szCs w:val="24"/>
          <w:rtl/>
        </w:rPr>
        <w:t>האמת של ההצהרה הוא מבחן מהותי.</w:t>
      </w:r>
      <w:r w:rsidR="00701AC2">
        <w:rPr>
          <w:rFonts w:cs="David" w:hint="cs"/>
          <w:sz w:val="24"/>
          <w:szCs w:val="24"/>
          <w:rtl/>
        </w:rPr>
        <w:t xml:space="preserve"> </w:t>
      </w:r>
      <w:r w:rsidR="0015495E" w:rsidRPr="009C395F">
        <w:rPr>
          <w:rFonts w:cs="David" w:hint="cs"/>
          <w:b/>
          <w:bCs/>
          <w:sz w:val="24"/>
          <w:szCs w:val="24"/>
          <w:rtl/>
        </w:rPr>
        <w:t xml:space="preserve">טעות </w:t>
      </w:r>
      <w:r w:rsidR="00665D65" w:rsidRPr="009C395F">
        <w:rPr>
          <w:rFonts w:cs="David" w:hint="cs"/>
          <w:b/>
          <w:bCs/>
          <w:sz w:val="24"/>
          <w:szCs w:val="24"/>
          <w:rtl/>
        </w:rPr>
        <w:t>שהיא תוצא</w:t>
      </w:r>
      <w:r w:rsidR="0015495E" w:rsidRPr="009C395F">
        <w:rPr>
          <w:rFonts w:cs="David" w:hint="cs"/>
          <w:b/>
          <w:bCs/>
          <w:sz w:val="24"/>
          <w:szCs w:val="24"/>
          <w:rtl/>
        </w:rPr>
        <w:t>ת הטעיה</w:t>
      </w:r>
      <w:r w:rsidR="00E01833" w:rsidRPr="009C395F">
        <w:rPr>
          <w:rFonts w:cs="David" w:hint="cs"/>
          <w:b/>
          <w:bCs/>
          <w:sz w:val="24"/>
          <w:szCs w:val="24"/>
          <w:rtl/>
        </w:rPr>
        <w:t xml:space="preserve">, </w:t>
      </w:r>
      <w:r w:rsidR="000B6893" w:rsidRPr="009C395F">
        <w:rPr>
          <w:rFonts w:cs="David" w:hint="cs"/>
          <w:b/>
          <w:bCs/>
          <w:sz w:val="24"/>
          <w:szCs w:val="24"/>
          <w:rtl/>
        </w:rPr>
        <w:t xml:space="preserve">העוסקת </w:t>
      </w:r>
      <w:r w:rsidR="00354F79" w:rsidRPr="009C395F">
        <w:rPr>
          <w:rFonts w:cs="David" w:hint="cs"/>
          <w:b/>
          <w:bCs/>
          <w:sz w:val="24"/>
          <w:szCs w:val="24"/>
          <w:rtl/>
        </w:rPr>
        <w:t>ב</w:t>
      </w:r>
      <w:r w:rsidR="0015495E" w:rsidRPr="009C395F">
        <w:rPr>
          <w:rFonts w:cs="David" w:hint="cs"/>
          <w:b/>
          <w:bCs/>
          <w:sz w:val="24"/>
          <w:szCs w:val="24"/>
          <w:rtl/>
        </w:rPr>
        <w:t>כדאיות העסקה בלבד אינה עילה לביטול חוזה</w:t>
      </w:r>
      <w:r w:rsidR="000B6893" w:rsidRPr="009C395F">
        <w:rPr>
          <w:rFonts w:cs="David" w:hint="cs"/>
          <w:b/>
          <w:bCs/>
          <w:sz w:val="24"/>
          <w:szCs w:val="24"/>
          <w:rtl/>
        </w:rPr>
        <w:t>.</w:t>
      </w:r>
      <w:r w:rsidR="00181BDD" w:rsidRPr="00902429">
        <w:rPr>
          <w:rFonts w:cs="David" w:hint="cs"/>
          <w:sz w:val="24"/>
          <w:szCs w:val="24"/>
          <w:u w:val="single"/>
          <w:rtl/>
        </w:rPr>
        <w:t>לבחינת הכדאיות שלוש גישות:</w:t>
      </w:r>
      <w:r w:rsidR="00181BDD" w:rsidRPr="008E5B38">
        <w:rPr>
          <w:rFonts w:cs="David" w:hint="cs"/>
          <w:sz w:val="24"/>
          <w:szCs w:val="24"/>
          <w:u w:val="single"/>
          <w:rtl/>
        </w:rPr>
        <w:t>השו' אשר</w:t>
      </w:r>
      <w:r w:rsidR="00181BDD">
        <w:rPr>
          <w:rFonts w:cs="David" w:hint="cs"/>
          <w:sz w:val="24"/>
          <w:szCs w:val="24"/>
          <w:rtl/>
        </w:rPr>
        <w:t>-טעות בכדאיות מתייחסת רק לשווי של הממכר ולא לתכונותיו.</w:t>
      </w:r>
      <w:r w:rsidR="001339BE">
        <w:rPr>
          <w:rFonts w:cs="David" w:hint="cs"/>
          <w:sz w:val="24"/>
          <w:szCs w:val="24"/>
          <w:rtl/>
        </w:rPr>
        <w:t>טעות ב</w:t>
      </w:r>
      <w:r w:rsidR="00181BDD">
        <w:rPr>
          <w:rFonts w:cs="David" w:hint="cs"/>
          <w:sz w:val="24"/>
          <w:szCs w:val="24"/>
          <w:rtl/>
        </w:rPr>
        <w:t xml:space="preserve">תכונות </w:t>
      </w:r>
      <w:r w:rsidR="001339BE">
        <w:rPr>
          <w:rFonts w:cs="David" w:hint="cs"/>
          <w:sz w:val="24"/>
          <w:szCs w:val="24"/>
          <w:rtl/>
        </w:rPr>
        <w:t>שייכות</w:t>
      </w:r>
      <w:r w:rsidR="00181BDD">
        <w:rPr>
          <w:rFonts w:cs="David" w:hint="cs"/>
          <w:sz w:val="24"/>
          <w:szCs w:val="24"/>
          <w:rtl/>
        </w:rPr>
        <w:t xml:space="preserve"> לפן האופרטיבי</w:t>
      </w:r>
      <w:r w:rsidR="00591F14">
        <w:rPr>
          <w:rStyle w:val="a5"/>
          <w:rFonts w:cs="David"/>
          <w:sz w:val="24"/>
          <w:szCs w:val="24"/>
          <w:rtl/>
        </w:rPr>
        <w:footnoteReference w:id="11"/>
      </w:r>
      <w:r w:rsidR="00181BDD">
        <w:rPr>
          <w:rFonts w:cs="David" w:hint="cs"/>
          <w:sz w:val="24"/>
          <w:szCs w:val="24"/>
          <w:rtl/>
        </w:rPr>
        <w:t>.</w:t>
      </w:r>
      <w:r w:rsidR="00181BDD" w:rsidRPr="008E5B38">
        <w:rPr>
          <w:rFonts w:cs="David" w:hint="cs"/>
          <w:sz w:val="24"/>
          <w:szCs w:val="24"/>
          <w:u w:val="single"/>
          <w:rtl/>
        </w:rPr>
        <w:t xml:space="preserve">פרופ' </w:t>
      </w:r>
      <w:r w:rsidR="00D86F35">
        <w:rPr>
          <w:rFonts w:cs="David" w:hint="cs"/>
          <w:sz w:val="24"/>
          <w:szCs w:val="24"/>
          <w:u w:val="single"/>
          <w:rtl/>
        </w:rPr>
        <w:t>טדסקי</w:t>
      </w:r>
      <w:r w:rsidR="00181BDD">
        <w:rPr>
          <w:rFonts w:cs="David" w:hint="cs"/>
          <w:sz w:val="24"/>
          <w:szCs w:val="24"/>
          <w:rtl/>
        </w:rPr>
        <w:t xml:space="preserve"> מבקר את שיטת </w:t>
      </w:r>
      <w:r w:rsidR="00402924">
        <w:rPr>
          <w:rFonts w:cs="David" w:hint="cs"/>
          <w:sz w:val="24"/>
          <w:szCs w:val="24"/>
          <w:rtl/>
        </w:rPr>
        <w:t xml:space="preserve">השו' אשר ומציין כי את ההבחנה יש לקשור </w:t>
      </w:r>
      <w:r w:rsidR="000472FE">
        <w:rPr>
          <w:rFonts w:cs="David" w:hint="cs"/>
          <w:sz w:val="24"/>
          <w:szCs w:val="24"/>
          <w:rtl/>
        </w:rPr>
        <w:t>בציר הזמן</w:t>
      </w:r>
      <w:r w:rsidR="00E01833">
        <w:rPr>
          <w:rFonts w:cs="David" w:hint="cs"/>
          <w:sz w:val="24"/>
          <w:szCs w:val="24"/>
          <w:rtl/>
        </w:rPr>
        <w:t>.</w:t>
      </w:r>
      <w:r w:rsidR="00332442">
        <w:rPr>
          <w:rFonts w:cs="David" w:hint="cs"/>
          <w:sz w:val="24"/>
          <w:szCs w:val="24"/>
          <w:rtl/>
        </w:rPr>
        <w:t xml:space="preserve"> </w:t>
      </w:r>
      <w:r w:rsidR="000472FE">
        <w:rPr>
          <w:rFonts w:cs="David" w:hint="cs"/>
          <w:sz w:val="24"/>
          <w:szCs w:val="24"/>
          <w:rtl/>
        </w:rPr>
        <w:t>טעות ביחס לעבר ולהווה,</w:t>
      </w:r>
      <w:r w:rsidR="009B44BA">
        <w:rPr>
          <w:rFonts w:cs="David" w:hint="cs"/>
          <w:sz w:val="24"/>
          <w:szCs w:val="24"/>
          <w:rtl/>
        </w:rPr>
        <w:t>הינה אופרטיבית-נוגעת לעסקה</w:t>
      </w:r>
      <w:r w:rsidR="00D83BF7">
        <w:rPr>
          <w:rFonts w:cs="David" w:hint="cs"/>
          <w:sz w:val="24"/>
          <w:szCs w:val="24"/>
          <w:rtl/>
        </w:rPr>
        <w:t>.</w:t>
      </w:r>
      <w:r w:rsidR="000472FE">
        <w:rPr>
          <w:rFonts w:cs="David" w:hint="cs"/>
          <w:sz w:val="24"/>
          <w:szCs w:val="24"/>
          <w:rtl/>
        </w:rPr>
        <w:t>טעות הנוגעת לעתיד,להתפתחות עתידית-היא בכדאיות</w:t>
      </w:r>
      <w:r w:rsidR="00591F14">
        <w:rPr>
          <w:rStyle w:val="a5"/>
          <w:rFonts w:cs="David"/>
          <w:sz w:val="24"/>
          <w:szCs w:val="24"/>
          <w:rtl/>
        </w:rPr>
        <w:footnoteReference w:id="12"/>
      </w:r>
      <w:r w:rsidR="000472FE">
        <w:rPr>
          <w:rFonts w:cs="David" w:hint="cs"/>
          <w:sz w:val="24"/>
          <w:szCs w:val="24"/>
          <w:rtl/>
        </w:rPr>
        <w:t>.</w:t>
      </w:r>
      <w:r w:rsidR="0075560C" w:rsidRPr="008E5B38">
        <w:rPr>
          <w:rFonts w:cs="David" w:hint="cs"/>
          <w:sz w:val="24"/>
          <w:szCs w:val="24"/>
          <w:u w:val="single"/>
          <w:rtl/>
        </w:rPr>
        <w:t>גישתו של פרידמן</w:t>
      </w:r>
      <w:r w:rsidR="0075560C">
        <w:rPr>
          <w:rFonts w:cs="David" w:hint="cs"/>
          <w:sz w:val="24"/>
          <w:szCs w:val="24"/>
          <w:rtl/>
        </w:rPr>
        <w:t xml:space="preserve"> שונה לגמרי משתי ה</w:t>
      </w:r>
      <w:r w:rsidR="00591F14">
        <w:rPr>
          <w:rFonts w:cs="David" w:hint="cs"/>
          <w:sz w:val="24"/>
          <w:szCs w:val="24"/>
          <w:rtl/>
        </w:rPr>
        <w:t>ראשונות,</w:t>
      </w:r>
      <w:r w:rsidR="002355D1">
        <w:rPr>
          <w:rFonts w:cs="David" w:hint="cs"/>
          <w:sz w:val="24"/>
          <w:szCs w:val="24"/>
          <w:rtl/>
        </w:rPr>
        <w:t>הוא מציג את גישת הסיכון-</w:t>
      </w:r>
      <w:r w:rsidR="007B3FBC">
        <w:rPr>
          <w:rFonts w:cs="David" w:hint="cs"/>
          <w:sz w:val="24"/>
          <w:szCs w:val="24"/>
          <w:rtl/>
        </w:rPr>
        <w:t>בכל חוזה,כל צד לוקח סיכון בעסקה.</w:t>
      </w:r>
      <w:r w:rsidR="0075560C">
        <w:rPr>
          <w:rFonts w:cs="David" w:hint="cs"/>
          <w:sz w:val="24"/>
          <w:szCs w:val="24"/>
          <w:rtl/>
        </w:rPr>
        <w:t xml:space="preserve">טעות הנוגעת רק בכדאיות </w:t>
      </w:r>
      <w:r w:rsidR="002E60F2">
        <w:rPr>
          <w:rFonts w:cs="David" w:hint="cs"/>
          <w:sz w:val="24"/>
          <w:szCs w:val="24"/>
          <w:rtl/>
        </w:rPr>
        <w:t xml:space="preserve">העסקה </w:t>
      </w:r>
      <w:r w:rsidR="00AC2E28">
        <w:rPr>
          <w:rFonts w:cs="David" w:hint="cs"/>
          <w:sz w:val="24"/>
          <w:szCs w:val="24"/>
          <w:rtl/>
        </w:rPr>
        <w:t xml:space="preserve">היא טעות שממילא הייתה </w:t>
      </w:r>
      <w:r w:rsidR="00476E22">
        <w:rPr>
          <w:rFonts w:cs="David" w:hint="cs"/>
          <w:sz w:val="24"/>
          <w:szCs w:val="24"/>
          <w:rtl/>
        </w:rPr>
        <w:t xml:space="preserve">כלולה </w:t>
      </w:r>
      <w:r w:rsidR="00AC2E28">
        <w:rPr>
          <w:rFonts w:cs="David" w:hint="cs"/>
          <w:sz w:val="24"/>
          <w:szCs w:val="24"/>
          <w:rtl/>
        </w:rPr>
        <w:t>ב</w:t>
      </w:r>
      <w:r w:rsidR="0070391A">
        <w:rPr>
          <w:rFonts w:cs="David" w:hint="cs"/>
          <w:sz w:val="24"/>
          <w:szCs w:val="24"/>
          <w:rtl/>
        </w:rPr>
        <w:t>תוך</w:t>
      </w:r>
      <w:r w:rsidR="00AC2E28">
        <w:rPr>
          <w:rFonts w:cs="David" w:hint="cs"/>
          <w:sz w:val="24"/>
          <w:szCs w:val="24"/>
          <w:rtl/>
        </w:rPr>
        <w:t xml:space="preserve"> הסיכון שנטל עליו האדם על עצמו מכורח החוזה</w:t>
      </w:r>
      <w:r w:rsidR="00591F14">
        <w:rPr>
          <w:rStyle w:val="a5"/>
          <w:rFonts w:cs="David"/>
          <w:sz w:val="24"/>
          <w:szCs w:val="24"/>
          <w:rtl/>
        </w:rPr>
        <w:footnoteReference w:id="13"/>
      </w:r>
      <w:r w:rsidR="0075560C">
        <w:rPr>
          <w:rFonts w:cs="David" w:hint="cs"/>
          <w:sz w:val="24"/>
          <w:szCs w:val="24"/>
          <w:rtl/>
        </w:rPr>
        <w:t>.</w:t>
      </w:r>
      <w:r w:rsidR="00FB4386">
        <w:rPr>
          <w:rFonts w:cs="David" w:hint="cs"/>
          <w:sz w:val="24"/>
          <w:szCs w:val="24"/>
          <w:rtl/>
        </w:rPr>
        <w:t xml:space="preserve"> </w:t>
      </w:r>
      <w:r w:rsidR="00FB4DAA" w:rsidRPr="00332442">
        <w:rPr>
          <w:rFonts w:cs="David" w:hint="cs"/>
          <w:b/>
          <w:bCs/>
          <w:sz w:val="24"/>
          <w:szCs w:val="24"/>
          <w:u w:val="single"/>
          <w:rtl/>
        </w:rPr>
        <w:t>מקורות חובת הגילוי</w:t>
      </w:r>
      <w:r w:rsidR="00FB4DAA" w:rsidRPr="00332442">
        <w:rPr>
          <w:rStyle w:val="a5"/>
          <w:rFonts w:cs="David"/>
          <w:b/>
          <w:bCs/>
          <w:sz w:val="24"/>
          <w:szCs w:val="24"/>
          <w:u w:val="single"/>
          <w:rtl/>
        </w:rPr>
        <w:footnoteReference w:id="14"/>
      </w:r>
      <w:r w:rsidR="00181BDD" w:rsidRPr="00332442">
        <w:rPr>
          <w:rFonts w:cs="David" w:hint="cs"/>
          <w:b/>
          <w:bCs/>
          <w:sz w:val="24"/>
          <w:szCs w:val="24"/>
          <w:u w:val="single"/>
          <w:rtl/>
        </w:rPr>
        <w:t xml:space="preserve"> </w:t>
      </w:r>
      <w:r w:rsidR="00FB4386" w:rsidRPr="00332442">
        <w:rPr>
          <w:rFonts w:cs="David" w:hint="cs"/>
          <w:b/>
          <w:bCs/>
          <w:sz w:val="24"/>
          <w:szCs w:val="24"/>
          <w:u w:val="single"/>
          <w:rtl/>
        </w:rPr>
        <w:t>הינם</w:t>
      </w:r>
      <w:r w:rsidR="00181BDD">
        <w:rPr>
          <w:rFonts w:cs="David" w:hint="cs"/>
          <w:sz w:val="24"/>
          <w:szCs w:val="24"/>
          <w:rtl/>
        </w:rPr>
        <w:t xml:space="preserve"> </w:t>
      </w:r>
      <w:r w:rsidR="00AC2E28">
        <w:rPr>
          <w:rFonts w:cs="David"/>
          <w:sz w:val="24"/>
          <w:szCs w:val="24"/>
          <w:rtl/>
        </w:rPr>
        <w:t>–</w:t>
      </w:r>
      <w:r w:rsidR="00D83BF7" w:rsidRPr="00C9311B">
        <w:rPr>
          <w:rFonts w:cs="David" w:hint="cs"/>
          <w:b/>
          <w:bCs/>
          <w:sz w:val="24"/>
          <w:szCs w:val="24"/>
          <w:u w:val="single"/>
          <w:rtl/>
        </w:rPr>
        <w:t>1</w:t>
      </w:r>
      <w:r w:rsidR="00FB4DAA" w:rsidRPr="00181BDD">
        <w:rPr>
          <w:rFonts w:cs="David" w:hint="cs"/>
          <w:b/>
          <w:bCs/>
          <w:sz w:val="24"/>
          <w:szCs w:val="24"/>
          <w:u w:val="single"/>
          <w:rtl/>
        </w:rPr>
        <w:t>.דין</w:t>
      </w:r>
      <w:r w:rsidR="00FB4DAA">
        <w:rPr>
          <w:rFonts w:cs="David" w:hint="cs"/>
          <w:sz w:val="24"/>
          <w:szCs w:val="24"/>
          <w:rtl/>
        </w:rPr>
        <w:t>-</w:t>
      </w:r>
      <w:r w:rsidR="00FB4DAA" w:rsidRPr="00DD57D1">
        <w:rPr>
          <w:rFonts w:cs="David" w:hint="cs"/>
          <w:sz w:val="24"/>
          <w:szCs w:val="24"/>
          <w:u w:val="single"/>
          <w:rtl/>
        </w:rPr>
        <w:t>א.הוראות דין ספציפיות</w:t>
      </w:r>
      <w:r w:rsidR="00FB4DAA">
        <w:rPr>
          <w:rFonts w:cs="David" w:hint="cs"/>
          <w:sz w:val="24"/>
          <w:szCs w:val="24"/>
          <w:rtl/>
        </w:rPr>
        <w:t xml:space="preserve"> שמחייבות מתן אינפורמציה</w:t>
      </w:r>
      <w:r w:rsidR="00FB4DAA">
        <w:rPr>
          <w:rStyle w:val="a5"/>
          <w:rFonts w:cs="David"/>
          <w:sz w:val="24"/>
          <w:szCs w:val="24"/>
          <w:rtl/>
        </w:rPr>
        <w:footnoteReference w:id="15"/>
      </w:r>
      <w:r w:rsidR="00C9311B">
        <w:rPr>
          <w:rFonts w:cs="David" w:hint="cs"/>
          <w:sz w:val="24"/>
          <w:szCs w:val="24"/>
          <w:rtl/>
        </w:rPr>
        <w:t xml:space="preserve"> (כגון-חוק המכר,חוק הגנת הצרכן..)</w:t>
      </w:r>
      <w:r w:rsidR="00611A2B">
        <w:rPr>
          <w:rFonts w:cs="David" w:hint="cs"/>
          <w:sz w:val="24"/>
          <w:szCs w:val="24"/>
          <w:rtl/>
        </w:rPr>
        <w:t>.</w:t>
      </w:r>
      <w:r w:rsidR="00FB4DAA" w:rsidRPr="00DD57D1">
        <w:rPr>
          <w:rFonts w:cs="David" w:hint="cs"/>
          <w:sz w:val="24"/>
          <w:szCs w:val="24"/>
          <w:u w:val="single"/>
          <w:rtl/>
        </w:rPr>
        <w:t>ב. סעיף 12 לחוק החוזים</w:t>
      </w:r>
      <w:r w:rsidR="00FB4DAA">
        <w:rPr>
          <w:rStyle w:val="a5"/>
          <w:rFonts w:cs="David"/>
          <w:sz w:val="24"/>
          <w:szCs w:val="24"/>
          <w:rtl/>
        </w:rPr>
        <w:footnoteReference w:id="16"/>
      </w:r>
      <w:r w:rsidR="00192BC8">
        <w:rPr>
          <w:rFonts w:cs="David" w:hint="cs"/>
          <w:sz w:val="24"/>
          <w:szCs w:val="24"/>
          <w:rtl/>
        </w:rPr>
        <w:t>-</w:t>
      </w:r>
      <w:r w:rsidR="004E39D4">
        <w:rPr>
          <w:rFonts w:cs="David" w:hint="cs"/>
          <w:sz w:val="24"/>
          <w:szCs w:val="24"/>
          <w:rtl/>
        </w:rPr>
        <w:t>ה</w:t>
      </w:r>
      <w:r w:rsidR="00FB4DAA">
        <w:rPr>
          <w:rFonts w:cs="David" w:hint="cs"/>
          <w:sz w:val="24"/>
          <w:szCs w:val="24"/>
          <w:rtl/>
        </w:rPr>
        <w:t xml:space="preserve">קובע כי יש חובה לנהוג </w:t>
      </w:r>
      <w:r w:rsidR="004A3022">
        <w:rPr>
          <w:rFonts w:cs="David" w:hint="cs"/>
          <w:sz w:val="24"/>
          <w:szCs w:val="24"/>
          <w:rtl/>
        </w:rPr>
        <w:t>בתום לב במשא ומתן לקראת כריתת חוזה.</w:t>
      </w:r>
      <w:r w:rsidR="004E39D4">
        <w:rPr>
          <w:rFonts w:cs="David" w:hint="cs"/>
          <w:sz w:val="24"/>
          <w:szCs w:val="24"/>
          <w:rtl/>
        </w:rPr>
        <w:t>חלק מחובה זו היא ה</w:t>
      </w:r>
      <w:r w:rsidR="004A3022">
        <w:rPr>
          <w:rFonts w:cs="David" w:hint="cs"/>
          <w:sz w:val="24"/>
          <w:szCs w:val="24"/>
          <w:rtl/>
        </w:rPr>
        <w:t>חובה לגלות פרטים מהותיים במהלך המשא ומתן</w:t>
      </w:r>
      <w:r w:rsidR="004A3022">
        <w:rPr>
          <w:rStyle w:val="a5"/>
          <w:rFonts w:cs="David"/>
          <w:sz w:val="24"/>
          <w:szCs w:val="24"/>
          <w:rtl/>
        </w:rPr>
        <w:footnoteReference w:id="17"/>
      </w:r>
      <w:r w:rsidR="004A3022">
        <w:rPr>
          <w:rFonts w:cs="David" w:hint="cs"/>
          <w:sz w:val="24"/>
          <w:szCs w:val="24"/>
          <w:rtl/>
        </w:rPr>
        <w:t>.</w:t>
      </w:r>
      <w:r w:rsidR="009D6440">
        <w:rPr>
          <w:rFonts w:cs="David" w:hint="cs"/>
          <w:sz w:val="24"/>
          <w:szCs w:val="24"/>
          <w:rtl/>
        </w:rPr>
        <w:t>2</w:t>
      </w:r>
      <w:r w:rsidR="004A3022">
        <w:rPr>
          <w:rFonts w:cs="David" w:hint="cs"/>
          <w:sz w:val="24"/>
          <w:szCs w:val="24"/>
          <w:rtl/>
        </w:rPr>
        <w:t>.</w:t>
      </w:r>
      <w:r w:rsidR="004A3022" w:rsidRPr="004E226D">
        <w:rPr>
          <w:rFonts w:cs="David" w:hint="cs"/>
          <w:b/>
          <w:bCs/>
          <w:sz w:val="24"/>
          <w:szCs w:val="24"/>
          <w:u w:val="single"/>
          <w:rtl/>
        </w:rPr>
        <w:t>נוהג</w:t>
      </w:r>
      <w:r w:rsidR="004E39D4">
        <w:rPr>
          <w:rFonts w:cs="David" w:hint="cs"/>
          <w:sz w:val="24"/>
          <w:szCs w:val="24"/>
          <w:rtl/>
        </w:rPr>
        <w:t xml:space="preserve">-משמע התנהגות מקובלת </w:t>
      </w:r>
      <w:r w:rsidR="004A3022">
        <w:rPr>
          <w:rFonts w:cs="David" w:hint="cs"/>
          <w:sz w:val="24"/>
          <w:szCs w:val="24"/>
          <w:rtl/>
        </w:rPr>
        <w:t>במקרים</w:t>
      </w:r>
      <w:r w:rsidR="001A1175">
        <w:rPr>
          <w:rFonts w:cs="David" w:hint="cs"/>
          <w:sz w:val="24"/>
          <w:szCs w:val="24"/>
          <w:rtl/>
        </w:rPr>
        <w:t>,</w:t>
      </w:r>
      <w:r w:rsidR="004E39D4">
        <w:rPr>
          <w:rFonts w:cs="David" w:hint="cs"/>
          <w:sz w:val="24"/>
          <w:szCs w:val="24"/>
          <w:rtl/>
        </w:rPr>
        <w:t xml:space="preserve"> </w:t>
      </w:r>
      <w:r w:rsidR="004A3022">
        <w:rPr>
          <w:rFonts w:cs="David" w:hint="cs"/>
          <w:sz w:val="24"/>
          <w:szCs w:val="24"/>
          <w:rtl/>
        </w:rPr>
        <w:t>ענפים והסכמים מסוימים.</w:t>
      </w:r>
      <w:r w:rsidR="005F32A3">
        <w:rPr>
          <w:rFonts w:cs="David" w:hint="cs"/>
          <w:sz w:val="24"/>
          <w:szCs w:val="24"/>
          <w:rtl/>
        </w:rPr>
        <w:t xml:space="preserve"> </w:t>
      </w:r>
      <w:r w:rsidR="004A3022">
        <w:rPr>
          <w:rFonts w:cs="David" w:hint="cs"/>
          <w:sz w:val="24"/>
          <w:szCs w:val="24"/>
          <w:rtl/>
        </w:rPr>
        <w:t xml:space="preserve">הנהוג </w:t>
      </w:r>
      <w:r w:rsidR="004A3022" w:rsidRPr="00E01833">
        <w:rPr>
          <w:rFonts w:cs="David" w:hint="cs"/>
          <w:sz w:val="24"/>
          <w:szCs w:val="24"/>
          <w:rtl/>
        </w:rPr>
        <w:t>מקבל</w:t>
      </w:r>
      <w:r w:rsidR="00E01833" w:rsidRPr="00E01833">
        <w:rPr>
          <w:rFonts w:cs="David" w:hint="cs"/>
          <w:sz w:val="24"/>
          <w:szCs w:val="24"/>
          <w:rtl/>
        </w:rPr>
        <w:t xml:space="preserve"> </w:t>
      </w:r>
      <w:r w:rsidR="004A3022" w:rsidRPr="00E01833">
        <w:rPr>
          <w:rFonts w:cs="David" w:hint="cs"/>
          <w:sz w:val="24"/>
          <w:szCs w:val="24"/>
          <w:rtl/>
        </w:rPr>
        <w:t>תוקף</w:t>
      </w:r>
      <w:r w:rsidR="004A3022">
        <w:rPr>
          <w:rFonts w:cs="David" w:hint="cs"/>
          <w:sz w:val="24"/>
          <w:szCs w:val="24"/>
          <w:rtl/>
        </w:rPr>
        <w:t xml:space="preserve"> של חוק.</w:t>
      </w:r>
      <w:r w:rsidR="006C6647">
        <w:rPr>
          <w:rFonts w:cs="David" w:hint="cs"/>
          <w:sz w:val="24"/>
          <w:szCs w:val="24"/>
          <w:rtl/>
        </w:rPr>
        <w:t xml:space="preserve">הדבר </w:t>
      </w:r>
      <w:r w:rsidR="004A3022">
        <w:rPr>
          <w:rFonts w:cs="David" w:hint="cs"/>
          <w:sz w:val="24"/>
          <w:szCs w:val="24"/>
          <w:rtl/>
        </w:rPr>
        <w:t>קיים בתחומים שבהם הצדדים לחוזה רגילים לגלות עובדות מהותיות או כשיש יחס מיוחד בין הצדדים לחוזה.</w:t>
      </w:r>
      <w:r w:rsidR="00F417B2">
        <w:rPr>
          <w:rFonts w:cs="David" w:hint="cs"/>
          <w:sz w:val="24"/>
          <w:szCs w:val="24"/>
          <w:rtl/>
        </w:rPr>
        <w:t>3</w:t>
      </w:r>
      <w:r w:rsidR="00282214">
        <w:rPr>
          <w:rFonts w:cs="David" w:hint="cs"/>
          <w:sz w:val="24"/>
          <w:szCs w:val="24"/>
          <w:rtl/>
        </w:rPr>
        <w:t>.</w:t>
      </w:r>
      <w:r w:rsidR="00282214" w:rsidRPr="004E226D">
        <w:rPr>
          <w:rFonts w:cs="David" w:hint="cs"/>
          <w:b/>
          <w:bCs/>
          <w:sz w:val="24"/>
          <w:szCs w:val="24"/>
          <w:u w:val="single"/>
          <w:rtl/>
        </w:rPr>
        <w:t>נסיבות-</w:t>
      </w:r>
      <w:r w:rsidR="00282214">
        <w:rPr>
          <w:rFonts w:cs="David" w:hint="cs"/>
          <w:sz w:val="24"/>
          <w:szCs w:val="24"/>
          <w:rtl/>
        </w:rPr>
        <w:t>זהו מקור רחב ופחות מוגדר.הכוונה לנסיבות עובדתיות המיוחדות לעסקה הנידונה. כאש</w:t>
      </w:r>
      <w:r w:rsidR="00801FE2">
        <w:rPr>
          <w:rFonts w:cs="David" w:hint="cs"/>
          <w:sz w:val="24"/>
          <w:szCs w:val="24"/>
          <w:rtl/>
        </w:rPr>
        <w:t>ר נסיבות אלה מצמיחות חובת גילוי-</w:t>
      </w:r>
      <w:r w:rsidR="00282214">
        <w:rPr>
          <w:rFonts w:cs="David" w:hint="cs"/>
          <w:sz w:val="24"/>
          <w:szCs w:val="24"/>
          <w:rtl/>
        </w:rPr>
        <w:t>תחשב שתיקה כהטעיה</w:t>
      </w:r>
      <w:r w:rsidR="00282214">
        <w:rPr>
          <w:rStyle w:val="a5"/>
          <w:rFonts w:cs="David"/>
          <w:sz w:val="24"/>
          <w:szCs w:val="24"/>
          <w:rtl/>
        </w:rPr>
        <w:footnoteReference w:id="18"/>
      </w:r>
      <w:r w:rsidR="00282214">
        <w:rPr>
          <w:rFonts w:cs="David" w:hint="cs"/>
          <w:sz w:val="24"/>
          <w:szCs w:val="24"/>
          <w:rtl/>
        </w:rPr>
        <w:t>.</w:t>
      </w:r>
      <w:r w:rsidR="00AD25B8">
        <w:rPr>
          <w:rFonts w:cs="David" w:hint="cs"/>
          <w:sz w:val="24"/>
          <w:szCs w:val="24"/>
          <w:rtl/>
        </w:rPr>
        <w:t xml:space="preserve"> </w:t>
      </w:r>
      <w:r w:rsidR="004E226D" w:rsidRPr="004E226D">
        <w:rPr>
          <w:rFonts w:cs="David" w:hint="cs"/>
          <w:b/>
          <w:bCs/>
          <w:sz w:val="24"/>
          <w:szCs w:val="24"/>
          <w:u w:val="single"/>
          <w:rtl/>
        </w:rPr>
        <w:t>לסיכום-</w:t>
      </w:r>
      <w:r w:rsidR="00C274CD">
        <w:rPr>
          <w:rFonts w:cs="David" w:hint="cs"/>
          <w:sz w:val="24"/>
          <w:szCs w:val="24"/>
          <w:rtl/>
        </w:rPr>
        <w:t xml:space="preserve"> </w:t>
      </w:r>
      <w:r w:rsidR="00276A7A">
        <w:rPr>
          <w:rFonts w:cs="David" w:hint="cs"/>
          <w:sz w:val="24"/>
          <w:szCs w:val="24"/>
          <w:rtl/>
        </w:rPr>
        <w:lastRenderedPageBreak/>
        <w:t>כש</w:t>
      </w:r>
      <w:r w:rsidR="00C274CD">
        <w:rPr>
          <w:rFonts w:cs="David" w:hint="cs"/>
          <w:sz w:val="24"/>
          <w:szCs w:val="24"/>
          <w:rtl/>
        </w:rPr>
        <w:t xml:space="preserve">נוצר פער בין הדברים הנאמרים או המוסתרים לבין המציאות </w:t>
      </w:r>
      <w:r w:rsidR="00C26477">
        <w:rPr>
          <w:rFonts w:cs="David" w:hint="cs"/>
          <w:sz w:val="24"/>
          <w:szCs w:val="24"/>
          <w:rtl/>
        </w:rPr>
        <w:t>שגורם</w:t>
      </w:r>
      <w:r w:rsidR="00C274CD">
        <w:rPr>
          <w:rFonts w:cs="David" w:hint="cs"/>
          <w:sz w:val="24"/>
          <w:szCs w:val="24"/>
          <w:rtl/>
        </w:rPr>
        <w:t xml:space="preserve"> להטעיה שמובילה להתקשרות חוזית</w:t>
      </w:r>
      <w:r w:rsidR="00B1773C">
        <w:rPr>
          <w:rFonts w:cs="David" w:hint="cs"/>
          <w:sz w:val="24"/>
          <w:szCs w:val="24"/>
          <w:rtl/>
        </w:rPr>
        <w:t>,</w:t>
      </w:r>
      <w:r w:rsidR="00C274CD">
        <w:rPr>
          <w:rFonts w:cs="David" w:hint="cs"/>
          <w:sz w:val="24"/>
          <w:szCs w:val="24"/>
          <w:rtl/>
        </w:rPr>
        <w:t xml:space="preserve"> רשאי הצד שהוטעה </w:t>
      </w:r>
      <w:r w:rsidR="00B4109C">
        <w:rPr>
          <w:rFonts w:cs="David" w:hint="cs"/>
          <w:sz w:val="24"/>
          <w:szCs w:val="24"/>
          <w:rtl/>
        </w:rPr>
        <w:t>לבקש</w:t>
      </w:r>
      <w:r w:rsidR="00C274CD">
        <w:rPr>
          <w:rFonts w:cs="David" w:hint="cs"/>
          <w:sz w:val="24"/>
          <w:szCs w:val="24"/>
          <w:rtl/>
        </w:rPr>
        <w:t xml:space="preserve"> את</w:t>
      </w:r>
      <w:r w:rsidR="00B4109C">
        <w:rPr>
          <w:rFonts w:cs="David" w:hint="cs"/>
          <w:sz w:val="24"/>
          <w:szCs w:val="24"/>
          <w:rtl/>
        </w:rPr>
        <w:t xml:space="preserve"> ביטול</w:t>
      </w:r>
      <w:r w:rsidR="00B1773C">
        <w:rPr>
          <w:rFonts w:cs="David" w:hint="cs"/>
          <w:sz w:val="24"/>
          <w:szCs w:val="24"/>
          <w:rtl/>
        </w:rPr>
        <w:t xml:space="preserve"> החוזה.</w:t>
      </w:r>
      <w:r w:rsidR="00C40240">
        <w:rPr>
          <w:rFonts w:cs="David" w:hint="cs"/>
          <w:sz w:val="24"/>
          <w:szCs w:val="24"/>
          <w:rtl/>
        </w:rPr>
        <w:t xml:space="preserve"> </w:t>
      </w:r>
      <w:r w:rsidR="004E226D" w:rsidRPr="00CB4AB5">
        <w:rPr>
          <w:rFonts w:cs="David" w:hint="cs"/>
          <w:b/>
          <w:bCs/>
          <w:sz w:val="24"/>
          <w:szCs w:val="24"/>
          <w:u w:val="single"/>
          <w:rtl/>
        </w:rPr>
        <w:t>במקרה שלפנינו</w:t>
      </w:r>
      <w:r w:rsidR="004E226D">
        <w:rPr>
          <w:rFonts w:cs="David" w:hint="cs"/>
          <w:sz w:val="24"/>
          <w:szCs w:val="24"/>
          <w:rtl/>
        </w:rPr>
        <w:t xml:space="preserve"> רונן מציע לשמואל להתגורר בבית האבות שב</w:t>
      </w:r>
      <w:r w:rsidR="009C2C76">
        <w:rPr>
          <w:rFonts w:cs="David" w:hint="cs"/>
          <w:sz w:val="24"/>
          <w:szCs w:val="24"/>
          <w:rtl/>
        </w:rPr>
        <w:t>רשותו</w:t>
      </w:r>
      <w:r w:rsidR="004E226D">
        <w:rPr>
          <w:rFonts w:cs="David" w:hint="cs"/>
          <w:sz w:val="24"/>
          <w:szCs w:val="24"/>
          <w:rtl/>
        </w:rPr>
        <w:t xml:space="preserve"> תמורת בעלות על דירתו.</w:t>
      </w:r>
      <w:r w:rsidR="00DA4C9D">
        <w:rPr>
          <w:rFonts w:cs="David" w:hint="cs"/>
          <w:sz w:val="24"/>
          <w:szCs w:val="24"/>
          <w:rtl/>
        </w:rPr>
        <w:t xml:space="preserve">שמואל </w:t>
      </w:r>
      <w:r w:rsidR="00DB22F6">
        <w:rPr>
          <w:rFonts w:cs="David" w:hint="cs"/>
          <w:sz w:val="24"/>
          <w:szCs w:val="24"/>
          <w:rtl/>
        </w:rPr>
        <w:t>קשיש ערירי,</w:t>
      </w:r>
      <w:r w:rsidR="00CB4AB5">
        <w:rPr>
          <w:rFonts w:cs="David" w:hint="cs"/>
          <w:sz w:val="24"/>
          <w:szCs w:val="24"/>
          <w:rtl/>
        </w:rPr>
        <w:t xml:space="preserve">שמצבו הכלכלי אינו </w:t>
      </w:r>
      <w:r w:rsidR="00CB4AB5" w:rsidRPr="0057754F">
        <w:rPr>
          <w:rFonts w:cs="David" w:hint="cs"/>
          <w:sz w:val="24"/>
          <w:szCs w:val="24"/>
          <w:rtl/>
        </w:rPr>
        <w:t>מזהיר</w:t>
      </w:r>
      <w:r w:rsidR="00CB4AB5">
        <w:rPr>
          <w:rFonts w:cs="David" w:hint="cs"/>
          <w:sz w:val="24"/>
          <w:szCs w:val="24"/>
          <w:rtl/>
        </w:rPr>
        <w:t xml:space="preserve"> ורכושו היחידי היא דירתו,</w:t>
      </w:r>
      <w:r w:rsidR="00DB22F6">
        <w:rPr>
          <w:rFonts w:cs="David" w:hint="cs"/>
          <w:sz w:val="24"/>
          <w:szCs w:val="24"/>
          <w:rtl/>
        </w:rPr>
        <w:t>מודע לעובדה שהדירה בעלת ערך רב,</w:t>
      </w:r>
      <w:r w:rsidR="00DA4C9D">
        <w:rPr>
          <w:rFonts w:cs="David" w:hint="cs"/>
          <w:sz w:val="24"/>
          <w:szCs w:val="24"/>
          <w:rtl/>
        </w:rPr>
        <w:t>אך הוא אינו מסוגל להתמודד עם התהליכים המורכבים המצריכים את מכירתה.</w:t>
      </w:r>
      <w:r w:rsidR="00DB22F6">
        <w:rPr>
          <w:rFonts w:cs="David" w:hint="cs"/>
          <w:sz w:val="24"/>
          <w:szCs w:val="24"/>
          <w:rtl/>
        </w:rPr>
        <w:t>הוא</w:t>
      </w:r>
      <w:r w:rsidR="00DA4C9D">
        <w:rPr>
          <w:rFonts w:cs="David" w:hint="cs"/>
          <w:sz w:val="24"/>
          <w:szCs w:val="24"/>
          <w:rtl/>
        </w:rPr>
        <w:t xml:space="preserve"> ערירי,אין לו עזרה וסיוע </w:t>
      </w:r>
      <w:r w:rsidR="001729EC">
        <w:rPr>
          <w:rFonts w:cs="David" w:hint="cs"/>
          <w:sz w:val="24"/>
          <w:szCs w:val="24"/>
          <w:rtl/>
        </w:rPr>
        <w:t>ולכן הוא פונה לשכנו לעזרה.</w:t>
      </w:r>
      <w:r w:rsidR="00393CED">
        <w:rPr>
          <w:rFonts w:cs="David" w:hint="cs"/>
          <w:sz w:val="24"/>
          <w:szCs w:val="24"/>
          <w:rtl/>
        </w:rPr>
        <w:t xml:space="preserve"> </w:t>
      </w:r>
      <w:r w:rsidR="00DA4C9D">
        <w:rPr>
          <w:rFonts w:cs="David" w:hint="cs"/>
          <w:sz w:val="24"/>
          <w:szCs w:val="24"/>
          <w:rtl/>
        </w:rPr>
        <w:t xml:space="preserve">הוא בוחר באפשרות </w:t>
      </w:r>
      <w:r w:rsidR="00F50411">
        <w:rPr>
          <w:rFonts w:cs="David" w:hint="cs"/>
          <w:sz w:val="24"/>
          <w:szCs w:val="24"/>
          <w:rtl/>
        </w:rPr>
        <w:t>שנראית</w:t>
      </w:r>
      <w:r w:rsidR="00DA4C9D">
        <w:rPr>
          <w:rFonts w:cs="David" w:hint="cs"/>
          <w:sz w:val="24"/>
          <w:szCs w:val="24"/>
          <w:rtl/>
        </w:rPr>
        <w:t xml:space="preserve"> המתאימה עבורו</w:t>
      </w:r>
      <w:r w:rsidR="001729EC">
        <w:rPr>
          <w:rFonts w:cs="David" w:hint="cs"/>
          <w:sz w:val="24"/>
          <w:szCs w:val="24"/>
          <w:rtl/>
        </w:rPr>
        <w:t xml:space="preserve"> עפ"י המצג שהוצג לו(מצג </w:t>
      </w:r>
      <w:r w:rsidR="00F50411">
        <w:rPr>
          <w:rFonts w:cs="David" w:hint="cs"/>
          <w:sz w:val="24"/>
          <w:szCs w:val="24"/>
          <w:rtl/>
        </w:rPr>
        <w:t>שווא</w:t>
      </w:r>
      <w:r w:rsidR="001729EC">
        <w:rPr>
          <w:rFonts w:cs="David" w:hint="cs"/>
          <w:sz w:val="24"/>
          <w:szCs w:val="24"/>
          <w:rtl/>
        </w:rPr>
        <w:t>)</w:t>
      </w:r>
      <w:r w:rsidR="00CB4AB5">
        <w:rPr>
          <w:rFonts w:cs="David" w:hint="cs"/>
          <w:sz w:val="24"/>
          <w:szCs w:val="24"/>
          <w:rtl/>
        </w:rPr>
        <w:t>,</w:t>
      </w:r>
      <w:r w:rsidR="00DA4C9D">
        <w:rPr>
          <w:rFonts w:cs="David" w:hint="cs"/>
          <w:sz w:val="24"/>
          <w:szCs w:val="24"/>
          <w:rtl/>
        </w:rPr>
        <w:t>ובל</w:t>
      </w:r>
      <w:r w:rsidR="00CB4AB5">
        <w:rPr>
          <w:rFonts w:cs="David" w:hint="cs"/>
          <w:sz w:val="24"/>
          <w:szCs w:val="24"/>
          <w:rtl/>
        </w:rPr>
        <w:t>י</w:t>
      </w:r>
      <w:r w:rsidR="00DA4C9D">
        <w:rPr>
          <w:rFonts w:cs="David" w:hint="cs"/>
          <w:sz w:val="24"/>
          <w:szCs w:val="24"/>
          <w:rtl/>
        </w:rPr>
        <w:t>ית ברירה</w:t>
      </w:r>
      <w:r w:rsidR="007C66F1">
        <w:rPr>
          <w:rFonts w:cs="David" w:hint="cs"/>
          <w:sz w:val="24"/>
          <w:szCs w:val="24"/>
          <w:rtl/>
        </w:rPr>
        <w:t xml:space="preserve"> </w:t>
      </w:r>
      <w:r w:rsidR="00DA4C9D">
        <w:rPr>
          <w:rFonts w:cs="David" w:hint="cs"/>
          <w:sz w:val="24"/>
          <w:szCs w:val="24"/>
          <w:rtl/>
        </w:rPr>
        <w:t xml:space="preserve">חותם על העסקה. </w:t>
      </w:r>
      <w:r w:rsidR="006C00CF" w:rsidRPr="00EC4ACB">
        <w:rPr>
          <w:rFonts w:cs="David" w:hint="cs"/>
          <w:b/>
          <w:bCs/>
          <w:sz w:val="24"/>
          <w:szCs w:val="24"/>
          <w:u w:val="single"/>
          <w:rtl/>
        </w:rPr>
        <w:t>מצד אחד ניתן לטעון</w:t>
      </w:r>
      <w:r w:rsidR="006C00CF">
        <w:rPr>
          <w:rFonts w:cs="David" w:hint="cs"/>
          <w:sz w:val="24"/>
          <w:szCs w:val="24"/>
          <w:rtl/>
        </w:rPr>
        <w:t xml:space="preserve"> כי רונן מסר את מלא האינפורמציה הנחוצה וכי אין חובה עליו למסור את כל המידע שברשותו</w:t>
      </w:r>
      <w:r w:rsidR="006C00CF">
        <w:rPr>
          <w:rStyle w:val="a5"/>
          <w:rFonts w:cs="David"/>
          <w:sz w:val="24"/>
          <w:szCs w:val="24"/>
          <w:rtl/>
        </w:rPr>
        <w:footnoteReference w:id="19"/>
      </w:r>
      <w:r w:rsidR="006C00CF">
        <w:rPr>
          <w:rFonts w:cs="David" w:hint="cs"/>
          <w:sz w:val="24"/>
          <w:szCs w:val="24"/>
          <w:rtl/>
        </w:rPr>
        <w:t>.על הצד השני</w:t>
      </w:r>
      <w:r w:rsidR="002C047B">
        <w:rPr>
          <w:rFonts w:cs="David" w:hint="cs"/>
          <w:sz w:val="24"/>
          <w:szCs w:val="24"/>
          <w:rtl/>
        </w:rPr>
        <w:t>-שמואל,</w:t>
      </w:r>
      <w:r w:rsidR="006C00CF">
        <w:rPr>
          <w:rFonts w:cs="David" w:hint="cs"/>
          <w:sz w:val="24"/>
          <w:szCs w:val="24"/>
          <w:rtl/>
        </w:rPr>
        <w:t>לבדוק את הפרטים הנוגעים לעסקה ואת כדאיותה</w:t>
      </w:r>
      <w:r w:rsidR="0026122A" w:rsidRPr="00B1773C">
        <w:rPr>
          <w:rStyle w:val="a5"/>
          <w:rFonts w:cs="David"/>
          <w:sz w:val="24"/>
          <w:szCs w:val="24"/>
          <w:rtl/>
        </w:rPr>
        <w:footnoteReference w:id="20"/>
      </w:r>
      <w:r w:rsidR="00B1773C" w:rsidRPr="00B1773C">
        <w:rPr>
          <w:rFonts w:cs="David" w:hint="cs"/>
          <w:sz w:val="24"/>
          <w:szCs w:val="24"/>
          <w:rtl/>
        </w:rPr>
        <w:t>.</w:t>
      </w:r>
      <w:r w:rsidR="00B1773C">
        <w:rPr>
          <w:rFonts w:cs="David" w:hint="cs"/>
          <w:sz w:val="24"/>
          <w:szCs w:val="24"/>
          <w:rtl/>
        </w:rPr>
        <w:t xml:space="preserve"> </w:t>
      </w:r>
      <w:r w:rsidR="00C84A9A">
        <w:rPr>
          <w:rFonts w:cs="David" w:hint="cs"/>
          <w:sz w:val="24"/>
          <w:szCs w:val="24"/>
          <w:rtl/>
        </w:rPr>
        <w:t>ניתן גם להוסיף כי המידע אינו מהותי ושהטעות נוגעת לכדאיות העסקה בלבד(שמואל לקח סיכון בעסקה,לא בדק אופציות,</w:t>
      </w:r>
      <w:r w:rsidR="00974C6F">
        <w:rPr>
          <w:rFonts w:cs="David" w:hint="cs"/>
          <w:sz w:val="24"/>
          <w:szCs w:val="24"/>
          <w:rtl/>
        </w:rPr>
        <w:t xml:space="preserve"> </w:t>
      </w:r>
      <w:r w:rsidR="00C84A9A">
        <w:rPr>
          <w:rFonts w:cs="David" w:hint="cs"/>
          <w:sz w:val="24"/>
          <w:szCs w:val="24"/>
          <w:rtl/>
        </w:rPr>
        <w:t>ושם טעותו-בכדאיותה גרידא)יש שיוסיפו שבית המשפט אינו אפוטרופוס לעסקאות שמועדות להיות מזיקות</w:t>
      </w:r>
      <w:r w:rsidR="00C84A9A">
        <w:rPr>
          <w:rStyle w:val="a5"/>
          <w:rFonts w:cs="David"/>
          <w:sz w:val="24"/>
          <w:szCs w:val="24"/>
          <w:rtl/>
        </w:rPr>
        <w:footnoteReference w:id="21"/>
      </w:r>
      <w:r w:rsidR="00C84A9A">
        <w:rPr>
          <w:rFonts w:cs="David" w:hint="cs"/>
          <w:sz w:val="24"/>
          <w:szCs w:val="24"/>
          <w:rtl/>
        </w:rPr>
        <w:t>.ושגם אם הייתה נגל</w:t>
      </w:r>
      <w:r w:rsidR="00FB4C8C">
        <w:rPr>
          <w:rFonts w:cs="David" w:hint="cs"/>
          <w:sz w:val="24"/>
          <w:szCs w:val="24"/>
          <w:rtl/>
        </w:rPr>
        <w:t>י</w:t>
      </w:r>
      <w:r w:rsidR="00C84A9A">
        <w:rPr>
          <w:rFonts w:cs="David" w:hint="cs"/>
          <w:sz w:val="24"/>
          <w:szCs w:val="24"/>
          <w:rtl/>
        </w:rPr>
        <w:t xml:space="preserve">ת לפני שמואל האינפורמציה כולה עדיין היה מתקשר בחוזה,כי זאת אופציה נוחה.שמואל יודע ומעריך כי ערך דירתו גבוה וכי עדיף לו למכור את הדירה,הוא </w:t>
      </w:r>
      <w:r w:rsidR="00E50471">
        <w:rPr>
          <w:rFonts w:cs="David" w:hint="cs"/>
          <w:sz w:val="24"/>
          <w:szCs w:val="24"/>
          <w:rtl/>
        </w:rPr>
        <w:t xml:space="preserve">היה </w:t>
      </w:r>
      <w:r w:rsidR="00C84A9A">
        <w:rPr>
          <w:rFonts w:cs="David" w:hint="cs"/>
          <w:sz w:val="24"/>
          <w:szCs w:val="24"/>
          <w:rtl/>
        </w:rPr>
        <w:t>יכ</w:t>
      </w:r>
      <w:r w:rsidR="00E50471">
        <w:rPr>
          <w:rFonts w:cs="David" w:hint="cs"/>
          <w:sz w:val="24"/>
          <w:szCs w:val="24"/>
          <w:rtl/>
        </w:rPr>
        <w:t>ו</w:t>
      </w:r>
      <w:r w:rsidR="00C84A9A">
        <w:rPr>
          <w:rFonts w:cs="David" w:hint="cs"/>
          <w:sz w:val="24"/>
          <w:szCs w:val="24"/>
          <w:rtl/>
        </w:rPr>
        <w:t>ל לפנות למתווך כדי להוריד ממנו את ההתמודדות עם תהליך הנלווה למכירה,אך הוא בוחר שלא.</w:t>
      </w:r>
      <w:r w:rsidR="00C84A9A">
        <w:rPr>
          <w:rFonts w:cs="David" w:hint="cs"/>
          <w:b/>
          <w:bCs/>
          <w:sz w:val="24"/>
          <w:szCs w:val="24"/>
          <w:u w:val="single"/>
          <w:rtl/>
        </w:rPr>
        <w:t>הפרט המשמעותי עליו לא ידע שמואל הוא</w:t>
      </w:r>
      <w:r w:rsidR="00C84A9A" w:rsidRPr="00EC4ACB">
        <w:rPr>
          <w:rFonts w:cs="David" w:hint="cs"/>
          <w:b/>
          <w:bCs/>
          <w:sz w:val="24"/>
          <w:szCs w:val="24"/>
          <w:u w:val="single"/>
          <w:rtl/>
        </w:rPr>
        <w:t xml:space="preserve"> זכא</w:t>
      </w:r>
      <w:r w:rsidR="00C84A9A">
        <w:rPr>
          <w:rFonts w:cs="David" w:hint="cs"/>
          <w:b/>
          <w:bCs/>
          <w:sz w:val="24"/>
          <w:szCs w:val="24"/>
          <w:u w:val="single"/>
          <w:rtl/>
        </w:rPr>
        <w:t xml:space="preserve">ותו </w:t>
      </w:r>
      <w:r w:rsidR="00C84A9A" w:rsidRPr="00EC4ACB">
        <w:rPr>
          <w:rFonts w:cs="David" w:hint="cs"/>
          <w:b/>
          <w:bCs/>
          <w:sz w:val="24"/>
          <w:szCs w:val="24"/>
          <w:u w:val="single"/>
          <w:rtl/>
        </w:rPr>
        <w:t>לסבסוד ממשלתי</w:t>
      </w:r>
      <w:r w:rsidR="00C84A9A">
        <w:rPr>
          <w:rFonts w:cs="David" w:hint="cs"/>
          <w:sz w:val="24"/>
          <w:szCs w:val="24"/>
          <w:rtl/>
        </w:rPr>
        <w:t xml:space="preserve">,המאפשר לו להשתכן בבית אבות ללא הצורך למכור את דירתו </w:t>
      </w:r>
      <w:r w:rsidR="00C84A9A" w:rsidRPr="00FB2215">
        <w:rPr>
          <w:rFonts w:cs="David" w:hint="cs"/>
          <w:b/>
          <w:bCs/>
          <w:sz w:val="24"/>
          <w:szCs w:val="24"/>
          <w:rtl/>
        </w:rPr>
        <w:t>וכאן לדעתי ההטעיה</w:t>
      </w:r>
      <w:r w:rsidR="00C84A9A">
        <w:rPr>
          <w:rFonts w:cs="David" w:hint="cs"/>
          <w:sz w:val="24"/>
          <w:szCs w:val="24"/>
          <w:rtl/>
        </w:rPr>
        <w:t>.</w:t>
      </w:r>
      <w:r w:rsidR="00C84A9A">
        <w:rPr>
          <w:rFonts w:cs="David" w:hint="cs"/>
          <w:sz w:val="24"/>
          <w:szCs w:val="24"/>
          <w:u w:val="single"/>
          <w:rtl/>
        </w:rPr>
        <w:t>הוסת</w:t>
      </w:r>
      <w:r w:rsidR="00C84A9A" w:rsidRPr="00FE75D1">
        <w:rPr>
          <w:rFonts w:cs="David" w:hint="cs"/>
          <w:sz w:val="24"/>
          <w:szCs w:val="24"/>
          <w:u w:val="single"/>
          <w:rtl/>
        </w:rPr>
        <w:t>ר מידע שברור שהיה בידי רונן כ</w:t>
      </w:r>
      <w:r w:rsidR="00553587">
        <w:rPr>
          <w:rFonts w:cs="David" w:hint="cs"/>
          <w:sz w:val="24"/>
          <w:szCs w:val="24"/>
          <w:u w:val="single"/>
          <w:rtl/>
        </w:rPr>
        <w:t>מי ש</w:t>
      </w:r>
      <w:r w:rsidR="00C84A9A" w:rsidRPr="00FE75D1">
        <w:rPr>
          <w:rFonts w:cs="David" w:hint="cs"/>
          <w:sz w:val="24"/>
          <w:szCs w:val="24"/>
          <w:u w:val="single"/>
          <w:rtl/>
        </w:rPr>
        <w:t>מצוי בתחום המקצועי</w:t>
      </w:r>
      <w:r w:rsidR="00C84A9A">
        <w:rPr>
          <w:rFonts w:cs="David" w:hint="cs"/>
          <w:sz w:val="24"/>
          <w:szCs w:val="24"/>
          <w:rtl/>
        </w:rPr>
        <w:t xml:space="preserve"> של בתי האבות ושהיה אמור להימסר עפ"י הדין והנסיבות לשמואל.רונן אומנם יכול לטעון כי לא היה בידיו את המידע או שאינו מהותי,אך לדעתי מתוקף מקצועו ברור כי ידע מידע זה ואת חשיבותו,והשמיטו בכוונה.המידע היה משנה ואף מבטל את ההתקשרות החוזית.</w:t>
      </w:r>
      <w:r w:rsidR="00C84A9A" w:rsidRPr="0050484B">
        <w:rPr>
          <w:rFonts w:cs="David" w:hint="cs"/>
          <w:sz w:val="24"/>
          <w:szCs w:val="24"/>
          <w:rtl/>
        </w:rPr>
        <w:t xml:space="preserve">הוכחה לכך היא </w:t>
      </w:r>
      <w:r w:rsidR="00C84A9A">
        <w:rPr>
          <w:rFonts w:cs="David" w:hint="cs"/>
          <w:sz w:val="24"/>
          <w:szCs w:val="24"/>
          <w:rtl/>
        </w:rPr>
        <w:t>ש</w:t>
      </w:r>
      <w:r w:rsidR="00C84A9A" w:rsidRPr="0050484B">
        <w:rPr>
          <w:rFonts w:cs="David" w:hint="cs"/>
          <w:sz w:val="24"/>
          <w:szCs w:val="24"/>
          <w:rtl/>
        </w:rPr>
        <w:t>כ</w:t>
      </w:r>
      <w:r w:rsidR="00C84A9A">
        <w:rPr>
          <w:rFonts w:cs="David" w:hint="cs"/>
          <w:sz w:val="24"/>
          <w:szCs w:val="24"/>
          <w:rtl/>
        </w:rPr>
        <w:t>ש</w:t>
      </w:r>
      <w:r w:rsidR="00C84A9A" w:rsidRPr="0050484B">
        <w:rPr>
          <w:rFonts w:cs="David" w:hint="cs"/>
          <w:sz w:val="24"/>
          <w:szCs w:val="24"/>
          <w:rtl/>
        </w:rPr>
        <w:t xml:space="preserve">נודע לשמואל על הסבסוד הוא </w:t>
      </w:r>
      <w:r w:rsidR="00C84A9A" w:rsidRPr="00D36227">
        <w:rPr>
          <w:rFonts w:cs="David" w:hint="cs"/>
          <w:sz w:val="24"/>
          <w:szCs w:val="24"/>
          <w:rtl/>
        </w:rPr>
        <w:t xml:space="preserve">מעוניין </w:t>
      </w:r>
      <w:r w:rsidR="00C84A9A" w:rsidRPr="00D36227">
        <w:rPr>
          <w:rFonts w:cs="David" w:hint="cs"/>
          <w:b/>
          <w:bCs/>
          <w:sz w:val="24"/>
          <w:szCs w:val="24"/>
          <w:rtl/>
        </w:rPr>
        <w:t>מייד</w:t>
      </w:r>
      <w:r w:rsidR="00C84A9A" w:rsidRPr="0050484B">
        <w:rPr>
          <w:rFonts w:cs="David" w:hint="cs"/>
          <w:sz w:val="24"/>
          <w:szCs w:val="24"/>
          <w:rtl/>
        </w:rPr>
        <w:t xml:space="preserve"> לבטל את החוזה.</w:t>
      </w:r>
      <w:r w:rsidR="00C84A9A">
        <w:rPr>
          <w:rFonts w:cs="David" w:hint="cs"/>
          <w:b/>
          <w:bCs/>
          <w:sz w:val="24"/>
          <w:szCs w:val="24"/>
          <w:rtl/>
        </w:rPr>
        <w:t>כל ההערכה של שמואל הייתה שגויה.</w:t>
      </w:r>
      <w:r w:rsidR="00C84A9A" w:rsidRPr="00605EF7">
        <w:rPr>
          <w:rFonts w:cs="David" w:hint="cs"/>
          <w:sz w:val="24"/>
          <w:szCs w:val="24"/>
          <w:rtl/>
        </w:rPr>
        <w:t>מכ</w:t>
      </w:r>
      <w:r w:rsidR="00C84A9A">
        <w:rPr>
          <w:rFonts w:cs="David" w:hint="cs"/>
          <w:sz w:val="24"/>
          <w:szCs w:val="24"/>
          <w:rtl/>
        </w:rPr>
        <w:t>ירת הדירה והסיכון שבכך לא היו</w:t>
      </w:r>
      <w:r w:rsidR="00C84A9A" w:rsidRPr="00605EF7">
        <w:rPr>
          <w:rFonts w:cs="David" w:hint="cs"/>
          <w:sz w:val="24"/>
          <w:szCs w:val="24"/>
          <w:rtl/>
        </w:rPr>
        <w:t xml:space="preserve"> חייב</w:t>
      </w:r>
      <w:r w:rsidR="00C84A9A">
        <w:rPr>
          <w:rFonts w:cs="David" w:hint="cs"/>
          <w:sz w:val="24"/>
          <w:szCs w:val="24"/>
          <w:rtl/>
        </w:rPr>
        <w:t>ים</w:t>
      </w:r>
      <w:r w:rsidR="00C84A9A" w:rsidRPr="00605EF7">
        <w:rPr>
          <w:rFonts w:cs="David" w:hint="cs"/>
          <w:sz w:val="24"/>
          <w:szCs w:val="24"/>
          <w:rtl/>
        </w:rPr>
        <w:t xml:space="preserve"> להתקיים</w:t>
      </w:r>
      <w:r w:rsidR="00C84A9A">
        <w:rPr>
          <w:rFonts w:cs="David" w:hint="cs"/>
          <w:b/>
          <w:bCs/>
          <w:sz w:val="24"/>
          <w:szCs w:val="24"/>
          <w:rtl/>
        </w:rPr>
        <w:t>.</w:t>
      </w:r>
      <w:r w:rsidR="00F10BD4">
        <w:rPr>
          <w:rFonts w:cs="David" w:hint="cs"/>
          <w:b/>
          <w:bCs/>
          <w:sz w:val="24"/>
          <w:szCs w:val="24"/>
          <w:rtl/>
        </w:rPr>
        <w:t xml:space="preserve"> </w:t>
      </w:r>
      <w:r w:rsidR="00C84A9A" w:rsidRPr="00314F53">
        <w:rPr>
          <w:rFonts w:cs="David" w:hint="cs"/>
          <w:b/>
          <w:bCs/>
          <w:sz w:val="24"/>
          <w:szCs w:val="24"/>
          <w:rtl/>
        </w:rPr>
        <w:t>נעשתה הטעיה</w:t>
      </w:r>
      <w:r w:rsidR="00C84A9A">
        <w:rPr>
          <w:rFonts w:cs="David" w:hint="cs"/>
          <w:sz w:val="24"/>
          <w:szCs w:val="24"/>
          <w:rtl/>
        </w:rPr>
        <w:t>(הוחסר מידע על סבסוד)</w:t>
      </w:r>
      <w:r w:rsidR="00C84A9A" w:rsidRPr="00314F53">
        <w:rPr>
          <w:rFonts w:cs="David" w:hint="cs"/>
          <w:b/>
          <w:bCs/>
          <w:sz w:val="24"/>
          <w:szCs w:val="24"/>
          <w:rtl/>
        </w:rPr>
        <w:t>שגרמה לטעות</w:t>
      </w:r>
      <w:r w:rsidR="00C84A9A">
        <w:rPr>
          <w:rFonts w:cs="David" w:hint="cs"/>
          <w:sz w:val="24"/>
          <w:szCs w:val="24"/>
          <w:rtl/>
        </w:rPr>
        <w:t xml:space="preserve">(שמואל חשב כי אין לו דרך לשלם את השהות בבית אבות חוץ מלהציע את דירתו,רכושו היחיד) </w:t>
      </w:r>
      <w:r w:rsidR="00C84A9A" w:rsidRPr="00314F53">
        <w:rPr>
          <w:rFonts w:cs="David" w:hint="cs"/>
          <w:b/>
          <w:bCs/>
          <w:sz w:val="24"/>
          <w:szCs w:val="24"/>
          <w:rtl/>
        </w:rPr>
        <w:t>שהובילה להתקשרות חוזית</w:t>
      </w:r>
      <w:r w:rsidR="00C84A9A">
        <w:rPr>
          <w:rFonts w:cs="David" w:hint="cs"/>
          <w:sz w:val="24"/>
          <w:szCs w:val="24"/>
          <w:rtl/>
        </w:rPr>
        <w:t>(בין שמואל לרונן).הטעות מתייחסת לפרט משמעותי ואינה נוגעת רק לכדאיות העסקה</w:t>
      </w:r>
      <w:r w:rsidR="00C84A9A">
        <w:rPr>
          <w:rStyle w:val="a5"/>
          <w:rFonts w:cs="David"/>
          <w:sz w:val="24"/>
          <w:szCs w:val="24"/>
          <w:rtl/>
        </w:rPr>
        <w:footnoteReference w:id="22"/>
      </w:r>
      <w:r w:rsidR="00C84A9A">
        <w:rPr>
          <w:rFonts w:cs="David" w:hint="cs"/>
          <w:sz w:val="24"/>
          <w:szCs w:val="24"/>
          <w:rtl/>
        </w:rPr>
        <w:t xml:space="preserve">. </w:t>
      </w:r>
      <w:r w:rsidR="00D35476">
        <w:rPr>
          <w:rFonts w:cs="David" w:hint="cs"/>
          <w:sz w:val="24"/>
          <w:szCs w:val="24"/>
          <w:rtl/>
        </w:rPr>
        <w:t xml:space="preserve">המידע על </w:t>
      </w:r>
      <w:r w:rsidR="00F50411">
        <w:rPr>
          <w:rFonts w:cs="David" w:hint="cs"/>
          <w:sz w:val="24"/>
          <w:szCs w:val="24"/>
          <w:rtl/>
        </w:rPr>
        <w:t>הסבסוד</w:t>
      </w:r>
      <w:r w:rsidR="00BB2E7E">
        <w:rPr>
          <w:rFonts w:cs="David" w:hint="cs"/>
          <w:sz w:val="24"/>
          <w:szCs w:val="24"/>
          <w:rtl/>
        </w:rPr>
        <w:t xml:space="preserve"> היה אמור </w:t>
      </w:r>
      <w:r w:rsidR="00BB2E7E" w:rsidRPr="00E1623F">
        <w:rPr>
          <w:rFonts w:cs="David" w:hint="cs"/>
          <w:b/>
          <w:bCs/>
          <w:sz w:val="24"/>
          <w:szCs w:val="24"/>
          <w:rtl/>
        </w:rPr>
        <w:t>להימסר עפ"י דין-סעיף 12 לחוק החוזים</w:t>
      </w:r>
      <w:r w:rsidR="00F10BD4">
        <w:rPr>
          <w:rFonts w:cs="David" w:hint="cs"/>
          <w:sz w:val="24"/>
          <w:szCs w:val="24"/>
          <w:rtl/>
        </w:rPr>
        <w:t>-</w:t>
      </w:r>
      <w:r w:rsidR="00BB2E7E" w:rsidRPr="00C84A9A">
        <w:rPr>
          <w:rFonts w:cs="David" w:hint="cs"/>
          <w:sz w:val="24"/>
          <w:szCs w:val="24"/>
          <w:rtl/>
        </w:rPr>
        <w:t>חובת גילוי עובדות מהותיות</w:t>
      </w:r>
      <w:r w:rsidR="00A971A5" w:rsidRPr="00C84A9A">
        <w:rPr>
          <w:rFonts w:cs="David" w:hint="cs"/>
          <w:sz w:val="24"/>
          <w:szCs w:val="24"/>
          <w:rtl/>
        </w:rPr>
        <w:t xml:space="preserve"> מהווה חלק מחוב</w:t>
      </w:r>
      <w:r w:rsidR="00F10BD4">
        <w:rPr>
          <w:rFonts w:cs="David" w:hint="cs"/>
          <w:sz w:val="24"/>
          <w:szCs w:val="24"/>
          <w:rtl/>
        </w:rPr>
        <w:t>ת תום הלב</w:t>
      </w:r>
      <w:r w:rsidR="00940EAC">
        <w:rPr>
          <w:rFonts w:cs="David" w:hint="cs"/>
          <w:sz w:val="24"/>
          <w:szCs w:val="24"/>
          <w:rtl/>
        </w:rPr>
        <w:t>.</w:t>
      </w:r>
      <w:r w:rsidR="00CB4AB5">
        <w:rPr>
          <w:rFonts w:cs="David" w:hint="cs"/>
          <w:sz w:val="24"/>
          <w:szCs w:val="24"/>
          <w:rtl/>
        </w:rPr>
        <w:t xml:space="preserve">במקרה שלנו </w:t>
      </w:r>
      <w:r w:rsidR="00BB2E7E">
        <w:rPr>
          <w:rFonts w:cs="David" w:hint="cs"/>
          <w:sz w:val="24"/>
          <w:szCs w:val="24"/>
          <w:rtl/>
        </w:rPr>
        <w:t xml:space="preserve">הוחסר מידע מהותי ומשמעותי </w:t>
      </w:r>
      <w:r w:rsidR="00CB4AB5">
        <w:rPr>
          <w:rFonts w:cs="David" w:hint="cs"/>
          <w:sz w:val="24"/>
          <w:szCs w:val="24"/>
          <w:rtl/>
        </w:rPr>
        <w:t>שהיה משנה את כל התמונה.שמואל הונע להיכנס לחוזה עקב אי גילוי זה.</w:t>
      </w:r>
      <w:r w:rsidR="008F65BD">
        <w:rPr>
          <w:rFonts w:cs="David" w:hint="cs"/>
          <w:sz w:val="24"/>
          <w:szCs w:val="24"/>
          <w:rtl/>
        </w:rPr>
        <w:t xml:space="preserve"> </w:t>
      </w:r>
      <w:r w:rsidR="00F81E74">
        <w:rPr>
          <w:rFonts w:cs="David" w:hint="cs"/>
          <w:sz w:val="24"/>
          <w:szCs w:val="24"/>
          <w:rtl/>
        </w:rPr>
        <w:t>(</w:t>
      </w:r>
      <w:r w:rsidR="005B3295">
        <w:rPr>
          <w:rFonts w:cs="David" w:hint="cs"/>
          <w:sz w:val="24"/>
          <w:szCs w:val="24"/>
          <w:rtl/>
        </w:rPr>
        <w:t xml:space="preserve">במקרה שלנו </w:t>
      </w:r>
      <w:r w:rsidR="0071067B" w:rsidRPr="00C84A9A">
        <w:rPr>
          <w:rFonts w:cs="David" w:hint="cs"/>
          <w:sz w:val="24"/>
          <w:szCs w:val="24"/>
          <w:rtl/>
        </w:rPr>
        <w:t>חוק המכר</w:t>
      </w:r>
      <w:r w:rsidR="0071067B">
        <w:rPr>
          <w:rStyle w:val="a5"/>
          <w:rFonts w:cs="David"/>
          <w:sz w:val="24"/>
          <w:szCs w:val="24"/>
          <w:rtl/>
        </w:rPr>
        <w:footnoteReference w:id="23"/>
      </w:r>
      <w:r w:rsidR="0071067B">
        <w:rPr>
          <w:rFonts w:cs="David" w:hint="cs"/>
          <w:sz w:val="24"/>
          <w:szCs w:val="24"/>
          <w:rtl/>
        </w:rPr>
        <w:t xml:space="preserve"> </w:t>
      </w:r>
      <w:r w:rsidR="0024745F">
        <w:rPr>
          <w:rFonts w:cs="David" w:hint="cs"/>
          <w:sz w:val="24"/>
          <w:szCs w:val="24"/>
          <w:rtl/>
        </w:rPr>
        <w:t xml:space="preserve">אינו </w:t>
      </w:r>
      <w:r w:rsidR="0071067B">
        <w:rPr>
          <w:rFonts w:cs="David" w:hint="cs"/>
          <w:sz w:val="24"/>
          <w:szCs w:val="24"/>
          <w:rtl/>
        </w:rPr>
        <w:t>רלוונטי ,הוא מטיל חובת גילוי פרטים ביחס לנכס.פה הוחסר מידע חיצוני ש</w:t>
      </w:r>
      <w:r w:rsidR="00843CE9">
        <w:rPr>
          <w:rFonts w:cs="David" w:hint="cs"/>
          <w:sz w:val="24"/>
          <w:szCs w:val="24"/>
          <w:rtl/>
        </w:rPr>
        <w:t>השפיע</w:t>
      </w:r>
      <w:r w:rsidR="0071067B">
        <w:rPr>
          <w:rFonts w:cs="David" w:hint="cs"/>
          <w:sz w:val="24"/>
          <w:szCs w:val="24"/>
          <w:rtl/>
        </w:rPr>
        <w:t xml:space="preserve"> על העסקה).</w:t>
      </w:r>
      <w:r w:rsidR="008261C3">
        <w:rPr>
          <w:rFonts w:cs="David" w:hint="cs"/>
          <w:b/>
          <w:bCs/>
          <w:sz w:val="24"/>
          <w:szCs w:val="24"/>
          <w:rtl/>
        </w:rPr>
        <w:t>דבר</w:t>
      </w:r>
      <w:r w:rsidR="00D32663">
        <w:rPr>
          <w:rFonts w:cs="David" w:hint="cs"/>
          <w:b/>
          <w:bCs/>
          <w:sz w:val="24"/>
          <w:szCs w:val="24"/>
          <w:rtl/>
        </w:rPr>
        <w:t xml:space="preserve"> </w:t>
      </w:r>
      <w:r w:rsidR="00FB6FEA">
        <w:rPr>
          <w:rFonts w:cs="David" w:hint="cs"/>
          <w:b/>
          <w:bCs/>
          <w:sz w:val="24"/>
          <w:szCs w:val="24"/>
          <w:rtl/>
        </w:rPr>
        <w:t>ה</w:t>
      </w:r>
      <w:r w:rsidR="0071067B" w:rsidRPr="00901E30">
        <w:rPr>
          <w:rFonts w:cs="David" w:hint="cs"/>
          <w:b/>
          <w:bCs/>
          <w:sz w:val="24"/>
          <w:szCs w:val="24"/>
          <w:rtl/>
        </w:rPr>
        <w:t xml:space="preserve">מעצים את החוסר בתום לב </w:t>
      </w:r>
      <w:r w:rsidR="0071067B">
        <w:rPr>
          <w:rFonts w:cs="David" w:hint="cs"/>
          <w:sz w:val="24"/>
          <w:szCs w:val="24"/>
          <w:rtl/>
        </w:rPr>
        <w:t xml:space="preserve">הוא העובדה ששמואל שהינו זקן וערירי </w:t>
      </w:r>
      <w:r w:rsidR="0071067B" w:rsidRPr="00846029">
        <w:rPr>
          <w:rFonts w:cs="David" w:hint="cs"/>
          <w:sz w:val="24"/>
          <w:szCs w:val="24"/>
          <w:rtl/>
        </w:rPr>
        <w:t>בטח</w:t>
      </w:r>
      <w:r w:rsidR="0071067B">
        <w:rPr>
          <w:rFonts w:cs="David" w:hint="cs"/>
          <w:sz w:val="24"/>
          <w:szCs w:val="24"/>
          <w:rtl/>
        </w:rPr>
        <w:t xml:space="preserve"> לחלוטין ברונן כשכן ואיש מקצוע</w:t>
      </w:r>
      <w:r w:rsidR="0071067B">
        <w:rPr>
          <w:rStyle w:val="a5"/>
          <w:rFonts w:cs="David"/>
          <w:sz w:val="24"/>
          <w:szCs w:val="24"/>
          <w:rtl/>
        </w:rPr>
        <w:footnoteReference w:id="24"/>
      </w:r>
      <w:r w:rsidR="0071067B">
        <w:rPr>
          <w:rFonts w:cs="David" w:hint="cs"/>
          <w:sz w:val="24"/>
          <w:szCs w:val="24"/>
          <w:rtl/>
        </w:rPr>
        <w:t xml:space="preserve"> והאחרון הפר את אמונו.</w:t>
      </w:r>
      <w:r w:rsidR="0071067B" w:rsidRPr="00B203F9">
        <w:rPr>
          <w:rFonts w:cs="David" w:hint="cs"/>
          <w:b/>
          <w:bCs/>
          <w:sz w:val="24"/>
          <w:szCs w:val="24"/>
          <w:u w:val="single"/>
          <w:rtl/>
        </w:rPr>
        <w:t>עפ"י הנסיבות-</w:t>
      </w:r>
      <w:r w:rsidR="0071067B">
        <w:rPr>
          <w:rFonts w:cs="David" w:hint="cs"/>
          <w:sz w:val="24"/>
          <w:szCs w:val="24"/>
          <w:rtl/>
        </w:rPr>
        <w:t>יש פה הסכם בין שכנים.</w:t>
      </w:r>
      <w:r w:rsidR="00D32663">
        <w:rPr>
          <w:rFonts w:cs="David" w:hint="cs"/>
          <w:sz w:val="24"/>
          <w:szCs w:val="24"/>
          <w:rtl/>
        </w:rPr>
        <w:t xml:space="preserve"> </w:t>
      </w:r>
      <w:r w:rsidR="0076717E">
        <w:rPr>
          <w:rFonts w:cs="David" w:hint="cs"/>
          <w:sz w:val="24"/>
          <w:szCs w:val="24"/>
          <w:rtl/>
        </w:rPr>
        <w:t xml:space="preserve">צד אחד לחוזה </w:t>
      </w:r>
      <w:r w:rsidR="0071067B">
        <w:rPr>
          <w:rFonts w:cs="David" w:hint="cs"/>
          <w:sz w:val="24"/>
          <w:szCs w:val="24"/>
          <w:rtl/>
        </w:rPr>
        <w:t xml:space="preserve">קשיש ערירי </w:t>
      </w:r>
      <w:r w:rsidR="002B1835">
        <w:rPr>
          <w:rFonts w:cs="David" w:hint="cs"/>
          <w:sz w:val="24"/>
          <w:szCs w:val="24"/>
          <w:rtl/>
        </w:rPr>
        <w:t>,תשוש נפש המבקש עזרה משכנו-מכרו</w:t>
      </w:r>
      <w:r w:rsidR="0071067B">
        <w:rPr>
          <w:rFonts w:cs="David" w:hint="cs"/>
          <w:sz w:val="24"/>
          <w:szCs w:val="24"/>
          <w:rtl/>
        </w:rPr>
        <w:t>,בהסתמכות על היותו איש מקצוע</w:t>
      </w:r>
      <w:r w:rsidR="0071067B">
        <w:rPr>
          <w:rStyle w:val="a5"/>
          <w:rFonts w:cs="David"/>
          <w:sz w:val="24"/>
          <w:szCs w:val="24"/>
          <w:rtl/>
        </w:rPr>
        <w:footnoteReference w:id="25"/>
      </w:r>
      <w:r w:rsidR="0071067B">
        <w:rPr>
          <w:rFonts w:cs="David" w:hint="cs"/>
          <w:sz w:val="24"/>
          <w:szCs w:val="24"/>
          <w:rtl/>
        </w:rPr>
        <w:t xml:space="preserve"> (מתוקף זה,הוא גם לא בודק את רונן),הוא אף מציין במפורש שאין בידיו כסף רב מלבד הדירה.</w:t>
      </w:r>
      <w:r w:rsidR="00C94E8B">
        <w:rPr>
          <w:rFonts w:cs="David" w:hint="cs"/>
          <w:sz w:val="24"/>
          <w:szCs w:val="24"/>
          <w:rtl/>
        </w:rPr>
        <w:t xml:space="preserve">היינו </w:t>
      </w:r>
      <w:r w:rsidR="0071067B">
        <w:rPr>
          <w:rFonts w:cs="David" w:hint="cs"/>
          <w:sz w:val="24"/>
          <w:szCs w:val="24"/>
          <w:rtl/>
        </w:rPr>
        <w:t xml:space="preserve"> מצפים במקרה כזה,כי רונן ינהג בתום לב ויעזור לשמואל הקשיש,להשיג את הפתרון הטוב ביותר </w:t>
      </w:r>
      <w:r w:rsidR="00FA6583">
        <w:rPr>
          <w:rFonts w:cs="David" w:hint="cs"/>
          <w:sz w:val="24"/>
          <w:szCs w:val="24"/>
          <w:rtl/>
        </w:rPr>
        <w:t>עבורו.</w:t>
      </w:r>
      <w:r w:rsidR="0071067B">
        <w:rPr>
          <w:rFonts w:cs="David" w:hint="cs"/>
          <w:sz w:val="24"/>
          <w:szCs w:val="24"/>
          <w:rtl/>
        </w:rPr>
        <w:t>אך הוא מחסיר מי</w:t>
      </w:r>
      <w:r w:rsidR="00FC75CD">
        <w:rPr>
          <w:rFonts w:cs="David" w:hint="cs"/>
          <w:sz w:val="24"/>
          <w:szCs w:val="24"/>
          <w:rtl/>
        </w:rPr>
        <w:t xml:space="preserve">דע </w:t>
      </w:r>
      <w:r w:rsidR="00877844">
        <w:rPr>
          <w:rFonts w:cs="David" w:hint="cs"/>
          <w:sz w:val="24"/>
          <w:szCs w:val="24"/>
          <w:rtl/>
        </w:rPr>
        <w:t>מהותי,</w:t>
      </w:r>
      <w:r w:rsidR="00C70479">
        <w:rPr>
          <w:rFonts w:cs="David" w:hint="cs"/>
          <w:sz w:val="24"/>
          <w:szCs w:val="24"/>
          <w:rtl/>
        </w:rPr>
        <w:t>מ</w:t>
      </w:r>
      <w:r w:rsidR="00877844">
        <w:rPr>
          <w:rFonts w:cs="David" w:hint="cs"/>
          <w:sz w:val="24"/>
          <w:szCs w:val="24"/>
          <w:rtl/>
        </w:rPr>
        <w:t>ועל באמונו של שמואל,</w:t>
      </w:r>
      <w:r w:rsidR="00540958">
        <w:rPr>
          <w:rFonts w:cs="David" w:hint="cs"/>
          <w:sz w:val="24"/>
          <w:szCs w:val="24"/>
          <w:rtl/>
        </w:rPr>
        <w:t>מחתים אותו בבהילות,כד</w:t>
      </w:r>
      <w:r w:rsidR="0071067B">
        <w:rPr>
          <w:rFonts w:cs="David" w:hint="cs"/>
          <w:sz w:val="24"/>
          <w:szCs w:val="24"/>
          <w:rtl/>
        </w:rPr>
        <w:t>י שלא יגלה</w:t>
      </w:r>
      <w:r w:rsidR="00B23320">
        <w:rPr>
          <w:rFonts w:cs="David" w:hint="cs"/>
          <w:sz w:val="24"/>
          <w:szCs w:val="24"/>
          <w:rtl/>
        </w:rPr>
        <w:t xml:space="preserve"> </w:t>
      </w:r>
      <w:r w:rsidR="002F1AC4">
        <w:rPr>
          <w:rFonts w:cs="David" w:hint="cs"/>
          <w:sz w:val="24"/>
          <w:szCs w:val="24"/>
          <w:rtl/>
        </w:rPr>
        <w:t>על</w:t>
      </w:r>
      <w:r w:rsidR="00871FB3">
        <w:rPr>
          <w:rFonts w:cs="David" w:hint="cs"/>
          <w:sz w:val="24"/>
          <w:szCs w:val="24"/>
          <w:rtl/>
        </w:rPr>
        <w:t xml:space="preserve"> הסבסוד.</w:t>
      </w:r>
      <w:r w:rsidR="00A851CB">
        <w:rPr>
          <w:rFonts w:cs="David" w:hint="cs"/>
          <w:sz w:val="24"/>
          <w:szCs w:val="24"/>
          <w:rtl/>
        </w:rPr>
        <w:t xml:space="preserve"> אומנם </w:t>
      </w:r>
      <w:r w:rsidR="0071067B">
        <w:rPr>
          <w:rFonts w:cs="David" w:hint="cs"/>
          <w:sz w:val="24"/>
          <w:szCs w:val="24"/>
          <w:rtl/>
        </w:rPr>
        <w:t xml:space="preserve">שמואל יודע כי </w:t>
      </w:r>
      <w:r w:rsidR="00C84979">
        <w:rPr>
          <w:rFonts w:cs="David" w:hint="cs"/>
          <w:sz w:val="24"/>
          <w:szCs w:val="24"/>
          <w:rtl/>
        </w:rPr>
        <w:t xml:space="preserve">לדירתו שווי גבוה </w:t>
      </w:r>
      <w:r w:rsidR="0071067B">
        <w:rPr>
          <w:rFonts w:cs="David" w:hint="cs"/>
          <w:sz w:val="24"/>
          <w:szCs w:val="24"/>
          <w:rtl/>
        </w:rPr>
        <w:t xml:space="preserve">והוא העדיף את ההסכם עם רונן מלמכור את הדירה,אבל כל הסיטואציה הזאת לא הייתה </w:t>
      </w:r>
      <w:r w:rsidR="00B23320">
        <w:rPr>
          <w:rFonts w:cs="David" w:hint="cs"/>
          <w:sz w:val="24"/>
          <w:szCs w:val="24"/>
          <w:rtl/>
        </w:rPr>
        <w:t>מתרחשת כלל</w:t>
      </w:r>
      <w:r w:rsidR="0071067B">
        <w:rPr>
          <w:rFonts w:cs="David" w:hint="cs"/>
          <w:sz w:val="24"/>
          <w:szCs w:val="24"/>
          <w:rtl/>
        </w:rPr>
        <w:t xml:space="preserve">,אם רונן שידע על הסבסוד היה </w:t>
      </w:r>
      <w:r w:rsidR="00B23320">
        <w:rPr>
          <w:rFonts w:cs="David" w:hint="cs"/>
          <w:sz w:val="24"/>
          <w:szCs w:val="24"/>
          <w:rtl/>
        </w:rPr>
        <w:t>מיידע</w:t>
      </w:r>
      <w:r w:rsidR="000C389B">
        <w:rPr>
          <w:rFonts w:cs="David" w:hint="cs"/>
          <w:sz w:val="24"/>
          <w:szCs w:val="24"/>
          <w:rtl/>
        </w:rPr>
        <w:t xml:space="preserve"> את שכנו</w:t>
      </w:r>
      <w:r w:rsidR="0071067B">
        <w:rPr>
          <w:rFonts w:cs="David" w:hint="cs"/>
          <w:sz w:val="24"/>
          <w:szCs w:val="24"/>
          <w:rtl/>
        </w:rPr>
        <w:t xml:space="preserve">.שמואל סמך </w:t>
      </w:r>
      <w:r w:rsidR="0071067B">
        <w:rPr>
          <w:rFonts w:cs="David" w:hint="cs"/>
          <w:sz w:val="24"/>
          <w:szCs w:val="24"/>
          <w:rtl/>
        </w:rPr>
        <w:lastRenderedPageBreak/>
        <w:t>בעיניי</w:t>
      </w:r>
      <w:r w:rsidR="003B2820">
        <w:rPr>
          <w:rFonts w:cs="David" w:hint="cs"/>
          <w:sz w:val="24"/>
          <w:szCs w:val="24"/>
          <w:rtl/>
        </w:rPr>
        <w:t>ם עצומות על שכנו,</w:t>
      </w:r>
      <w:r w:rsidR="0071067B">
        <w:rPr>
          <w:rFonts w:cs="David" w:hint="cs"/>
          <w:sz w:val="24"/>
          <w:szCs w:val="24"/>
          <w:rtl/>
        </w:rPr>
        <w:t xml:space="preserve">קשה לו להשיג אינפורמציה </w:t>
      </w:r>
      <w:r w:rsidR="00F072EB">
        <w:rPr>
          <w:rFonts w:cs="David" w:hint="cs"/>
          <w:sz w:val="24"/>
          <w:szCs w:val="24"/>
          <w:rtl/>
        </w:rPr>
        <w:t>מתוקף גילו,מצבו</w:t>
      </w:r>
      <w:r w:rsidR="00F42D73">
        <w:rPr>
          <w:rFonts w:cs="David" w:hint="cs"/>
          <w:sz w:val="24"/>
          <w:szCs w:val="24"/>
          <w:rtl/>
        </w:rPr>
        <w:t xml:space="preserve"> הבריאותי,</w:t>
      </w:r>
      <w:r w:rsidR="00F51649">
        <w:rPr>
          <w:rFonts w:cs="David" w:hint="cs"/>
          <w:sz w:val="24"/>
          <w:szCs w:val="24"/>
          <w:rtl/>
        </w:rPr>
        <w:t xml:space="preserve">הנפשי </w:t>
      </w:r>
      <w:r w:rsidR="00BE4963">
        <w:rPr>
          <w:rFonts w:cs="David" w:hint="cs"/>
          <w:sz w:val="24"/>
          <w:szCs w:val="24"/>
          <w:rtl/>
        </w:rPr>
        <w:t>ו</w:t>
      </w:r>
      <w:r w:rsidR="00F42D73">
        <w:rPr>
          <w:rFonts w:cs="David" w:hint="cs"/>
          <w:sz w:val="24"/>
          <w:szCs w:val="24"/>
          <w:rtl/>
        </w:rPr>
        <w:t>המשפחתי,</w:t>
      </w:r>
      <w:r w:rsidR="007F3AE0">
        <w:rPr>
          <w:rFonts w:cs="David" w:hint="cs"/>
          <w:sz w:val="24"/>
          <w:szCs w:val="24"/>
          <w:rtl/>
        </w:rPr>
        <w:t>לכן החובה עפ"י הנסיבות זועקת.</w:t>
      </w:r>
      <w:r w:rsidR="001068CE" w:rsidRPr="0092357C">
        <w:rPr>
          <w:rFonts w:cs="David" w:hint="cs"/>
          <w:b/>
          <w:bCs/>
          <w:sz w:val="24"/>
          <w:szCs w:val="24"/>
          <w:u w:val="single"/>
          <w:rtl/>
        </w:rPr>
        <w:t>עילת העושק</w:t>
      </w:r>
      <w:r w:rsidR="00836389">
        <w:rPr>
          <w:rStyle w:val="a5"/>
          <w:rFonts w:cs="David"/>
          <w:sz w:val="24"/>
          <w:szCs w:val="24"/>
          <w:rtl/>
        </w:rPr>
        <w:footnoteReference w:id="26"/>
      </w:r>
      <w:r w:rsidR="001421C5">
        <w:rPr>
          <w:rFonts w:cs="David" w:hint="cs"/>
          <w:sz w:val="24"/>
          <w:szCs w:val="24"/>
          <w:rtl/>
        </w:rPr>
        <w:t>כוללת מספר יסודות מצטברים,</w:t>
      </w:r>
      <w:r w:rsidR="00CC5A3A">
        <w:rPr>
          <w:rFonts w:cs="David" w:hint="cs"/>
          <w:sz w:val="24"/>
          <w:szCs w:val="24"/>
          <w:rtl/>
        </w:rPr>
        <w:t xml:space="preserve">הקשורים </w:t>
      </w:r>
      <w:r w:rsidR="00F958D2">
        <w:rPr>
          <w:rFonts w:cs="David" w:hint="cs"/>
          <w:sz w:val="24"/>
          <w:szCs w:val="24"/>
          <w:rtl/>
        </w:rPr>
        <w:t xml:space="preserve">ומשפיעים </w:t>
      </w:r>
      <w:r w:rsidR="00CC5A3A">
        <w:rPr>
          <w:rFonts w:cs="David" w:hint="cs"/>
          <w:sz w:val="24"/>
          <w:szCs w:val="24"/>
          <w:rtl/>
        </w:rPr>
        <w:t xml:space="preserve">זה </w:t>
      </w:r>
      <w:r w:rsidR="00F958D2">
        <w:rPr>
          <w:rFonts w:cs="David" w:hint="cs"/>
          <w:sz w:val="24"/>
          <w:szCs w:val="24"/>
          <w:rtl/>
        </w:rPr>
        <w:t xml:space="preserve">על </w:t>
      </w:r>
      <w:r w:rsidR="00CC5A3A">
        <w:rPr>
          <w:rFonts w:cs="David" w:hint="cs"/>
          <w:sz w:val="24"/>
          <w:szCs w:val="24"/>
          <w:rtl/>
        </w:rPr>
        <w:t xml:space="preserve">זה- </w:t>
      </w:r>
      <w:r w:rsidR="0001518D">
        <w:rPr>
          <w:rFonts w:cs="David" w:hint="cs"/>
          <w:sz w:val="24"/>
          <w:szCs w:val="24"/>
          <w:rtl/>
        </w:rPr>
        <w:t xml:space="preserve">על כולם </w:t>
      </w:r>
      <w:r w:rsidR="00CC5A3A">
        <w:rPr>
          <w:rFonts w:cs="David" w:hint="cs"/>
          <w:sz w:val="24"/>
          <w:szCs w:val="24"/>
          <w:rtl/>
        </w:rPr>
        <w:t>להתקיים</w:t>
      </w:r>
      <w:r w:rsidR="00D14090">
        <w:rPr>
          <w:rFonts w:cs="David" w:hint="cs"/>
          <w:sz w:val="24"/>
          <w:szCs w:val="24"/>
          <w:rtl/>
        </w:rPr>
        <w:t xml:space="preserve"> יחד</w:t>
      </w:r>
      <w:r w:rsidR="00350864">
        <w:rPr>
          <w:rStyle w:val="a5"/>
          <w:rFonts w:cs="David"/>
          <w:sz w:val="24"/>
          <w:szCs w:val="24"/>
          <w:rtl/>
        </w:rPr>
        <w:footnoteReference w:id="27"/>
      </w:r>
      <w:r w:rsidR="0024145F">
        <w:rPr>
          <w:rFonts w:cs="David" w:hint="cs"/>
          <w:sz w:val="24"/>
          <w:szCs w:val="24"/>
          <w:rtl/>
        </w:rPr>
        <w:t>.</w:t>
      </w:r>
      <w:r w:rsidR="0024145F" w:rsidRPr="008E5AA6">
        <w:rPr>
          <w:rFonts w:cs="David" w:hint="cs"/>
          <w:b/>
          <w:bCs/>
          <w:sz w:val="24"/>
          <w:szCs w:val="24"/>
          <w:rtl/>
        </w:rPr>
        <w:t xml:space="preserve"> </w:t>
      </w:r>
      <w:r w:rsidR="00836389" w:rsidRPr="008E5AA6">
        <w:rPr>
          <w:rFonts w:cs="David" w:hint="cs"/>
          <w:b/>
          <w:bCs/>
          <w:sz w:val="24"/>
          <w:szCs w:val="24"/>
          <w:rtl/>
        </w:rPr>
        <w:t>קיום חוזה</w:t>
      </w:r>
      <w:r w:rsidR="008E5AA6">
        <w:rPr>
          <w:rFonts w:cs="David" w:hint="cs"/>
          <w:sz w:val="24"/>
          <w:szCs w:val="24"/>
          <w:rtl/>
        </w:rPr>
        <w:t xml:space="preserve"> </w:t>
      </w:r>
      <w:r w:rsidR="008E5AA6" w:rsidRPr="003A3684">
        <w:rPr>
          <w:rFonts w:cs="David" w:hint="cs"/>
          <w:sz w:val="24"/>
          <w:szCs w:val="24"/>
          <w:rtl/>
        </w:rPr>
        <w:t>ובו</w:t>
      </w:r>
      <w:r w:rsidR="0049190F" w:rsidRPr="003A3684">
        <w:rPr>
          <w:rFonts w:cs="David" w:hint="cs"/>
          <w:sz w:val="24"/>
          <w:szCs w:val="24"/>
          <w:rtl/>
        </w:rPr>
        <w:t xml:space="preserve"> </w:t>
      </w:r>
      <w:r w:rsidR="0049190F" w:rsidRPr="0001518D">
        <w:rPr>
          <w:rFonts w:cs="David" w:hint="cs"/>
          <w:b/>
          <w:bCs/>
          <w:sz w:val="24"/>
          <w:szCs w:val="24"/>
          <w:rtl/>
        </w:rPr>
        <w:t xml:space="preserve">קשר </w:t>
      </w:r>
      <w:r w:rsidR="0049190F" w:rsidRPr="00835EE7">
        <w:rPr>
          <w:rFonts w:cs="David" w:hint="cs"/>
          <w:b/>
          <w:bCs/>
          <w:sz w:val="24"/>
          <w:szCs w:val="24"/>
          <w:rtl/>
        </w:rPr>
        <w:t>סיבתי</w:t>
      </w:r>
      <w:r w:rsidR="0024145F">
        <w:rPr>
          <w:rFonts w:cs="David" w:hint="cs"/>
          <w:sz w:val="24"/>
          <w:szCs w:val="24"/>
          <w:rtl/>
        </w:rPr>
        <w:t xml:space="preserve">-העושק השפיע על ההתקשרות </w:t>
      </w:r>
      <w:r w:rsidR="0049190F">
        <w:rPr>
          <w:rFonts w:cs="David" w:hint="cs"/>
          <w:sz w:val="24"/>
          <w:szCs w:val="24"/>
          <w:rtl/>
        </w:rPr>
        <w:t>החוזית</w:t>
      </w:r>
      <w:r w:rsidR="00836389">
        <w:rPr>
          <w:rFonts w:cs="David" w:hint="cs"/>
          <w:sz w:val="24"/>
          <w:szCs w:val="24"/>
          <w:rtl/>
        </w:rPr>
        <w:t>,</w:t>
      </w:r>
      <w:r w:rsidR="00CD4249">
        <w:rPr>
          <w:rFonts w:cs="David" w:hint="cs"/>
          <w:b/>
          <w:bCs/>
          <w:sz w:val="24"/>
          <w:szCs w:val="24"/>
          <w:rtl/>
        </w:rPr>
        <w:t>התנהגות</w:t>
      </w:r>
      <w:r w:rsidR="00160668">
        <w:rPr>
          <w:rFonts w:cs="David" w:hint="cs"/>
          <w:b/>
          <w:bCs/>
          <w:sz w:val="24"/>
          <w:szCs w:val="24"/>
          <w:rtl/>
        </w:rPr>
        <w:t xml:space="preserve"> העושק-</w:t>
      </w:r>
      <w:r w:rsidR="008E5AA6" w:rsidRPr="008E5AA6">
        <w:rPr>
          <w:rFonts w:cs="David" w:hint="cs"/>
          <w:b/>
          <w:bCs/>
          <w:sz w:val="24"/>
          <w:szCs w:val="24"/>
          <w:rtl/>
        </w:rPr>
        <w:t xml:space="preserve"> </w:t>
      </w:r>
      <w:r w:rsidR="00836389" w:rsidRPr="008E5AA6">
        <w:rPr>
          <w:rFonts w:cs="David" w:hint="cs"/>
          <w:b/>
          <w:bCs/>
          <w:sz w:val="24"/>
          <w:szCs w:val="24"/>
          <w:rtl/>
        </w:rPr>
        <w:t>ניצול</w:t>
      </w:r>
      <w:r w:rsidR="00CD4249">
        <w:rPr>
          <w:rFonts w:cs="David" w:hint="cs"/>
          <w:b/>
          <w:bCs/>
          <w:sz w:val="24"/>
          <w:szCs w:val="24"/>
          <w:rtl/>
        </w:rPr>
        <w:t xml:space="preserve"> </w:t>
      </w:r>
      <w:r w:rsidR="00160668" w:rsidRPr="00CD4249">
        <w:rPr>
          <w:rFonts w:cs="David" w:hint="cs"/>
          <w:sz w:val="24"/>
          <w:szCs w:val="24"/>
          <w:rtl/>
        </w:rPr>
        <w:t xml:space="preserve">של </w:t>
      </w:r>
      <w:r w:rsidR="00836389" w:rsidRPr="00C631E8">
        <w:rPr>
          <w:rFonts w:cs="David" w:hint="cs"/>
          <w:b/>
          <w:bCs/>
          <w:sz w:val="24"/>
          <w:szCs w:val="24"/>
          <w:rtl/>
        </w:rPr>
        <w:t>מצב ה</w:t>
      </w:r>
      <w:r w:rsidR="00F2206F" w:rsidRPr="00C631E8">
        <w:rPr>
          <w:rFonts w:cs="David" w:hint="cs"/>
          <w:b/>
          <w:bCs/>
          <w:sz w:val="24"/>
          <w:szCs w:val="24"/>
          <w:rtl/>
        </w:rPr>
        <w:t>ע</w:t>
      </w:r>
      <w:r w:rsidR="00836389" w:rsidRPr="00C631E8">
        <w:rPr>
          <w:rFonts w:cs="David" w:hint="cs"/>
          <w:b/>
          <w:bCs/>
          <w:sz w:val="24"/>
          <w:szCs w:val="24"/>
          <w:rtl/>
        </w:rPr>
        <w:t>ש</w:t>
      </w:r>
      <w:r w:rsidR="00F2206F" w:rsidRPr="00C631E8">
        <w:rPr>
          <w:rFonts w:cs="David" w:hint="cs"/>
          <w:b/>
          <w:bCs/>
          <w:sz w:val="24"/>
          <w:szCs w:val="24"/>
          <w:rtl/>
        </w:rPr>
        <w:t>ו</w:t>
      </w:r>
      <w:r w:rsidR="00836389" w:rsidRPr="00C631E8">
        <w:rPr>
          <w:rFonts w:cs="David" w:hint="cs"/>
          <w:b/>
          <w:bCs/>
          <w:sz w:val="24"/>
          <w:szCs w:val="24"/>
          <w:rtl/>
        </w:rPr>
        <w:t>ק</w:t>
      </w:r>
      <w:r w:rsidR="00836389">
        <w:rPr>
          <w:rFonts w:cs="David" w:hint="cs"/>
          <w:sz w:val="24"/>
          <w:szCs w:val="24"/>
          <w:rtl/>
        </w:rPr>
        <w:t>,</w:t>
      </w:r>
      <w:r w:rsidR="0049190F">
        <w:rPr>
          <w:rFonts w:cs="David" w:hint="cs"/>
          <w:sz w:val="24"/>
          <w:szCs w:val="24"/>
          <w:rtl/>
        </w:rPr>
        <w:t>ו</w:t>
      </w:r>
      <w:r w:rsidR="00836389" w:rsidRPr="008E5AA6">
        <w:rPr>
          <w:rFonts w:cs="David" w:hint="cs"/>
          <w:b/>
          <w:bCs/>
          <w:sz w:val="24"/>
          <w:szCs w:val="24"/>
          <w:rtl/>
        </w:rPr>
        <w:t>תנאי החוזה גרועים במידה בלתי סבירה</w:t>
      </w:r>
      <w:r w:rsidR="00856CA3">
        <w:rPr>
          <w:rFonts w:cs="David" w:hint="cs"/>
          <w:b/>
          <w:bCs/>
          <w:sz w:val="24"/>
          <w:szCs w:val="24"/>
          <w:rtl/>
        </w:rPr>
        <w:t xml:space="preserve"> מהמקובל</w:t>
      </w:r>
      <w:r w:rsidR="00836389" w:rsidRPr="008E5AA6">
        <w:rPr>
          <w:rFonts w:cs="David" w:hint="cs"/>
          <w:b/>
          <w:bCs/>
          <w:sz w:val="24"/>
          <w:szCs w:val="24"/>
          <w:rtl/>
        </w:rPr>
        <w:t>.</w:t>
      </w:r>
      <w:r w:rsidR="00C631E8">
        <w:rPr>
          <w:rFonts w:cs="David" w:hint="cs"/>
          <w:sz w:val="24"/>
          <w:szCs w:val="24"/>
          <w:rtl/>
        </w:rPr>
        <w:t xml:space="preserve"> </w:t>
      </w:r>
      <w:r w:rsidR="00547981">
        <w:rPr>
          <w:rFonts w:cs="David" w:hint="cs"/>
          <w:sz w:val="24"/>
          <w:szCs w:val="24"/>
          <w:rtl/>
        </w:rPr>
        <w:t xml:space="preserve">ביטול </w:t>
      </w:r>
      <w:r w:rsidR="00C80F4B" w:rsidRPr="003A723C">
        <w:rPr>
          <w:rFonts w:cs="David" w:hint="cs"/>
          <w:sz w:val="24"/>
          <w:szCs w:val="24"/>
          <w:rtl/>
        </w:rPr>
        <w:t>ההסכם</w:t>
      </w:r>
      <w:r w:rsidR="00C80F4B">
        <w:rPr>
          <w:rFonts w:cs="David" w:hint="cs"/>
          <w:sz w:val="24"/>
          <w:szCs w:val="24"/>
          <w:rtl/>
        </w:rPr>
        <w:t xml:space="preserve"> </w:t>
      </w:r>
      <w:r w:rsidR="00547981">
        <w:rPr>
          <w:rFonts w:cs="David" w:hint="cs"/>
          <w:sz w:val="24"/>
          <w:szCs w:val="24"/>
          <w:rtl/>
        </w:rPr>
        <w:t xml:space="preserve">צריך </w:t>
      </w:r>
      <w:r w:rsidR="00F50411">
        <w:rPr>
          <w:rFonts w:cs="David" w:hint="cs"/>
          <w:sz w:val="24"/>
          <w:szCs w:val="24"/>
          <w:rtl/>
        </w:rPr>
        <w:t>להיעשות</w:t>
      </w:r>
      <w:r w:rsidR="006B4A8B">
        <w:rPr>
          <w:rFonts w:cs="David" w:hint="cs"/>
          <w:sz w:val="24"/>
          <w:szCs w:val="24"/>
          <w:rtl/>
        </w:rPr>
        <w:t xml:space="preserve"> תוך זמן </w:t>
      </w:r>
      <w:r w:rsidR="00547981">
        <w:rPr>
          <w:rFonts w:cs="David" w:hint="cs"/>
          <w:sz w:val="24"/>
          <w:szCs w:val="24"/>
          <w:rtl/>
        </w:rPr>
        <w:t>סביר.</w:t>
      </w:r>
      <w:r w:rsidR="00C26A59">
        <w:rPr>
          <w:rFonts w:cs="David" w:hint="cs"/>
          <w:sz w:val="24"/>
          <w:szCs w:val="24"/>
          <w:rtl/>
        </w:rPr>
        <w:t>ה</w:t>
      </w:r>
      <w:r w:rsidR="00567200">
        <w:rPr>
          <w:rFonts w:cs="David" w:hint="cs"/>
          <w:sz w:val="24"/>
          <w:szCs w:val="24"/>
          <w:rtl/>
        </w:rPr>
        <w:t>עילה קרובה לעילת הה</w:t>
      </w:r>
      <w:r w:rsidR="00F53C89">
        <w:rPr>
          <w:rFonts w:cs="David" w:hint="cs"/>
          <w:sz w:val="24"/>
          <w:szCs w:val="24"/>
          <w:rtl/>
        </w:rPr>
        <w:t>שפעה הבלתי הוגנת</w:t>
      </w:r>
      <w:r w:rsidR="003F5532">
        <w:rPr>
          <w:rFonts w:cs="David" w:hint="cs"/>
          <w:sz w:val="24"/>
          <w:szCs w:val="24"/>
          <w:rtl/>
        </w:rPr>
        <w:t>(הלקוח</w:t>
      </w:r>
      <w:r w:rsidR="00957B3A">
        <w:rPr>
          <w:rFonts w:cs="David" w:hint="cs"/>
          <w:sz w:val="24"/>
          <w:szCs w:val="24"/>
          <w:rtl/>
        </w:rPr>
        <w:t>ה</w:t>
      </w:r>
      <w:r w:rsidR="003F5532">
        <w:rPr>
          <w:rFonts w:cs="David" w:hint="cs"/>
          <w:sz w:val="24"/>
          <w:szCs w:val="24"/>
          <w:rtl/>
        </w:rPr>
        <w:t xml:space="preserve"> מהדין האנגלי)</w:t>
      </w:r>
      <w:r w:rsidR="00F53C89">
        <w:rPr>
          <w:rFonts w:cs="David" w:hint="cs"/>
          <w:sz w:val="24"/>
          <w:szCs w:val="24"/>
          <w:rtl/>
        </w:rPr>
        <w:t>מבחינה</w:t>
      </w:r>
      <w:r w:rsidR="00C011AC">
        <w:rPr>
          <w:rFonts w:cs="David" w:hint="cs"/>
          <w:sz w:val="24"/>
          <w:szCs w:val="24"/>
          <w:rtl/>
        </w:rPr>
        <w:t xml:space="preserve"> </w:t>
      </w:r>
      <w:r w:rsidR="003F5532">
        <w:rPr>
          <w:rFonts w:cs="David" w:hint="cs"/>
          <w:sz w:val="24"/>
          <w:szCs w:val="24"/>
          <w:rtl/>
        </w:rPr>
        <w:t>מהותית</w:t>
      </w:r>
      <w:r w:rsidR="00F53C89">
        <w:rPr>
          <w:rFonts w:cs="David" w:hint="cs"/>
          <w:sz w:val="24"/>
          <w:szCs w:val="24"/>
          <w:rtl/>
        </w:rPr>
        <w:t>,</w:t>
      </w:r>
      <w:r w:rsidR="00C011AC">
        <w:rPr>
          <w:rFonts w:cs="David" w:hint="cs"/>
          <w:sz w:val="24"/>
          <w:szCs w:val="24"/>
          <w:rtl/>
        </w:rPr>
        <w:t xml:space="preserve">עם זאת </w:t>
      </w:r>
      <w:r w:rsidR="00793DA4">
        <w:rPr>
          <w:rFonts w:cs="David" w:hint="cs"/>
          <w:sz w:val="24"/>
          <w:szCs w:val="24"/>
          <w:rtl/>
        </w:rPr>
        <w:t xml:space="preserve">יש </w:t>
      </w:r>
      <w:r w:rsidR="00C011AC">
        <w:rPr>
          <w:rFonts w:cs="David" w:hint="cs"/>
          <w:sz w:val="24"/>
          <w:szCs w:val="24"/>
          <w:rtl/>
        </w:rPr>
        <w:t>לפרש את עילת העושק על</w:t>
      </w:r>
      <w:r w:rsidR="00E66D4F">
        <w:rPr>
          <w:rFonts w:cs="David" w:hint="cs"/>
          <w:sz w:val="24"/>
          <w:szCs w:val="24"/>
          <w:rtl/>
        </w:rPr>
        <w:t xml:space="preserve"> יסודותיה בחוק ולא כתח</w:t>
      </w:r>
      <w:r w:rsidR="00C011AC">
        <w:rPr>
          <w:rFonts w:cs="David" w:hint="cs"/>
          <w:sz w:val="24"/>
          <w:szCs w:val="24"/>
          <w:rtl/>
        </w:rPr>
        <w:t>ל</w:t>
      </w:r>
      <w:r w:rsidR="00E66D4F">
        <w:rPr>
          <w:rFonts w:cs="David" w:hint="cs"/>
          <w:sz w:val="24"/>
          <w:szCs w:val="24"/>
          <w:rtl/>
        </w:rPr>
        <w:t>י</w:t>
      </w:r>
      <w:r w:rsidR="00C011AC">
        <w:rPr>
          <w:rFonts w:cs="David" w:hint="cs"/>
          <w:sz w:val="24"/>
          <w:szCs w:val="24"/>
          <w:rtl/>
        </w:rPr>
        <w:t>ף להוראת ההשפעה הבלתי הוגנת.</w:t>
      </w:r>
      <w:r w:rsidR="00836389">
        <w:rPr>
          <w:rFonts w:cs="David" w:hint="cs"/>
          <w:sz w:val="24"/>
          <w:szCs w:val="24"/>
          <w:rtl/>
        </w:rPr>
        <w:t xml:space="preserve">שני </w:t>
      </w:r>
      <w:r w:rsidR="00836389" w:rsidRPr="00B61777">
        <w:rPr>
          <w:rFonts w:cs="David" w:hint="cs"/>
          <w:b/>
          <w:bCs/>
          <w:sz w:val="24"/>
          <w:szCs w:val="24"/>
          <w:rtl/>
        </w:rPr>
        <w:t>התנאים הראשונים</w:t>
      </w:r>
      <w:r w:rsidR="00836389">
        <w:rPr>
          <w:rFonts w:cs="David" w:hint="cs"/>
          <w:sz w:val="24"/>
          <w:szCs w:val="24"/>
          <w:rtl/>
        </w:rPr>
        <w:t xml:space="preserve"> מקבילים לעילת ה</w:t>
      </w:r>
      <w:r w:rsidR="00B23320">
        <w:rPr>
          <w:rFonts w:cs="David" w:hint="cs"/>
          <w:sz w:val="24"/>
          <w:szCs w:val="24"/>
          <w:rtl/>
        </w:rPr>
        <w:t>הטעיה</w:t>
      </w:r>
      <w:r w:rsidR="00836389">
        <w:rPr>
          <w:rStyle w:val="a5"/>
          <w:rFonts w:cs="David"/>
          <w:sz w:val="24"/>
          <w:szCs w:val="24"/>
          <w:rtl/>
        </w:rPr>
        <w:footnoteReference w:id="28"/>
      </w:r>
      <w:r w:rsidR="0068176B">
        <w:rPr>
          <w:rFonts w:cs="David" w:hint="cs"/>
          <w:sz w:val="24"/>
          <w:szCs w:val="24"/>
          <w:rtl/>
        </w:rPr>
        <w:t xml:space="preserve"> וכבר ראינו כי הם מתקיימים במקרה.</w:t>
      </w:r>
      <w:r w:rsidR="008E5AA6" w:rsidRPr="00A57DB5">
        <w:rPr>
          <w:rFonts w:cs="David" w:hint="cs"/>
          <w:sz w:val="24"/>
          <w:szCs w:val="24"/>
          <w:u w:val="single"/>
          <w:rtl/>
        </w:rPr>
        <w:t>התנהגות העושק-</w:t>
      </w:r>
      <w:r w:rsidR="008E5AA6">
        <w:rPr>
          <w:rFonts w:cs="David" w:hint="cs"/>
          <w:sz w:val="24"/>
          <w:szCs w:val="24"/>
          <w:rtl/>
        </w:rPr>
        <w:t>ניצול מצוקה,חולשה או חוסר ניסיון של המתקשר.</w:t>
      </w:r>
      <w:r w:rsidR="00B678B0">
        <w:rPr>
          <w:rFonts w:cs="David" w:hint="cs"/>
          <w:sz w:val="24"/>
          <w:szCs w:val="24"/>
          <w:rtl/>
        </w:rPr>
        <w:t>נ</w:t>
      </w:r>
      <w:r w:rsidR="008E5AA6">
        <w:rPr>
          <w:rFonts w:cs="David" w:hint="cs"/>
          <w:sz w:val="24"/>
          <w:szCs w:val="24"/>
          <w:rtl/>
        </w:rPr>
        <w:t xml:space="preserve">דרשת ידיעה </w:t>
      </w:r>
      <w:r w:rsidR="00B678B0">
        <w:rPr>
          <w:rFonts w:cs="David" w:hint="cs"/>
          <w:sz w:val="24"/>
          <w:szCs w:val="24"/>
          <w:rtl/>
        </w:rPr>
        <w:t>(לא אחריות)</w:t>
      </w:r>
      <w:r w:rsidR="008E5AA6">
        <w:rPr>
          <w:rFonts w:cs="David" w:hint="cs"/>
          <w:sz w:val="24"/>
          <w:szCs w:val="24"/>
          <w:rtl/>
        </w:rPr>
        <w:t xml:space="preserve">של העושק </w:t>
      </w:r>
      <w:r w:rsidR="00B678B0">
        <w:rPr>
          <w:rFonts w:cs="David" w:hint="cs"/>
          <w:sz w:val="24"/>
          <w:szCs w:val="24"/>
          <w:rtl/>
        </w:rPr>
        <w:t>על אותה מצוקה.עצימת עיניים ואי אכפתיות נחשבים כידיעה.</w:t>
      </w:r>
      <w:r w:rsidR="00F2206F" w:rsidRPr="00A57DB5">
        <w:rPr>
          <w:rFonts w:cs="David" w:hint="cs"/>
          <w:sz w:val="24"/>
          <w:szCs w:val="24"/>
          <w:u w:val="single"/>
          <w:rtl/>
        </w:rPr>
        <w:t>מצב העשוק-מצוקתו</w:t>
      </w:r>
      <w:r w:rsidR="00F2206F" w:rsidRPr="00CD3360">
        <w:rPr>
          <w:rFonts w:cs="David" w:hint="cs"/>
          <w:sz w:val="24"/>
          <w:szCs w:val="24"/>
          <w:u w:val="single"/>
          <w:rtl/>
        </w:rPr>
        <w:t xml:space="preserve"> </w:t>
      </w:r>
      <w:r w:rsidR="00F2206F">
        <w:rPr>
          <w:rFonts w:cs="David" w:hint="cs"/>
          <w:sz w:val="24"/>
          <w:szCs w:val="24"/>
          <w:rtl/>
        </w:rPr>
        <w:t>על אחת מחלופותיו-חולשה שכלית/גופנית או ח</w:t>
      </w:r>
      <w:r w:rsidR="00856CA3">
        <w:rPr>
          <w:rFonts w:cs="David" w:hint="cs"/>
          <w:sz w:val="24"/>
          <w:szCs w:val="24"/>
          <w:rtl/>
        </w:rPr>
        <w:t xml:space="preserve">וסר ניסיון.בכדי לא לפגוע בחופש </w:t>
      </w:r>
      <w:r w:rsidR="00F2206F">
        <w:rPr>
          <w:rFonts w:cs="David" w:hint="cs"/>
          <w:sz w:val="24"/>
          <w:szCs w:val="24"/>
          <w:rtl/>
        </w:rPr>
        <w:t>החוזים והגנה על הביטחון המסחרי עליהם להיות קיצוניים כדי להסיט את שיקול דעת העשוק</w:t>
      </w:r>
      <w:r w:rsidR="00F2206F">
        <w:rPr>
          <w:rStyle w:val="a5"/>
          <w:rFonts w:cs="David"/>
          <w:sz w:val="24"/>
          <w:szCs w:val="24"/>
          <w:rtl/>
        </w:rPr>
        <w:footnoteReference w:id="29"/>
      </w:r>
      <w:r w:rsidR="00F2206F">
        <w:rPr>
          <w:rFonts w:cs="David" w:hint="cs"/>
          <w:sz w:val="24"/>
          <w:szCs w:val="24"/>
          <w:rtl/>
        </w:rPr>
        <w:t>.</w:t>
      </w:r>
      <w:r w:rsidR="00F2206F" w:rsidRPr="00C631E8">
        <w:rPr>
          <w:rFonts w:cs="David" w:hint="cs"/>
          <w:sz w:val="24"/>
          <w:szCs w:val="24"/>
          <w:u w:val="single"/>
          <w:rtl/>
        </w:rPr>
        <w:t>מצוקה-</w:t>
      </w:r>
      <w:r w:rsidR="00F2206F">
        <w:rPr>
          <w:rFonts w:cs="David" w:hint="cs"/>
          <w:sz w:val="24"/>
          <w:szCs w:val="24"/>
          <w:rtl/>
        </w:rPr>
        <w:t>מצב דוחק וצרה בו נמצא המתקשר.</w:t>
      </w:r>
      <w:r w:rsidR="00A57DB5">
        <w:rPr>
          <w:rFonts w:cs="David" w:hint="cs"/>
          <w:sz w:val="24"/>
          <w:szCs w:val="24"/>
          <w:rtl/>
        </w:rPr>
        <w:t>זהו</w:t>
      </w:r>
      <w:r w:rsidR="00F2206F">
        <w:rPr>
          <w:rFonts w:cs="David" w:hint="cs"/>
          <w:sz w:val="24"/>
          <w:szCs w:val="24"/>
          <w:rtl/>
        </w:rPr>
        <w:t xml:space="preserve"> מושג גמיש ולכן </w:t>
      </w:r>
      <w:r w:rsidR="00835EE7">
        <w:rPr>
          <w:rFonts w:cs="David" w:hint="cs"/>
          <w:sz w:val="24"/>
          <w:szCs w:val="24"/>
          <w:rtl/>
        </w:rPr>
        <w:t>יש עליו מחלוקת בפסיקה.</w:t>
      </w:r>
      <w:r w:rsidR="00470CE1">
        <w:rPr>
          <w:rFonts w:cs="David" w:hint="cs"/>
          <w:sz w:val="24"/>
          <w:szCs w:val="24"/>
          <w:rtl/>
        </w:rPr>
        <w:t>השו'</w:t>
      </w:r>
      <w:r w:rsidR="00F2206F">
        <w:rPr>
          <w:rFonts w:cs="David" w:hint="cs"/>
          <w:sz w:val="24"/>
          <w:szCs w:val="24"/>
          <w:rtl/>
        </w:rPr>
        <w:t xml:space="preserve"> אלון</w:t>
      </w:r>
      <w:r w:rsidR="00F2206F">
        <w:rPr>
          <w:rStyle w:val="a5"/>
          <w:rFonts w:cs="David"/>
          <w:sz w:val="24"/>
          <w:szCs w:val="24"/>
          <w:rtl/>
        </w:rPr>
        <w:footnoteReference w:id="30"/>
      </w:r>
      <w:r w:rsidR="0095351F">
        <w:rPr>
          <w:rFonts w:cs="David" w:hint="cs"/>
          <w:sz w:val="24"/>
          <w:szCs w:val="24"/>
          <w:rtl/>
        </w:rPr>
        <w:t>-</w:t>
      </w:r>
      <w:r w:rsidR="003735D6">
        <w:rPr>
          <w:rFonts w:cs="David" w:hint="cs"/>
          <w:sz w:val="24"/>
          <w:szCs w:val="24"/>
          <w:rtl/>
        </w:rPr>
        <w:t xml:space="preserve">על מצב המצוקה להיות ארוך ומתמשך לעומתו </w:t>
      </w:r>
      <w:r w:rsidR="00F2206F">
        <w:rPr>
          <w:rFonts w:cs="David" w:hint="cs"/>
          <w:sz w:val="24"/>
          <w:szCs w:val="24"/>
          <w:rtl/>
        </w:rPr>
        <w:t>השו</w:t>
      </w:r>
      <w:r w:rsidR="00112262">
        <w:rPr>
          <w:rFonts w:cs="David" w:hint="cs"/>
          <w:sz w:val="24"/>
          <w:szCs w:val="24"/>
          <w:rtl/>
        </w:rPr>
        <w:t xml:space="preserve">' </w:t>
      </w:r>
      <w:r w:rsidR="00F2206F">
        <w:rPr>
          <w:rFonts w:cs="David" w:hint="cs"/>
          <w:sz w:val="24"/>
          <w:szCs w:val="24"/>
          <w:rtl/>
        </w:rPr>
        <w:t>לנדוי</w:t>
      </w:r>
      <w:r w:rsidR="00F2206F">
        <w:rPr>
          <w:rStyle w:val="a5"/>
          <w:rFonts w:cs="David"/>
          <w:sz w:val="24"/>
          <w:szCs w:val="24"/>
          <w:rtl/>
        </w:rPr>
        <w:footnoteReference w:id="31"/>
      </w:r>
      <w:r w:rsidR="00F2206F">
        <w:rPr>
          <w:rFonts w:cs="David" w:hint="cs"/>
          <w:sz w:val="24"/>
          <w:szCs w:val="24"/>
          <w:rtl/>
        </w:rPr>
        <w:t xml:space="preserve"> </w:t>
      </w:r>
      <w:r w:rsidR="0095351F">
        <w:rPr>
          <w:rFonts w:cs="David" w:hint="cs"/>
          <w:sz w:val="24"/>
          <w:szCs w:val="24"/>
          <w:rtl/>
        </w:rPr>
        <w:t>-טוען</w:t>
      </w:r>
      <w:r w:rsidR="003735D6">
        <w:rPr>
          <w:rFonts w:cs="David" w:hint="cs"/>
          <w:sz w:val="24"/>
          <w:szCs w:val="24"/>
          <w:rtl/>
        </w:rPr>
        <w:t xml:space="preserve"> שגם קושי ארעי וחולף נחשבים </w:t>
      </w:r>
      <w:r w:rsidR="009A364B">
        <w:rPr>
          <w:rFonts w:cs="David" w:hint="cs"/>
          <w:sz w:val="24"/>
          <w:szCs w:val="24"/>
          <w:rtl/>
        </w:rPr>
        <w:t>למצוקה.</w:t>
      </w:r>
      <w:r w:rsidR="00CD3360" w:rsidRPr="00873134">
        <w:rPr>
          <w:rFonts w:cs="David" w:hint="cs"/>
          <w:sz w:val="24"/>
          <w:szCs w:val="24"/>
          <w:u w:val="single"/>
          <w:rtl/>
        </w:rPr>
        <w:t>חולשה שכלית או גופנית-</w:t>
      </w:r>
      <w:r w:rsidR="00CD3360">
        <w:rPr>
          <w:rFonts w:cs="David" w:hint="cs"/>
          <w:sz w:val="24"/>
          <w:szCs w:val="24"/>
          <w:rtl/>
        </w:rPr>
        <w:t>לא מדובר בפסול דין אלא בהגדרה רחבה יותר של נכות מוגדרת וקבועה</w:t>
      </w:r>
      <w:r w:rsidR="00CD3360">
        <w:rPr>
          <w:rStyle w:val="a5"/>
          <w:rFonts w:cs="David"/>
          <w:sz w:val="24"/>
          <w:szCs w:val="24"/>
          <w:rtl/>
        </w:rPr>
        <w:footnoteReference w:id="32"/>
      </w:r>
      <w:r w:rsidR="00CD3360">
        <w:rPr>
          <w:rFonts w:cs="David" w:hint="cs"/>
          <w:sz w:val="24"/>
          <w:szCs w:val="24"/>
          <w:rtl/>
        </w:rPr>
        <w:t>.</w:t>
      </w:r>
      <w:r w:rsidR="00CD3360" w:rsidRPr="00873134">
        <w:rPr>
          <w:rFonts w:cs="David" w:hint="cs"/>
          <w:sz w:val="24"/>
          <w:szCs w:val="24"/>
          <w:u w:val="single"/>
          <w:rtl/>
        </w:rPr>
        <w:t>חוסר ניסיון-</w:t>
      </w:r>
      <w:r w:rsidR="00CD3360">
        <w:rPr>
          <w:rFonts w:cs="David" w:hint="cs"/>
          <w:sz w:val="24"/>
          <w:szCs w:val="24"/>
          <w:rtl/>
        </w:rPr>
        <w:t>באופן כללי או ספציפי.אין זה מספיק כי לא</w:t>
      </w:r>
      <w:r w:rsidR="003735D6">
        <w:rPr>
          <w:rFonts w:cs="David" w:hint="cs"/>
          <w:sz w:val="24"/>
          <w:szCs w:val="24"/>
          <w:rtl/>
        </w:rPr>
        <w:t>דם תהיה חוסר מומחיות לגבי העסקה</w:t>
      </w:r>
      <w:r w:rsidR="00D460A6">
        <w:rPr>
          <w:rFonts w:cs="David" w:hint="cs"/>
          <w:sz w:val="24"/>
          <w:szCs w:val="24"/>
          <w:rtl/>
        </w:rPr>
        <w:t xml:space="preserve">, </w:t>
      </w:r>
      <w:r w:rsidR="003735D6">
        <w:rPr>
          <w:rFonts w:cs="David" w:hint="cs"/>
          <w:sz w:val="24"/>
          <w:szCs w:val="24"/>
          <w:rtl/>
        </w:rPr>
        <w:t>מדובר בתכונה המאפיינת</w:t>
      </w:r>
      <w:r w:rsidR="00C270B0">
        <w:rPr>
          <w:rFonts w:cs="David" w:hint="cs"/>
          <w:sz w:val="24"/>
          <w:szCs w:val="24"/>
          <w:rtl/>
        </w:rPr>
        <w:t xml:space="preserve"> את האדם ונובע</w:t>
      </w:r>
      <w:r w:rsidR="00514E8B">
        <w:rPr>
          <w:rFonts w:cs="David" w:hint="cs"/>
          <w:sz w:val="24"/>
          <w:szCs w:val="24"/>
          <w:rtl/>
        </w:rPr>
        <w:t>ת</w:t>
      </w:r>
      <w:r w:rsidR="00C270B0">
        <w:rPr>
          <w:rFonts w:cs="David" w:hint="cs"/>
          <w:sz w:val="24"/>
          <w:szCs w:val="24"/>
          <w:rtl/>
        </w:rPr>
        <w:t xml:space="preserve"> ממגבלותיו ולא מחוסר שיקול דעת</w:t>
      </w:r>
      <w:r w:rsidR="00C270B0">
        <w:rPr>
          <w:rStyle w:val="a5"/>
          <w:rFonts w:cs="David"/>
          <w:sz w:val="24"/>
          <w:szCs w:val="24"/>
          <w:rtl/>
        </w:rPr>
        <w:footnoteReference w:id="33"/>
      </w:r>
      <w:r w:rsidR="00C270B0">
        <w:rPr>
          <w:rFonts w:cs="David" w:hint="cs"/>
          <w:sz w:val="24"/>
          <w:szCs w:val="24"/>
          <w:rtl/>
        </w:rPr>
        <w:t>.</w:t>
      </w:r>
      <w:r w:rsidR="006D3D70" w:rsidRPr="00B14C65">
        <w:rPr>
          <w:rFonts w:cs="David" w:hint="cs"/>
          <w:sz w:val="24"/>
          <w:szCs w:val="24"/>
          <w:u w:val="single"/>
          <w:rtl/>
        </w:rPr>
        <w:t>תנאי חוזה גרועים במידה בלתי סבירה מהמקובל</w:t>
      </w:r>
      <w:r w:rsidR="006D3D70">
        <w:rPr>
          <w:rFonts w:cs="David" w:hint="cs"/>
          <w:sz w:val="24"/>
          <w:szCs w:val="24"/>
          <w:rtl/>
        </w:rPr>
        <w:t xml:space="preserve">-זהו תנאי אובייקטיבי חיצוני </w:t>
      </w:r>
      <w:r w:rsidR="007D45D6">
        <w:rPr>
          <w:rFonts w:cs="David" w:hint="cs"/>
          <w:sz w:val="24"/>
          <w:szCs w:val="24"/>
          <w:rtl/>
        </w:rPr>
        <w:t>ה</w:t>
      </w:r>
      <w:r w:rsidR="006D3D70">
        <w:rPr>
          <w:rFonts w:cs="David" w:hint="cs"/>
          <w:sz w:val="24"/>
          <w:szCs w:val="24"/>
          <w:rtl/>
        </w:rPr>
        <w:t>שואל מה מקובל ומהי המידה הבלתי סבירה.מקובל-השו</w:t>
      </w:r>
      <w:r w:rsidR="00AF124B">
        <w:rPr>
          <w:rFonts w:cs="David" w:hint="cs"/>
          <w:sz w:val="24"/>
          <w:szCs w:val="24"/>
          <w:rtl/>
        </w:rPr>
        <w:t>ו</w:t>
      </w:r>
      <w:r w:rsidR="006D3D70">
        <w:rPr>
          <w:rFonts w:cs="David" w:hint="cs"/>
          <w:sz w:val="24"/>
          <w:szCs w:val="24"/>
          <w:rtl/>
        </w:rPr>
        <w:t>אה לחוזה סטנדרטי,האם תנאי החוזה נהוגים בחוזים מאותו סוג.</w:t>
      </w:r>
      <w:r w:rsidR="00793DA4">
        <w:rPr>
          <w:rFonts w:cs="David" w:hint="cs"/>
          <w:sz w:val="24"/>
          <w:szCs w:val="24"/>
          <w:rtl/>
        </w:rPr>
        <w:t xml:space="preserve"> </w:t>
      </w:r>
      <w:r w:rsidR="007F7B0C">
        <w:rPr>
          <w:rFonts w:cs="David" w:hint="cs"/>
          <w:sz w:val="24"/>
          <w:szCs w:val="24"/>
          <w:rtl/>
        </w:rPr>
        <w:t>בודקים את כלל החוזה.</w:t>
      </w:r>
      <w:r w:rsidR="006D3D70">
        <w:rPr>
          <w:rFonts w:cs="David" w:hint="cs"/>
          <w:sz w:val="24"/>
          <w:szCs w:val="24"/>
          <w:rtl/>
        </w:rPr>
        <w:t>במקרה שאין אמת מידה להשוואה יקבע בית המשפט את אותה הנורמה</w:t>
      </w:r>
      <w:r w:rsidR="006D3D70">
        <w:rPr>
          <w:rStyle w:val="a5"/>
          <w:rFonts w:cs="David"/>
          <w:sz w:val="24"/>
          <w:szCs w:val="24"/>
          <w:rtl/>
        </w:rPr>
        <w:footnoteReference w:id="34"/>
      </w:r>
      <w:r w:rsidR="006D3D70">
        <w:rPr>
          <w:rFonts w:cs="David" w:hint="cs"/>
          <w:sz w:val="24"/>
          <w:szCs w:val="24"/>
          <w:rtl/>
        </w:rPr>
        <w:t>.</w:t>
      </w:r>
      <w:r w:rsidR="00793DA4">
        <w:rPr>
          <w:rFonts w:cs="David" w:hint="cs"/>
          <w:sz w:val="24"/>
          <w:szCs w:val="24"/>
          <w:rtl/>
        </w:rPr>
        <w:t xml:space="preserve"> </w:t>
      </w:r>
      <w:r w:rsidR="00E45E57">
        <w:rPr>
          <w:rFonts w:cs="David" w:hint="cs"/>
          <w:sz w:val="24"/>
          <w:szCs w:val="24"/>
          <w:rtl/>
        </w:rPr>
        <w:t>חוסר סבירות יקבע עפ"י נסיבות המקרה,תנאי השוק,הוראות החוזה ועמדות מיקוח של הצדדים.</w:t>
      </w:r>
      <w:r w:rsidR="003E7F06" w:rsidRPr="003E7F06">
        <w:rPr>
          <w:rFonts w:cs="David" w:hint="cs"/>
          <w:sz w:val="24"/>
          <w:szCs w:val="24"/>
          <w:rtl/>
        </w:rPr>
        <w:t xml:space="preserve"> </w:t>
      </w:r>
      <w:r w:rsidR="003E7F06">
        <w:rPr>
          <w:rFonts w:cs="David" w:hint="cs"/>
          <w:sz w:val="24"/>
          <w:szCs w:val="24"/>
          <w:rtl/>
        </w:rPr>
        <w:t>כאשר יש פער גדול ביניהם מתקיים היסוד שהתנאים גרועים במידה בלתי סבירה מהמקובל</w:t>
      </w:r>
      <w:r w:rsidR="003E7F06" w:rsidRPr="00F15884">
        <w:rPr>
          <w:rFonts w:cs="David" w:hint="cs"/>
          <w:sz w:val="24"/>
          <w:szCs w:val="24"/>
          <w:rtl/>
        </w:rPr>
        <w:t>.</w:t>
      </w:r>
      <w:r w:rsidR="00793DA4" w:rsidRPr="00F15884">
        <w:rPr>
          <w:rFonts w:cs="David" w:hint="cs"/>
          <w:sz w:val="24"/>
          <w:szCs w:val="24"/>
          <w:rtl/>
        </w:rPr>
        <w:t xml:space="preserve"> הפרשי ערך גדולים הם </w:t>
      </w:r>
      <w:r w:rsidR="00E45E57" w:rsidRPr="00F15884">
        <w:rPr>
          <w:rFonts w:cs="David" w:hint="cs"/>
          <w:sz w:val="24"/>
          <w:szCs w:val="24"/>
          <w:rtl/>
        </w:rPr>
        <w:t>מבחן נוח אך לא מחייב</w:t>
      </w:r>
      <w:r w:rsidR="00E45E57" w:rsidRPr="004E5854">
        <w:rPr>
          <w:rFonts w:cs="David" w:hint="cs"/>
          <w:sz w:val="24"/>
          <w:szCs w:val="24"/>
          <w:rtl/>
        </w:rPr>
        <w:t>.</w:t>
      </w:r>
      <w:r w:rsidR="00160E8E" w:rsidRPr="004E2464">
        <w:rPr>
          <w:rFonts w:cs="David" w:hint="cs"/>
          <w:b/>
          <w:bCs/>
          <w:sz w:val="24"/>
          <w:szCs w:val="24"/>
          <w:u w:val="single"/>
          <w:rtl/>
        </w:rPr>
        <w:t xml:space="preserve">ניתן לטעון שרונן </w:t>
      </w:r>
      <w:r w:rsidR="00160E8E">
        <w:rPr>
          <w:rFonts w:cs="David" w:hint="cs"/>
          <w:sz w:val="24"/>
          <w:szCs w:val="24"/>
          <w:rtl/>
        </w:rPr>
        <w:t>לא ידע על מצבו של שמואל,</w:t>
      </w:r>
      <w:r w:rsidR="00793DA4">
        <w:rPr>
          <w:rFonts w:cs="David" w:hint="cs"/>
          <w:sz w:val="24"/>
          <w:szCs w:val="24"/>
          <w:rtl/>
        </w:rPr>
        <w:t xml:space="preserve"> </w:t>
      </w:r>
      <w:r w:rsidR="00160E8E">
        <w:rPr>
          <w:rFonts w:cs="David" w:hint="cs"/>
          <w:sz w:val="24"/>
          <w:szCs w:val="24"/>
          <w:rtl/>
        </w:rPr>
        <w:t xml:space="preserve">שכנים אינם תמיד מודעים למצב איש את רעהו </w:t>
      </w:r>
      <w:r w:rsidR="00FF0861">
        <w:rPr>
          <w:rFonts w:cs="David" w:hint="cs"/>
          <w:sz w:val="24"/>
          <w:szCs w:val="24"/>
          <w:rtl/>
        </w:rPr>
        <w:t xml:space="preserve">לכן </w:t>
      </w:r>
      <w:r w:rsidR="00160E8E">
        <w:rPr>
          <w:rFonts w:cs="David" w:hint="cs"/>
          <w:sz w:val="24"/>
          <w:szCs w:val="24"/>
          <w:rtl/>
        </w:rPr>
        <w:t>לא היה ניצול,</w:t>
      </w:r>
      <w:r w:rsidR="00160E8E" w:rsidRPr="00F15884">
        <w:rPr>
          <w:rFonts w:cs="David" w:hint="cs"/>
          <w:sz w:val="24"/>
          <w:szCs w:val="24"/>
          <w:rtl/>
        </w:rPr>
        <w:t xml:space="preserve">שהמצוקה </w:t>
      </w:r>
      <w:r w:rsidR="003B601B" w:rsidRPr="00F15884">
        <w:rPr>
          <w:rFonts w:cs="David" w:hint="cs"/>
          <w:sz w:val="24"/>
          <w:szCs w:val="24"/>
          <w:rtl/>
        </w:rPr>
        <w:t>זמנית ובראשיתה</w:t>
      </w:r>
      <w:r w:rsidR="00900379">
        <w:rPr>
          <w:rFonts w:cs="David" w:hint="cs"/>
          <w:sz w:val="24"/>
          <w:szCs w:val="24"/>
          <w:rtl/>
        </w:rPr>
        <w:t>,</w:t>
      </w:r>
      <w:r w:rsidR="00793DA4">
        <w:rPr>
          <w:rFonts w:cs="David" w:hint="cs"/>
          <w:sz w:val="24"/>
          <w:szCs w:val="24"/>
          <w:rtl/>
        </w:rPr>
        <w:t xml:space="preserve"> </w:t>
      </w:r>
      <w:r w:rsidR="00160E8E">
        <w:rPr>
          <w:rFonts w:cs="David" w:hint="cs"/>
          <w:sz w:val="24"/>
          <w:szCs w:val="24"/>
          <w:rtl/>
        </w:rPr>
        <w:t xml:space="preserve">הרבה פעמים נעשים חוזים ממצב </w:t>
      </w:r>
      <w:r w:rsidR="007412F2">
        <w:rPr>
          <w:rFonts w:cs="David" w:hint="cs"/>
          <w:sz w:val="24"/>
          <w:szCs w:val="24"/>
          <w:rtl/>
        </w:rPr>
        <w:t>מצוקה</w:t>
      </w:r>
      <w:r w:rsidR="00160E8E">
        <w:rPr>
          <w:rFonts w:cs="David" w:hint="cs"/>
          <w:sz w:val="24"/>
          <w:szCs w:val="24"/>
          <w:rtl/>
        </w:rPr>
        <w:t>,</w:t>
      </w:r>
      <w:r w:rsidR="00793DA4">
        <w:rPr>
          <w:rFonts w:cs="David" w:hint="cs"/>
          <w:sz w:val="24"/>
          <w:szCs w:val="24"/>
          <w:rtl/>
        </w:rPr>
        <w:t xml:space="preserve"> </w:t>
      </w:r>
      <w:r w:rsidR="00160E8E">
        <w:rPr>
          <w:rFonts w:cs="David" w:hint="cs"/>
          <w:sz w:val="24"/>
          <w:szCs w:val="24"/>
          <w:rtl/>
        </w:rPr>
        <w:t>ולא כל אי שוויון בין הצדדים מהווה עושק</w:t>
      </w:r>
      <w:r w:rsidR="00160E8E">
        <w:rPr>
          <w:rStyle w:val="a5"/>
          <w:rFonts w:cs="David"/>
          <w:sz w:val="24"/>
          <w:szCs w:val="24"/>
          <w:rtl/>
        </w:rPr>
        <w:footnoteReference w:id="35"/>
      </w:r>
      <w:r w:rsidR="00160E8E">
        <w:rPr>
          <w:rFonts w:cs="David" w:hint="cs"/>
          <w:sz w:val="24"/>
          <w:szCs w:val="24"/>
          <w:rtl/>
        </w:rPr>
        <w:t>.תנאי החוזה אינם גרועים באופן קיצוני-רונן נותן לו מחסה,</w:t>
      </w:r>
      <w:r w:rsidR="00793DA4">
        <w:rPr>
          <w:rFonts w:cs="David" w:hint="cs"/>
          <w:sz w:val="24"/>
          <w:szCs w:val="24"/>
          <w:rtl/>
        </w:rPr>
        <w:t xml:space="preserve"> </w:t>
      </w:r>
      <w:r w:rsidR="00160E8E">
        <w:rPr>
          <w:rFonts w:cs="David" w:hint="cs"/>
          <w:sz w:val="24"/>
          <w:szCs w:val="24"/>
          <w:rtl/>
        </w:rPr>
        <w:t>חברה וטיפול ללא דאגות לשארית חייו, באופן מיידי,ו</w:t>
      </w:r>
      <w:r w:rsidR="00314686">
        <w:rPr>
          <w:rFonts w:cs="David" w:hint="cs"/>
          <w:sz w:val="24"/>
          <w:szCs w:val="24"/>
          <w:rtl/>
        </w:rPr>
        <w:t>ללא סיבוכים נלווים.</w:t>
      </w:r>
      <w:r w:rsidR="00084FB5">
        <w:rPr>
          <w:rFonts w:cs="David" w:hint="cs"/>
          <w:sz w:val="24"/>
          <w:szCs w:val="24"/>
          <w:rtl/>
        </w:rPr>
        <w:t xml:space="preserve">ובנוסף הייתה </w:t>
      </w:r>
      <w:r w:rsidR="00314686">
        <w:rPr>
          <w:rFonts w:cs="David" w:hint="cs"/>
          <w:sz w:val="24"/>
          <w:szCs w:val="24"/>
          <w:rtl/>
        </w:rPr>
        <w:t xml:space="preserve">לשמואל </w:t>
      </w:r>
      <w:r w:rsidR="00160E8E">
        <w:rPr>
          <w:rFonts w:cs="David" w:hint="cs"/>
          <w:sz w:val="24"/>
          <w:szCs w:val="24"/>
          <w:rtl/>
        </w:rPr>
        <w:t>אלטרנטיבה אחרת</w:t>
      </w:r>
      <w:r w:rsidR="00160E8E">
        <w:rPr>
          <w:rStyle w:val="a5"/>
          <w:rFonts w:cs="David"/>
          <w:sz w:val="24"/>
          <w:szCs w:val="24"/>
          <w:rtl/>
        </w:rPr>
        <w:footnoteReference w:id="36"/>
      </w:r>
      <w:r w:rsidR="00314686">
        <w:rPr>
          <w:rFonts w:cs="David" w:hint="cs"/>
          <w:sz w:val="24"/>
          <w:szCs w:val="24"/>
          <w:rtl/>
        </w:rPr>
        <w:t>.</w:t>
      </w:r>
      <w:r w:rsidR="00314686" w:rsidRPr="00314686">
        <w:rPr>
          <w:rFonts w:cs="David" w:hint="cs"/>
          <w:sz w:val="24"/>
          <w:szCs w:val="24"/>
          <w:rtl/>
        </w:rPr>
        <w:t xml:space="preserve"> </w:t>
      </w:r>
      <w:r w:rsidR="00314686" w:rsidRPr="004D58B5">
        <w:rPr>
          <w:rFonts w:cs="David" w:hint="cs"/>
          <w:b/>
          <w:bCs/>
          <w:sz w:val="24"/>
          <w:szCs w:val="24"/>
          <w:u w:val="single"/>
          <w:rtl/>
        </w:rPr>
        <w:t>מאידך</w:t>
      </w:r>
      <w:r w:rsidR="00314686">
        <w:rPr>
          <w:rFonts w:cs="David" w:hint="cs"/>
          <w:sz w:val="24"/>
          <w:szCs w:val="24"/>
          <w:rtl/>
        </w:rPr>
        <w:t xml:space="preserve"> שמואל </w:t>
      </w:r>
      <w:r w:rsidR="00314686">
        <w:rPr>
          <w:rFonts w:cs="David" w:hint="cs"/>
          <w:b/>
          <w:bCs/>
          <w:sz w:val="24"/>
          <w:szCs w:val="24"/>
          <w:rtl/>
        </w:rPr>
        <w:t>חתם על החוזה</w:t>
      </w:r>
      <w:r w:rsidR="00314686">
        <w:rPr>
          <w:rFonts w:cs="David" w:hint="cs"/>
          <w:sz w:val="24"/>
          <w:szCs w:val="24"/>
          <w:rtl/>
        </w:rPr>
        <w:t xml:space="preserve"> כאשר </w:t>
      </w:r>
      <w:r w:rsidR="00314686">
        <w:rPr>
          <w:rFonts w:cs="David" w:hint="cs"/>
          <w:b/>
          <w:bCs/>
          <w:sz w:val="24"/>
          <w:szCs w:val="24"/>
          <w:rtl/>
        </w:rPr>
        <w:t>רונן השפיע עליו לעשות זאת</w:t>
      </w:r>
      <w:r w:rsidR="00314686">
        <w:rPr>
          <w:rFonts w:cs="David" w:hint="cs"/>
          <w:sz w:val="24"/>
          <w:szCs w:val="24"/>
          <w:rtl/>
        </w:rPr>
        <w:t xml:space="preserve">(הוא הציע את העסקה,ואף הסתיר מידע וגרם לשמואל לחתום על החוזה) </w:t>
      </w:r>
      <w:r w:rsidR="00314686">
        <w:rPr>
          <w:rFonts w:cs="David" w:hint="cs"/>
          <w:b/>
          <w:bCs/>
          <w:sz w:val="24"/>
          <w:szCs w:val="24"/>
          <w:rtl/>
        </w:rPr>
        <w:t>הוא ידע את מצב שכנו</w:t>
      </w:r>
      <w:r w:rsidR="00314686">
        <w:rPr>
          <w:rFonts w:cs="David" w:hint="cs"/>
          <w:sz w:val="24"/>
          <w:szCs w:val="24"/>
          <w:rtl/>
        </w:rPr>
        <w:t xml:space="preserve"> </w:t>
      </w:r>
      <w:r w:rsidR="00314686">
        <w:rPr>
          <w:rFonts w:cs="David" w:hint="cs"/>
          <w:b/>
          <w:bCs/>
          <w:sz w:val="24"/>
          <w:szCs w:val="24"/>
          <w:rtl/>
        </w:rPr>
        <w:t>וניצל את מצוקתו</w:t>
      </w:r>
      <w:r w:rsidR="00314686">
        <w:rPr>
          <w:rFonts w:cs="David" w:hint="cs"/>
          <w:sz w:val="24"/>
          <w:szCs w:val="24"/>
          <w:rtl/>
        </w:rPr>
        <w:t>,שכן שמואל גולל זאת בפניו ומתוקף היותם שכנים.רונן גם ידע כי שמואל יתקשה למצוא חלופות אחרות עקב מצבו.</w:t>
      </w:r>
      <w:r w:rsidR="00314686">
        <w:rPr>
          <w:rFonts w:cs="David" w:hint="cs"/>
          <w:b/>
          <w:bCs/>
          <w:sz w:val="24"/>
          <w:szCs w:val="24"/>
          <w:rtl/>
        </w:rPr>
        <w:t>תנאי החוזה הינם גרועים במידה בלתי סבירה מהמקובל-</w:t>
      </w:r>
      <w:r w:rsidR="00314686">
        <w:rPr>
          <w:rFonts w:cs="David" w:hint="cs"/>
          <w:sz w:val="24"/>
          <w:szCs w:val="24"/>
          <w:rtl/>
        </w:rPr>
        <w:t xml:space="preserve">שיכון בבית אבות עם </w:t>
      </w:r>
      <w:r w:rsidR="00FD0C17">
        <w:rPr>
          <w:rFonts w:cs="David" w:hint="cs"/>
          <w:sz w:val="24"/>
          <w:szCs w:val="24"/>
          <w:rtl/>
        </w:rPr>
        <w:t>חמש שותפים,</w:t>
      </w:r>
      <w:r w:rsidR="00314686">
        <w:rPr>
          <w:rFonts w:cs="David" w:hint="cs"/>
          <w:sz w:val="24"/>
          <w:szCs w:val="24"/>
          <w:rtl/>
        </w:rPr>
        <w:t>לא כולל הוצאות רפואיות(</w:t>
      </w:r>
      <w:r w:rsidR="00BF1FC9">
        <w:rPr>
          <w:rFonts w:cs="David" w:hint="cs"/>
          <w:sz w:val="24"/>
          <w:szCs w:val="24"/>
          <w:rtl/>
        </w:rPr>
        <w:t>שהן הוצאות נכבדות</w:t>
      </w:r>
      <w:r w:rsidR="00314686">
        <w:rPr>
          <w:rFonts w:cs="David" w:hint="cs"/>
          <w:sz w:val="24"/>
          <w:szCs w:val="24"/>
          <w:rtl/>
        </w:rPr>
        <w:t>)אומנם לכל ימי חייו,</w:t>
      </w:r>
      <w:r w:rsidR="00AA16CD">
        <w:rPr>
          <w:rFonts w:cs="David" w:hint="cs"/>
          <w:sz w:val="24"/>
          <w:szCs w:val="24"/>
          <w:rtl/>
        </w:rPr>
        <w:t>אך התמורה</w:t>
      </w:r>
      <w:r w:rsidR="000628C9">
        <w:rPr>
          <w:rFonts w:cs="David" w:hint="cs"/>
          <w:sz w:val="24"/>
          <w:szCs w:val="24"/>
          <w:rtl/>
        </w:rPr>
        <w:t>,</w:t>
      </w:r>
      <w:r w:rsidR="00AA16CD">
        <w:rPr>
          <w:rFonts w:cs="David" w:hint="cs"/>
          <w:sz w:val="24"/>
          <w:szCs w:val="24"/>
          <w:rtl/>
        </w:rPr>
        <w:t>-</w:t>
      </w:r>
      <w:r w:rsidR="00314686" w:rsidRPr="001C4127">
        <w:rPr>
          <w:rFonts w:cs="David" w:hint="cs"/>
          <w:sz w:val="24"/>
          <w:szCs w:val="24"/>
          <w:rtl/>
        </w:rPr>
        <w:t xml:space="preserve">בעלות בדירה </w:t>
      </w:r>
      <w:r w:rsidR="00AA16CD" w:rsidRPr="001C4127">
        <w:rPr>
          <w:rFonts w:cs="David" w:hint="cs"/>
          <w:sz w:val="24"/>
          <w:szCs w:val="24"/>
          <w:rtl/>
        </w:rPr>
        <w:t>ב</w:t>
      </w:r>
      <w:r w:rsidR="00314686" w:rsidRPr="001C4127">
        <w:rPr>
          <w:rFonts w:cs="David" w:hint="cs"/>
          <w:sz w:val="24"/>
          <w:szCs w:val="24"/>
          <w:rtl/>
        </w:rPr>
        <w:t>ת"א</w:t>
      </w:r>
      <w:r w:rsidR="00FD0C17" w:rsidRPr="001C4127">
        <w:rPr>
          <w:rFonts w:cs="David" w:hint="cs"/>
          <w:sz w:val="24"/>
          <w:szCs w:val="24"/>
          <w:rtl/>
        </w:rPr>
        <w:t xml:space="preserve"> </w:t>
      </w:r>
      <w:r w:rsidR="00A0633E" w:rsidRPr="001C4127">
        <w:rPr>
          <w:rFonts w:cs="David" w:hint="cs"/>
          <w:sz w:val="24"/>
          <w:szCs w:val="24"/>
          <w:rtl/>
        </w:rPr>
        <w:t>שש</w:t>
      </w:r>
      <w:r w:rsidR="00FD0C17" w:rsidRPr="001C4127">
        <w:rPr>
          <w:rFonts w:cs="David" w:hint="cs"/>
          <w:sz w:val="24"/>
          <w:szCs w:val="24"/>
          <w:rtl/>
        </w:rPr>
        <w:t xml:space="preserve">ווייה </w:t>
      </w:r>
      <w:r w:rsidR="00666C19" w:rsidRPr="001C4127">
        <w:rPr>
          <w:rFonts w:cs="David" w:hint="cs"/>
          <w:sz w:val="24"/>
          <w:szCs w:val="24"/>
          <w:rtl/>
        </w:rPr>
        <w:t>2,000,000 ₪ רחוקה מהמקובל</w:t>
      </w:r>
      <w:r w:rsidR="008B5481">
        <w:rPr>
          <w:rFonts w:cs="David" w:hint="cs"/>
          <w:sz w:val="24"/>
          <w:szCs w:val="24"/>
          <w:rtl/>
        </w:rPr>
        <w:t xml:space="preserve"> ומ</w:t>
      </w:r>
      <w:r w:rsidR="00207858">
        <w:rPr>
          <w:rFonts w:cs="David" w:hint="cs"/>
          <w:sz w:val="24"/>
          <w:szCs w:val="24"/>
          <w:rtl/>
        </w:rPr>
        <w:t>ה</w:t>
      </w:r>
      <w:r w:rsidR="008B5481">
        <w:rPr>
          <w:rFonts w:cs="David" w:hint="cs"/>
          <w:sz w:val="24"/>
          <w:szCs w:val="24"/>
          <w:rtl/>
        </w:rPr>
        <w:t>סביר</w:t>
      </w:r>
      <w:r w:rsidR="00666C19" w:rsidRPr="001C4127">
        <w:rPr>
          <w:rFonts w:cs="David" w:hint="cs"/>
          <w:sz w:val="24"/>
          <w:szCs w:val="24"/>
          <w:rtl/>
        </w:rPr>
        <w:t>.</w:t>
      </w:r>
      <w:r w:rsidR="00314686" w:rsidRPr="001C4127">
        <w:rPr>
          <w:rFonts w:cs="David" w:hint="cs"/>
          <w:sz w:val="24"/>
          <w:szCs w:val="24"/>
          <w:rtl/>
        </w:rPr>
        <w:t>אומנם אין חוזים מאותו סוג להשוואה אך הפע</w:t>
      </w:r>
      <w:r w:rsidR="00DE74C2">
        <w:rPr>
          <w:rFonts w:cs="David" w:hint="cs"/>
          <w:sz w:val="24"/>
          <w:szCs w:val="24"/>
          <w:rtl/>
        </w:rPr>
        <w:t xml:space="preserve">ר וחוסר השוויון </w:t>
      </w:r>
      <w:r w:rsidR="000C6CBF">
        <w:rPr>
          <w:rFonts w:cs="David" w:hint="cs"/>
          <w:sz w:val="24"/>
          <w:szCs w:val="24"/>
          <w:rtl/>
        </w:rPr>
        <w:t>בערכים המוחלפים בולט</w:t>
      </w:r>
      <w:r w:rsidR="00DE74C2">
        <w:rPr>
          <w:rFonts w:cs="David" w:hint="cs"/>
          <w:sz w:val="24"/>
          <w:szCs w:val="24"/>
          <w:rtl/>
        </w:rPr>
        <w:t xml:space="preserve"> מאוד</w:t>
      </w:r>
      <w:r w:rsidR="00314686" w:rsidRPr="001C4127">
        <w:rPr>
          <w:rFonts w:cs="David" w:hint="cs"/>
          <w:sz w:val="24"/>
          <w:szCs w:val="24"/>
          <w:rtl/>
        </w:rPr>
        <w:t>.</w:t>
      </w:r>
      <w:r w:rsidR="00F81975">
        <w:rPr>
          <w:rFonts w:cs="David" w:hint="cs"/>
          <w:b/>
          <w:bCs/>
          <w:sz w:val="24"/>
          <w:szCs w:val="24"/>
          <w:rtl/>
        </w:rPr>
        <w:t>מתוקף</w:t>
      </w:r>
      <w:r w:rsidR="0074583F">
        <w:rPr>
          <w:rFonts w:cs="David" w:hint="cs"/>
          <w:b/>
          <w:bCs/>
          <w:sz w:val="24"/>
          <w:szCs w:val="24"/>
          <w:rtl/>
        </w:rPr>
        <w:t xml:space="preserve"> כל</w:t>
      </w:r>
      <w:r w:rsidR="00F81975">
        <w:rPr>
          <w:rFonts w:cs="David" w:hint="cs"/>
          <w:b/>
          <w:bCs/>
          <w:sz w:val="24"/>
          <w:szCs w:val="24"/>
          <w:rtl/>
        </w:rPr>
        <w:t xml:space="preserve"> האמור התקיימה </w:t>
      </w:r>
      <w:r w:rsidR="000C6CBF">
        <w:rPr>
          <w:rFonts w:cs="David" w:hint="cs"/>
          <w:b/>
          <w:bCs/>
          <w:sz w:val="24"/>
          <w:szCs w:val="24"/>
          <w:rtl/>
        </w:rPr>
        <w:t xml:space="preserve">במקרה שלפנינו </w:t>
      </w:r>
      <w:r w:rsidR="00F81975">
        <w:rPr>
          <w:rFonts w:cs="David" w:hint="cs"/>
          <w:b/>
          <w:bCs/>
          <w:sz w:val="24"/>
          <w:szCs w:val="24"/>
          <w:rtl/>
        </w:rPr>
        <w:t>עילת העושק</w:t>
      </w:r>
      <w:r w:rsidR="000C6CBF" w:rsidRPr="000C6CBF">
        <w:rPr>
          <w:rFonts w:cs="David" w:hint="cs"/>
          <w:sz w:val="24"/>
          <w:szCs w:val="24"/>
          <w:rtl/>
        </w:rPr>
        <w:t>.</w:t>
      </w:r>
    </w:p>
    <w:p w:rsidR="00160E8E" w:rsidRPr="00160E8E" w:rsidRDefault="00160E8E" w:rsidP="00B414D9">
      <w:pPr>
        <w:spacing w:after="0" w:line="360" w:lineRule="auto"/>
        <w:jc w:val="both"/>
        <w:rPr>
          <w:rFonts w:cs="David"/>
          <w:sz w:val="24"/>
          <w:szCs w:val="24"/>
          <w:rtl/>
        </w:rPr>
      </w:pPr>
    </w:p>
    <w:p w:rsidR="00160E8E" w:rsidRDefault="00160E8E" w:rsidP="00B27291">
      <w:pPr>
        <w:spacing w:after="0" w:line="360" w:lineRule="auto"/>
        <w:jc w:val="both"/>
        <w:rPr>
          <w:rFonts w:cs="David"/>
          <w:sz w:val="24"/>
          <w:szCs w:val="24"/>
          <w:rtl/>
        </w:rPr>
      </w:pPr>
    </w:p>
    <w:p w:rsidR="00160E8E" w:rsidRDefault="00160E8E" w:rsidP="00B27291">
      <w:pPr>
        <w:spacing w:after="0" w:line="360" w:lineRule="auto"/>
        <w:jc w:val="both"/>
        <w:rPr>
          <w:rFonts w:cs="David"/>
          <w:sz w:val="24"/>
          <w:szCs w:val="24"/>
          <w:rtl/>
        </w:rPr>
      </w:pPr>
    </w:p>
    <w:p w:rsidR="00160E8E" w:rsidRDefault="00160E8E" w:rsidP="00B27291">
      <w:pPr>
        <w:spacing w:after="0" w:line="360" w:lineRule="auto"/>
        <w:jc w:val="both"/>
        <w:rPr>
          <w:rFonts w:cs="David"/>
          <w:sz w:val="24"/>
          <w:szCs w:val="24"/>
          <w:rtl/>
        </w:rPr>
      </w:pPr>
    </w:p>
    <w:p w:rsidR="00160E8E" w:rsidRDefault="00160E8E" w:rsidP="00B27291">
      <w:pPr>
        <w:spacing w:after="0" w:line="360" w:lineRule="auto"/>
        <w:jc w:val="both"/>
        <w:rPr>
          <w:rFonts w:cs="David"/>
          <w:sz w:val="24"/>
          <w:szCs w:val="24"/>
          <w:rtl/>
        </w:rPr>
      </w:pPr>
    </w:p>
    <w:p w:rsidR="00160E8E" w:rsidRDefault="00160E8E" w:rsidP="00B27291">
      <w:pPr>
        <w:spacing w:after="0" w:line="360" w:lineRule="auto"/>
        <w:jc w:val="both"/>
        <w:rPr>
          <w:rFonts w:cs="David"/>
          <w:sz w:val="24"/>
          <w:szCs w:val="24"/>
          <w:rtl/>
        </w:rPr>
      </w:pPr>
    </w:p>
    <w:p w:rsidR="00160E8E" w:rsidRDefault="00160E8E" w:rsidP="00B27291">
      <w:pPr>
        <w:spacing w:after="0" w:line="360" w:lineRule="auto"/>
        <w:jc w:val="both"/>
        <w:rPr>
          <w:rFonts w:cs="David"/>
          <w:sz w:val="24"/>
          <w:szCs w:val="24"/>
          <w:rtl/>
        </w:rPr>
      </w:pPr>
    </w:p>
    <w:p w:rsidR="00160E8E" w:rsidRDefault="00160E8E" w:rsidP="00B27291">
      <w:pPr>
        <w:spacing w:after="0" w:line="360" w:lineRule="auto"/>
        <w:jc w:val="both"/>
        <w:rPr>
          <w:rFonts w:cs="David"/>
          <w:sz w:val="24"/>
          <w:szCs w:val="24"/>
          <w:rtl/>
        </w:rPr>
      </w:pPr>
    </w:p>
    <w:p w:rsidR="00160E8E" w:rsidRDefault="00160E8E" w:rsidP="00B27291">
      <w:pPr>
        <w:spacing w:after="0" w:line="360" w:lineRule="auto"/>
        <w:jc w:val="both"/>
        <w:rPr>
          <w:rFonts w:cs="David"/>
          <w:sz w:val="24"/>
          <w:szCs w:val="24"/>
          <w:rtl/>
        </w:rPr>
      </w:pPr>
    </w:p>
    <w:p w:rsidR="00160E8E" w:rsidRDefault="00160E8E" w:rsidP="00B27291">
      <w:pPr>
        <w:spacing w:after="0" w:line="360" w:lineRule="auto"/>
        <w:jc w:val="both"/>
        <w:rPr>
          <w:rFonts w:cs="David"/>
          <w:sz w:val="24"/>
          <w:szCs w:val="24"/>
          <w:rtl/>
        </w:rPr>
      </w:pPr>
    </w:p>
    <w:p w:rsidR="00160E8E" w:rsidRDefault="00160E8E" w:rsidP="00B27291">
      <w:pPr>
        <w:spacing w:after="0" w:line="360" w:lineRule="auto"/>
        <w:jc w:val="both"/>
        <w:rPr>
          <w:rFonts w:cs="David"/>
          <w:sz w:val="24"/>
          <w:szCs w:val="24"/>
          <w:rtl/>
        </w:rPr>
      </w:pPr>
    </w:p>
    <w:p w:rsidR="0068176B" w:rsidRPr="009C37D5" w:rsidRDefault="004E5854" w:rsidP="00B27291">
      <w:pPr>
        <w:spacing w:after="0" w:line="360" w:lineRule="auto"/>
        <w:jc w:val="both"/>
        <w:rPr>
          <w:rFonts w:cs="David"/>
          <w:sz w:val="24"/>
          <w:szCs w:val="24"/>
          <w:rtl/>
        </w:rPr>
      </w:pPr>
      <w:r>
        <w:rPr>
          <w:rFonts w:cs="David" w:hint="cs"/>
          <w:sz w:val="24"/>
          <w:szCs w:val="24"/>
          <w:rtl/>
        </w:rPr>
        <w:t xml:space="preserve">  </w:t>
      </w:r>
    </w:p>
    <w:p w:rsidR="00160E8E" w:rsidRDefault="00160E8E" w:rsidP="00B27291">
      <w:pPr>
        <w:spacing w:after="0" w:line="360" w:lineRule="auto"/>
        <w:jc w:val="both"/>
        <w:rPr>
          <w:rFonts w:cs="David"/>
          <w:sz w:val="24"/>
          <w:szCs w:val="24"/>
          <w:highlight w:val="yellow"/>
          <w:rtl/>
        </w:rPr>
      </w:pPr>
    </w:p>
    <w:p w:rsidR="00160E8E" w:rsidRDefault="00160E8E" w:rsidP="00B27291">
      <w:pPr>
        <w:spacing w:after="0" w:line="360" w:lineRule="auto"/>
        <w:jc w:val="both"/>
        <w:rPr>
          <w:rFonts w:cs="David"/>
          <w:sz w:val="24"/>
          <w:szCs w:val="24"/>
          <w:highlight w:val="yellow"/>
          <w:rtl/>
        </w:rPr>
      </w:pPr>
    </w:p>
    <w:p w:rsidR="00160E8E" w:rsidRDefault="00160E8E" w:rsidP="00B27291">
      <w:pPr>
        <w:spacing w:after="0" w:line="360" w:lineRule="auto"/>
        <w:jc w:val="both"/>
        <w:rPr>
          <w:rFonts w:cs="David"/>
          <w:sz w:val="24"/>
          <w:szCs w:val="24"/>
          <w:highlight w:val="yellow"/>
          <w:rtl/>
        </w:rPr>
      </w:pPr>
    </w:p>
    <w:p w:rsidR="00FB0F55" w:rsidRPr="00FB0F55" w:rsidRDefault="00FB0F55" w:rsidP="00B27291">
      <w:pPr>
        <w:spacing w:after="0" w:line="360" w:lineRule="auto"/>
        <w:jc w:val="both"/>
        <w:rPr>
          <w:rFonts w:cs="David"/>
          <w:sz w:val="24"/>
          <w:szCs w:val="24"/>
        </w:rPr>
      </w:pPr>
    </w:p>
    <w:sectPr w:rsidR="00FB0F55" w:rsidRPr="00FB0F55" w:rsidSect="00B60F43">
      <w:footnotePr>
        <w:pos w:val="beneathText"/>
      </w:footnotePr>
      <w:pgSz w:w="11906" w:h="16838"/>
      <w:pgMar w:top="1418" w:right="1418" w:bottom="1418" w:left="1418"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70CF" w:rsidRDefault="003B70CF" w:rsidP="000B5084">
      <w:pPr>
        <w:spacing w:after="0" w:line="240" w:lineRule="auto"/>
      </w:pPr>
      <w:r>
        <w:separator/>
      </w:r>
    </w:p>
  </w:endnote>
  <w:endnote w:type="continuationSeparator" w:id="0">
    <w:p w:rsidR="003B70CF" w:rsidRDefault="003B70CF" w:rsidP="000B50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70CF" w:rsidRDefault="003B70CF" w:rsidP="000B5084">
      <w:pPr>
        <w:spacing w:after="0" w:line="240" w:lineRule="auto"/>
      </w:pPr>
      <w:r>
        <w:separator/>
      </w:r>
    </w:p>
  </w:footnote>
  <w:footnote w:type="continuationSeparator" w:id="0">
    <w:p w:rsidR="003B70CF" w:rsidRDefault="003B70CF" w:rsidP="000B5084">
      <w:pPr>
        <w:spacing w:after="0" w:line="240" w:lineRule="auto"/>
      </w:pPr>
      <w:r>
        <w:continuationSeparator/>
      </w:r>
    </w:p>
  </w:footnote>
  <w:footnote w:id="1">
    <w:p w:rsidR="000B5084" w:rsidRDefault="000B5084">
      <w:pPr>
        <w:pStyle w:val="a3"/>
        <w:rPr>
          <w:rtl/>
        </w:rPr>
      </w:pPr>
      <w:r>
        <w:rPr>
          <w:rStyle w:val="a5"/>
        </w:rPr>
        <w:footnoteRef/>
      </w:r>
      <w:r>
        <w:rPr>
          <w:rtl/>
        </w:rPr>
        <w:t xml:space="preserve"> </w:t>
      </w:r>
      <w:bookmarkStart w:id="0" w:name="OLE_LINK1"/>
      <w:bookmarkStart w:id="1" w:name="OLE_LINK2"/>
      <w:bookmarkStart w:id="2" w:name="OLE_LINK7"/>
      <w:r w:rsidR="00970558">
        <w:rPr>
          <w:rFonts w:hint="cs"/>
          <w:rtl/>
        </w:rPr>
        <w:t>סעיף 15 לחוק החוזים(חלק כללי)</w:t>
      </w:r>
      <w:r w:rsidR="00044A0D">
        <w:rPr>
          <w:rFonts w:hint="cs"/>
          <w:rtl/>
        </w:rPr>
        <w:t>,</w:t>
      </w:r>
      <w:bookmarkStart w:id="3" w:name="OLE_LINK18"/>
      <w:bookmarkStart w:id="4" w:name="OLE_LINK19"/>
      <w:proofErr w:type="spellStart"/>
      <w:r w:rsidR="00A147EF">
        <w:rPr>
          <w:rFonts w:hint="cs"/>
          <w:rtl/>
        </w:rPr>
        <w:t>ה</w:t>
      </w:r>
      <w:r w:rsidR="00970558">
        <w:rPr>
          <w:rFonts w:hint="cs"/>
          <w:rtl/>
        </w:rPr>
        <w:t>תשל"ג</w:t>
      </w:r>
      <w:proofErr w:type="spellEnd"/>
      <w:r w:rsidR="00970558">
        <w:rPr>
          <w:rFonts w:hint="cs"/>
          <w:rtl/>
        </w:rPr>
        <w:t>-1973</w:t>
      </w:r>
      <w:bookmarkEnd w:id="3"/>
      <w:bookmarkEnd w:id="4"/>
      <w:r w:rsidR="00970558">
        <w:rPr>
          <w:rFonts w:hint="cs"/>
          <w:rtl/>
        </w:rPr>
        <w:t>.</w:t>
      </w:r>
      <w:bookmarkEnd w:id="0"/>
      <w:bookmarkEnd w:id="1"/>
      <w:bookmarkEnd w:id="2"/>
      <w:r w:rsidR="002F198E">
        <w:rPr>
          <w:rFonts w:hint="cs"/>
          <w:rtl/>
        </w:rPr>
        <w:t>(להלן:חוק החוזים).</w:t>
      </w:r>
    </w:p>
  </w:footnote>
  <w:footnote w:id="2">
    <w:p w:rsidR="00EC7E0C" w:rsidRDefault="00EC7E0C" w:rsidP="001C7D21">
      <w:pPr>
        <w:pStyle w:val="a3"/>
      </w:pPr>
      <w:r w:rsidRPr="00E766DB">
        <w:rPr>
          <w:rStyle w:val="a5"/>
        </w:rPr>
        <w:footnoteRef/>
      </w:r>
      <w:r w:rsidRPr="00E766DB">
        <w:rPr>
          <w:rtl/>
        </w:rPr>
        <w:t xml:space="preserve"> ע"א 2469/06 </w:t>
      </w:r>
      <w:proofErr w:type="spellStart"/>
      <w:r w:rsidRPr="00E766DB">
        <w:rPr>
          <w:b/>
          <w:bCs/>
          <w:rtl/>
        </w:rPr>
        <w:t>סויסה</w:t>
      </w:r>
      <w:proofErr w:type="spellEnd"/>
      <w:r w:rsidRPr="00E766DB">
        <w:rPr>
          <w:b/>
          <w:bCs/>
          <w:rtl/>
        </w:rPr>
        <w:t xml:space="preserve"> נ' חברת </w:t>
      </w:r>
      <w:proofErr w:type="spellStart"/>
      <w:r w:rsidRPr="00E766DB">
        <w:rPr>
          <w:b/>
          <w:bCs/>
          <w:rtl/>
        </w:rPr>
        <w:t>זאגא</w:t>
      </w:r>
      <w:proofErr w:type="spellEnd"/>
      <w:r w:rsidRPr="00E766DB">
        <w:rPr>
          <w:b/>
          <w:bCs/>
          <w:rtl/>
        </w:rPr>
        <w:t xml:space="preserve"> בע"מ</w:t>
      </w:r>
      <w:r w:rsidRPr="00E766DB">
        <w:rPr>
          <w:rtl/>
        </w:rPr>
        <w:t>,</w:t>
      </w:r>
      <w:r w:rsidR="001C7D21" w:rsidRPr="00E766DB">
        <w:rPr>
          <w:rFonts w:hint="cs"/>
          <w:rtl/>
        </w:rPr>
        <w:t>בפסקה</w:t>
      </w:r>
      <w:r w:rsidR="003D5BAF" w:rsidRPr="00E766DB">
        <w:rPr>
          <w:rFonts w:hint="cs"/>
          <w:rtl/>
        </w:rPr>
        <w:t xml:space="preserve"> </w:t>
      </w:r>
      <w:r w:rsidR="00E420EE" w:rsidRPr="00E766DB">
        <w:rPr>
          <w:rFonts w:hint="cs"/>
          <w:rtl/>
        </w:rPr>
        <w:t>9</w:t>
      </w:r>
      <w:r w:rsidR="003D5BAF" w:rsidRPr="00E766DB">
        <w:rPr>
          <w:rFonts w:hint="cs"/>
          <w:rtl/>
        </w:rPr>
        <w:t xml:space="preserve"> לדברי </w:t>
      </w:r>
      <w:proofErr w:type="spellStart"/>
      <w:r w:rsidR="003D5BAF" w:rsidRPr="00E766DB">
        <w:rPr>
          <w:rFonts w:hint="cs"/>
          <w:rtl/>
        </w:rPr>
        <w:t>השו</w:t>
      </w:r>
      <w:proofErr w:type="spellEnd"/>
      <w:r w:rsidR="003D5BAF" w:rsidRPr="00E766DB">
        <w:rPr>
          <w:rFonts w:hint="cs"/>
          <w:rtl/>
        </w:rPr>
        <w:t>'</w:t>
      </w:r>
      <w:r w:rsidR="00E420EE" w:rsidRPr="00E766DB">
        <w:rPr>
          <w:rFonts w:hint="cs"/>
          <w:rtl/>
        </w:rPr>
        <w:t xml:space="preserve"> חיות</w:t>
      </w:r>
      <w:r w:rsidR="003D5BAF" w:rsidRPr="00E766DB">
        <w:rPr>
          <w:rFonts w:hint="cs"/>
          <w:rtl/>
        </w:rPr>
        <w:t>(טרם פורסם,</w:t>
      </w:r>
      <w:r w:rsidR="00411CFB" w:rsidRPr="00E766DB">
        <w:rPr>
          <w:rFonts w:hint="cs"/>
          <w:rtl/>
        </w:rPr>
        <w:t>14.08.2008</w:t>
      </w:r>
      <w:r w:rsidR="003D5BAF" w:rsidRPr="00E766DB">
        <w:rPr>
          <w:rFonts w:hint="cs"/>
          <w:rtl/>
        </w:rPr>
        <w:t>)</w:t>
      </w:r>
      <w:r w:rsidR="00EE79DC" w:rsidRPr="00E766DB">
        <w:rPr>
          <w:rFonts w:hint="cs"/>
          <w:rtl/>
        </w:rPr>
        <w:t>.</w:t>
      </w:r>
      <w:r w:rsidR="002F198E" w:rsidRPr="00E766DB">
        <w:rPr>
          <w:rFonts w:hint="cs"/>
          <w:rtl/>
        </w:rPr>
        <w:t xml:space="preserve">(להלן:פרשת </w:t>
      </w:r>
      <w:proofErr w:type="spellStart"/>
      <w:r w:rsidR="002F198E" w:rsidRPr="00E766DB">
        <w:rPr>
          <w:rFonts w:hint="cs"/>
          <w:rtl/>
        </w:rPr>
        <w:t>סויסה</w:t>
      </w:r>
      <w:proofErr w:type="spellEnd"/>
      <w:r w:rsidR="002F198E" w:rsidRPr="00E766DB">
        <w:rPr>
          <w:rFonts w:hint="cs"/>
          <w:rtl/>
        </w:rPr>
        <w:t>).</w:t>
      </w:r>
    </w:p>
  </w:footnote>
  <w:footnote w:id="3">
    <w:p w:rsidR="00B73E9E" w:rsidRDefault="00B73E9E" w:rsidP="00026FAB">
      <w:pPr>
        <w:pStyle w:val="a3"/>
        <w:rPr>
          <w:rtl/>
        </w:rPr>
      </w:pPr>
      <w:r>
        <w:rPr>
          <w:rStyle w:val="a5"/>
        </w:rPr>
        <w:footnoteRef/>
      </w:r>
      <w:r>
        <w:rPr>
          <w:rtl/>
        </w:rPr>
        <w:t xml:space="preserve"> </w:t>
      </w:r>
      <w:r w:rsidR="00026FAB">
        <w:rPr>
          <w:rFonts w:hint="cs"/>
          <w:rtl/>
        </w:rPr>
        <w:t>סעיף 14 לחוק החוזים.</w:t>
      </w:r>
    </w:p>
  </w:footnote>
  <w:footnote w:id="4">
    <w:p w:rsidR="00C821C4" w:rsidRDefault="00C821C4" w:rsidP="00A64963">
      <w:pPr>
        <w:pStyle w:val="a3"/>
      </w:pPr>
      <w:r>
        <w:rPr>
          <w:rStyle w:val="a5"/>
        </w:rPr>
        <w:footnoteRef/>
      </w:r>
      <w:r>
        <w:rPr>
          <w:rtl/>
        </w:rPr>
        <w:t xml:space="preserve"> </w:t>
      </w:r>
      <w:bookmarkStart w:id="5" w:name="OLE_LINK3"/>
      <w:bookmarkStart w:id="6" w:name="OLE_LINK4"/>
      <w:r w:rsidR="00521BCD">
        <w:rPr>
          <w:rFonts w:hint="cs"/>
          <w:rtl/>
        </w:rPr>
        <w:t>ע"א 373/80,</w:t>
      </w:r>
      <w:r w:rsidR="00A64963" w:rsidRPr="00A64963">
        <w:rPr>
          <w:rFonts w:hint="cs"/>
          <w:b/>
          <w:bCs/>
          <w:rtl/>
        </w:rPr>
        <w:t>וופנה</w:t>
      </w:r>
      <w:r w:rsidR="00521BCD" w:rsidRPr="00A64963">
        <w:rPr>
          <w:rFonts w:hint="cs"/>
          <w:b/>
          <w:bCs/>
          <w:rtl/>
        </w:rPr>
        <w:t xml:space="preserve"> נ' אוגש</w:t>
      </w:r>
      <w:r w:rsidR="00521BCD">
        <w:rPr>
          <w:rFonts w:hint="cs"/>
          <w:rtl/>
        </w:rPr>
        <w:t>,פ"ד לו(2)215,</w:t>
      </w:r>
      <w:r w:rsidR="00A64963">
        <w:rPr>
          <w:rFonts w:hint="cs"/>
          <w:rtl/>
        </w:rPr>
        <w:t xml:space="preserve"> 217-218(1981).</w:t>
      </w:r>
      <w:bookmarkEnd w:id="5"/>
      <w:bookmarkEnd w:id="6"/>
      <w:r w:rsidR="002F198E">
        <w:rPr>
          <w:rFonts w:hint="cs"/>
          <w:rtl/>
        </w:rPr>
        <w:t xml:space="preserve">(להלן:פרשת </w:t>
      </w:r>
      <w:proofErr w:type="spellStart"/>
      <w:r w:rsidR="002F198E">
        <w:rPr>
          <w:rFonts w:hint="cs"/>
          <w:rtl/>
        </w:rPr>
        <w:t>וופנה</w:t>
      </w:r>
      <w:proofErr w:type="spellEnd"/>
      <w:r w:rsidR="002F198E">
        <w:rPr>
          <w:rFonts w:hint="cs"/>
          <w:rtl/>
        </w:rPr>
        <w:t>).</w:t>
      </w:r>
    </w:p>
  </w:footnote>
  <w:footnote w:id="5">
    <w:p w:rsidR="00FB4DAA" w:rsidRDefault="00FB4DAA">
      <w:pPr>
        <w:pStyle w:val="a3"/>
        <w:rPr>
          <w:rtl/>
        </w:rPr>
      </w:pPr>
      <w:r>
        <w:rPr>
          <w:rStyle w:val="a5"/>
        </w:rPr>
        <w:footnoteRef/>
      </w:r>
      <w:r>
        <w:rPr>
          <w:rtl/>
        </w:rPr>
        <w:t xml:space="preserve"> </w:t>
      </w:r>
      <w:r w:rsidR="00D658D9">
        <w:rPr>
          <w:rFonts w:hint="cs"/>
          <w:rtl/>
        </w:rPr>
        <w:t>ע"א 44/66,</w:t>
      </w:r>
      <w:r w:rsidR="00D658D9" w:rsidRPr="00EC7E0C">
        <w:rPr>
          <w:rFonts w:hint="cs"/>
          <w:b/>
          <w:bCs/>
          <w:rtl/>
        </w:rPr>
        <w:t>לקי דרייב בע"מ נ' הרץ</w:t>
      </w:r>
      <w:r w:rsidR="00D658D9">
        <w:rPr>
          <w:rFonts w:hint="cs"/>
          <w:rtl/>
        </w:rPr>
        <w:t>,פ"ד כא(1)576, 587(1967).</w:t>
      </w:r>
    </w:p>
  </w:footnote>
  <w:footnote w:id="6">
    <w:p w:rsidR="00FB4DAA" w:rsidRDefault="00FB4DAA" w:rsidP="00233DA0">
      <w:pPr>
        <w:pStyle w:val="a3"/>
      </w:pPr>
      <w:r>
        <w:rPr>
          <w:rStyle w:val="a5"/>
        </w:rPr>
        <w:footnoteRef/>
      </w:r>
      <w:r>
        <w:rPr>
          <w:rtl/>
        </w:rPr>
        <w:t xml:space="preserve"> </w:t>
      </w:r>
      <w:r w:rsidR="00233DA0">
        <w:rPr>
          <w:rFonts w:hint="cs"/>
          <w:rtl/>
        </w:rPr>
        <w:t xml:space="preserve">פרשת </w:t>
      </w:r>
      <w:proofErr w:type="spellStart"/>
      <w:r w:rsidR="00233DA0" w:rsidRPr="0043265E">
        <w:rPr>
          <w:rFonts w:hint="cs"/>
          <w:b/>
          <w:bCs/>
          <w:rtl/>
        </w:rPr>
        <w:t>וופנה</w:t>
      </w:r>
      <w:proofErr w:type="spellEnd"/>
      <w:r w:rsidR="00233DA0">
        <w:rPr>
          <w:rFonts w:hint="cs"/>
          <w:rtl/>
        </w:rPr>
        <w:t xml:space="preserve">,לעיל </w:t>
      </w:r>
      <w:proofErr w:type="spellStart"/>
      <w:r w:rsidR="00233DA0">
        <w:rPr>
          <w:rFonts w:hint="cs"/>
          <w:rtl/>
        </w:rPr>
        <w:t>ה"ש</w:t>
      </w:r>
      <w:proofErr w:type="spellEnd"/>
      <w:r w:rsidR="00233DA0">
        <w:rPr>
          <w:rFonts w:hint="cs"/>
          <w:rtl/>
        </w:rPr>
        <w:t xml:space="preserve"> 4,</w:t>
      </w:r>
      <w:proofErr w:type="spellStart"/>
      <w:r w:rsidR="00233DA0">
        <w:rPr>
          <w:rFonts w:hint="cs"/>
          <w:rtl/>
        </w:rPr>
        <w:t>בעמ</w:t>
      </w:r>
      <w:proofErr w:type="spellEnd"/>
      <w:r w:rsidR="00233DA0">
        <w:rPr>
          <w:rFonts w:hint="cs"/>
          <w:rtl/>
        </w:rPr>
        <w:t>' 216-219.</w:t>
      </w:r>
    </w:p>
  </w:footnote>
  <w:footnote w:id="7">
    <w:p w:rsidR="00E42EB4" w:rsidRDefault="00E42EB4" w:rsidP="00497BC3">
      <w:pPr>
        <w:pStyle w:val="a3"/>
      </w:pPr>
      <w:r>
        <w:rPr>
          <w:rStyle w:val="a5"/>
        </w:rPr>
        <w:footnoteRef/>
      </w:r>
      <w:r>
        <w:rPr>
          <w:rtl/>
        </w:rPr>
        <w:t xml:space="preserve"> </w:t>
      </w:r>
      <w:r w:rsidR="007A0338">
        <w:rPr>
          <w:rtl/>
        </w:rPr>
        <w:t>גבריאלה שלו,</w:t>
      </w:r>
      <w:r w:rsidR="007A0338">
        <w:rPr>
          <w:b/>
          <w:bCs/>
          <w:rtl/>
        </w:rPr>
        <w:t>דיני חוזים החלק הכללי-לקראת קודיפיקציה של המשפט האזרחי,</w:t>
      </w:r>
      <w:r w:rsidR="007A0338">
        <w:rPr>
          <w:rtl/>
        </w:rPr>
        <w:t xml:space="preserve"> </w:t>
      </w:r>
      <w:r w:rsidR="007A0338">
        <w:rPr>
          <w:rFonts w:hint="cs"/>
          <w:rtl/>
        </w:rPr>
        <w:t>311-312</w:t>
      </w:r>
      <w:r w:rsidR="007A0338">
        <w:rPr>
          <w:rtl/>
        </w:rPr>
        <w:t>(2005).</w:t>
      </w:r>
      <w:r w:rsidR="00497BC3">
        <w:rPr>
          <w:rFonts w:hint="cs"/>
          <w:rtl/>
        </w:rPr>
        <w:t>(להלן:שלו)</w:t>
      </w:r>
      <w:r w:rsidR="000E5163">
        <w:rPr>
          <w:rFonts w:hint="cs"/>
          <w:rtl/>
        </w:rPr>
        <w:t>.</w:t>
      </w:r>
    </w:p>
  </w:footnote>
  <w:footnote w:id="8">
    <w:p w:rsidR="00E42EB4" w:rsidRDefault="00E42EB4">
      <w:pPr>
        <w:pStyle w:val="a3"/>
        <w:rPr>
          <w:rtl/>
        </w:rPr>
      </w:pPr>
      <w:r>
        <w:rPr>
          <w:rStyle w:val="a5"/>
        </w:rPr>
        <w:footnoteRef/>
      </w:r>
      <w:bookmarkStart w:id="7" w:name="OLE_LINK5"/>
      <w:bookmarkStart w:id="8" w:name="OLE_LINK6"/>
      <w:r w:rsidR="00722F8F">
        <w:rPr>
          <w:rFonts w:hint="cs"/>
          <w:rtl/>
        </w:rPr>
        <w:t xml:space="preserve">ע"א 494/74 </w:t>
      </w:r>
      <w:r w:rsidR="00722F8F" w:rsidRPr="00A83335">
        <w:rPr>
          <w:rFonts w:hint="cs"/>
          <w:b/>
          <w:bCs/>
          <w:rtl/>
        </w:rPr>
        <w:t>חברת בית החשמונאים נ' אהרוני</w:t>
      </w:r>
      <w:r w:rsidR="00722F8F">
        <w:rPr>
          <w:rFonts w:hint="cs"/>
          <w:rtl/>
        </w:rPr>
        <w:t>,פ"ד ל(2)141, 146-148(1976).</w:t>
      </w:r>
      <w:bookmarkEnd w:id="7"/>
      <w:bookmarkEnd w:id="8"/>
      <w:r w:rsidR="002F198E">
        <w:rPr>
          <w:rFonts w:hint="cs"/>
          <w:rtl/>
        </w:rPr>
        <w:t>(להלן:פרשת בית החשמונאים).</w:t>
      </w:r>
    </w:p>
  </w:footnote>
  <w:footnote w:id="9">
    <w:p w:rsidR="00C80A3A" w:rsidRDefault="00C80A3A" w:rsidP="000E5163">
      <w:pPr>
        <w:pStyle w:val="a3"/>
        <w:rPr>
          <w:rtl/>
        </w:rPr>
      </w:pPr>
      <w:r>
        <w:rPr>
          <w:rStyle w:val="a5"/>
        </w:rPr>
        <w:footnoteRef/>
      </w:r>
      <w:r>
        <w:rPr>
          <w:rtl/>
        </w:rPr>
        <w:t xml:space="preserve"> </w:t>
      </w:r>
      <w:r w:rsidR="000E5163">
        <w:rPr>
          <w:rFonts w:hint="cs"/>
          <w:rtl/>
        </w:rPr>
        <w:t xml:space="preserve">שלו,לעיל </w:t>
      </w:r>
      <w:proofErr w:type="spellStart"/>
      <w:r w:rsidR="000E5163">
        <w:rPr>
          <w:rFonts w:hint="cs"/>
          <w:rtl/>
        </w:rPr>
        <w:t>ה"ש</w:t>
      </w:r>
      <w:proofErr w:type="spellEnd"/>
      <w:r w:rsidR="000E5163">
        <w:rPr>
          <w:rFonts w:hint="cs"/>
          <w:rtl/>
        </w:rPr>
        <w:t xml:space="preserve"> 7,</w:t>
      </w:r>
      <w:proofErr w:type="spellStart"/>
      <w:r w:rsidR="000E5163">
        <w:rPr>
          <w:rFonts w:hint="cs"/>
          <w:rtl/>
        </w:rPr>
        <w:t>בעמ'223</w:t>
      </w:r>
      <w:proofErr w:type="spellEnd"/>
      <w:r w:rsidR="000E5163">
        <w:rPr>
          <w:rFonts w:hint="cs"/>
          <w:rtl/>
        </w:rPr>
        <w:t>.</w:t>
      </w:r>
    </w:p>
  </w:footnote>
  <w:footnote w:id="10">
    <w:p w:rsidR="00C80A3A" w:rsidRDefault="00C80A3A" w:rsidP="000E5163">
      <w:pPr>
        <w:pStyle w:val="a3"/>
        <w:rPr>
          <w:rtl/>
        </w:rPr>
      </w:pPr>
      <w:r>
        <w:rPr>
          <w:rStyle w:val="a5"/>
        </w:rPr>
        <w:footnoteRef/>
      </w:r>
      <w:r>
        <w:rPr>
          <w:rtl/>
        </w:rPr>
        <w:t xml:space="preserve"> </w:t>
      </w:r>
      <w:r w:rsidR="000E5163">
        <w:rPr>
          <w:rFonts w:hint="cs"/>
          <w:rtl/>
        </w:rPr>
        <w:t xml:space="preserve">פרשת </w:t>
      </w:r>
      <w:r w:rsidR="000E5163" w:rsidRPr="0043265E">
        <w:rPr>
          <w:rFonts w:hint="cs"/>
          <w:b/>
          <w:bCs/>
          <w:rtl/>
        </w:rPr>
        <w:t>בית החשמונאים</w:t>
      </w:r>
      <w:r w:rsidR="000E5163">
        <w:rPr>
          <w:rFonts w:hint="cs"/>
          <w:rtl/>
        </w:rPr>
        <w:t xml:space="preserve">,לעיל </w:t>
      </w:r>
      <w:proofErr w:type="spellStart"/>
      <w:r w:rsidR="000E5163">
        <w:rPr>
          <w:rFonts w:hint="cs"/>
          <w:rtl/>
        </w:rPr>
        <w:t>ה"ש</w:t>
      </w:r>
      <w:proofErr w:type="spellEnd"/>
      <w:r w:rsidR="000E5163">
        <w:rPr>
          <w:rFonts w:hint="cs"/>
          <w:rtl/>
        </w:rPr>
        <w:t xml:space="preserve"> 8,</w:t>
      </w:r>
      <w:proofErr w:type="spellStart"/>
      <w:r w:rsidR="000E5163">
        <w:rPr>
          <w:rFonts w:hint="cs"/>
          <w:rtl/>
        </w:rPr>
        <w:t>בעמ</w:t>
      </w:r>
      <w:proofErr w:type="spellEnd"/>
      <w:r w:rsidR="000E5163">
        <w:rPr>
          <w:rFonts w:hint="cs"/>
          <w:rtl/>
        </w:rPr>
        <w:t>' 145,148.</w:t>
      </w:r>
    </w:p>
  </w:footnote>
  <w:footnote w:id="11">
    <w:p w:rsidR="00591F14" w:rsidRDefault="00591F14" w:rsidP="0049381F">
      <w:pPr>
        <w:pStyle w:val="a3"/>
        <w:rPr>
          <w:rtl/>
        </w:rPr>
      </w:pPr>
      <w:r>
        <w:rPr>
          <w:rStyle w:val="a5"/>
        </w:rPr>
        <w:footnoteRef/>
      </w:r>
      <w:r>
        <w:rPr>
          <w:rtl/>
        </w:rPr>
        <w:t xml:space="preserve"> </w:t>
      </w:r>
      <w:r w:rsidR="00E56108">
        <w:rPr>
          <w:rtl/>
        </w:rPr>
        <w:t xml:space="preserve">ע"א838/75 </w:t>
      </w:r>
      <w:r w:rsidR="00E56108">
        <w:rPr>
          <w:b/>
          <w:bCs/>
          <w:rtl/>
        </w:rPr>
        <w:t>ספקטור נ' צרפתי</w:t>
      </w:r>
      <w:r w:rsidR="0049381F">
        <w:rPr>
          <w:rtl/>
        </w:rPr>
        <w:t>,פ"ד ל"ב(1)231</w:t>
      </w:r>
      <w:r w:rsidR="0049381F">
        <w:rPr>
          <w:rFonts w:hint="cs"/>
          <w:rtl/>
        </w:rPr>
        <w:t>,</w:t>
      </w:r>
      <w:r w:rsidR="00E56108">
        <w:rPr>
          <w:rtl/>
        </w:rPr>
        <w:t xml:space="preserve"> </w:t>
      </w:r>
      <w:r w:rsidR="00E56108">
        <w:rPr>
          <w:rFonts w:hint="cs"/>
          <w:rtl/>
        </w:rPr>
        <w:t>242</w:t>
      </w:r>
      <w:r w:rsidR="00E56108">
        <w:rPr>
          <w:rtl/>
        </w:rPr>
        <w:t>(1977).</w:t>
      </w:r>
      <w:r w:rsidR="0084394E">
        <w:rPr>
          <w:rFonts w:hint="cs"/>
          <w:rtl/>
        </w:rPr>
        <w:t>(</w:t>
      </w:r>
      <w:r w:rsidR="00D8207D">
        <w:rPr>
          <w:rFonts w:hint="cs"/>
          <w:rtl/>
        </w:rPr>
        <w:t>להלן:פרשת ספקטור).</w:t>
      </w:r>
    </w:p>
  </w:footnote>
  <w:footnote w:id="12">
    <w:p w:rsidR="00591F14" w:rsidRDefault="00591F14" w:rsidP="00806CBF">
      <w:pPr>
        <w:pStyle w:val="a3"/>
      </w:pPr>
      <w:r>
        <w:rPr>
          <w:rStyle w:val="a5"/>
        </w:rPr>
        <w:footnoteRef/>
      </w:r>
      <w:r>
        <w:rPr>
          <w:rtl/>
        </w:rPr>
        <w:t xml:space="preserve"> </w:t>
      </w:r>
      <w:r w:rsidR="00806CBF">
        <w:rPr>
          <w:rFonts w:hint="cs"/>
          <w:rtl/>
        </w:rPr>
        <w:t xml:space="preserve">גד טדסקי </w:t>
      </w:r>
      <w:r w:rsidR="00806CBF" w:rsidRPr="00806CBF">
        <w:rPr>
          <w:rFonts w:hint="cs"/>
          <w:rtl/>
        </w:rPr>
        <w:t>"טעות בכדאיות העסקה"</w:t>
      </w:r>
      <w:r w:rsidR="00806CBF">
        <w:rPr>
          <w:rFonts w:hint="cs"/>
          <w:rtl/>
        </w:rPr>
        <w:t>,</w:t>
      </w:r>
      <w:r w:rsidR="00806CBF" w:rsidRPr="00806CBF">
        <w:rPr>
          <w:rFonts w:hint="cs"/>
          <w:b/>
          <w:bCs/>
          <w:rtl/>
        </w:rPr>
        <w:t>משפטים</w:t>
      </w:r>
      <w:r w:rsidR="00806CBF">
        <w:rPr>
          <w:rFonts w:hint="cs"/>
          <w:rtl/>
        </w:rPr>
        <w:t xml:space="preserve"> יב 329, 329-333 (1982).</w:t>
      </w:r>
    </w:p>
  </w:footnote>
  <w:footnote w:id="13">
    <w:p w:rsidR="00591F14" w:rsidRDefault="00591F14">
      <w:pPr>
        <w:pStyle w:val="a3"/>
      </w:pPr>
      <w:r>
        <w:rPr>
          <w:rStyle w:val="a5"/>
        </w:rPr>
        <w:footnoteRef/>
      </w:r>
      <w:r>
        <w:rPr>
          <w:rtl/>
        </w:rPr>
        <w:t xml:space="preserve"> </w:t>
      </w:r>
      <w:r w:rsidR="00D431A0">
        <w:rPr>
          <w:rFonts w:hint="cs"/>
          <w:rtl/>
        </w:rPr>
        <w:t>דניאל פרידמן ונילי כהן</w:t>
      </w:r>
      <w:r w:rsidR="00D431A0" w:rsidRPr="00D431A0">
        <w:rPr>
          <w:rFonts w:hint="cs"/>
          <w:b/>
          <w:bCs/>
          <w:rtl/>
        </w:rPr>
        <w:t xml:space="preserve"> חוזים</w:t>
      </w:r>
      <w:r w:rsidR="00D431A0">
        <w:rPr>
          <w:rFonts w:hint="cs"/>
          <w:rtl/>
        </w:rPr>
        <w:t xml:space="preserve"> כרך ב' 725-728 (1992).</w:t>
      </w:r>
    </w:p>
  </w:footnote>
  <w:footnote w:id="14">
    <w:p w:rsidR="00FB4DAA" w:rsidRDefault="00FB4DAA" w:rsidP="000E5163">
      <w:pPr>
        <w:pStyle w:val="a3"/>
        <w:rPr>
          <w:rtl/>
        </w:rPr>
      </w:pPr>
      <w:r>
        <w:rPr>
          <w:rStyle w:val="a5"/>
        </w:rPr>
        <w:footnoteRef/>
      </w:r>
      <w:r>
        <w:rPr>
          <w:rtl/>
        </w:rPr>
        <w:t xml:space="preserve"> </w:t>
      </w:r>
      <w:r w:rsidR="001C4993">
        <w:rPr>
          <w:rtl/>
        </w:rPr>
        <w:t>סעיף 15 לחוק החוזים</w:t>
      </w:r>
      <w:r w:rsidR="000E5163">
        <w:rPr>
          <w:rFonts w:hint="cs"/>
          <w:rtl/>
        </w:rPr>
        <w:t>.</w:t>
      </w:r>
    </w:p>
  </w:footnote>
  <w:footnote w:id="15">
    <w:p w:rsidR="00FB4DAA" w:rsidRDefault="00FB4DAA" w:rsidP="00046794">
      <w:pPr>
        <w:pStyle w:val="a3"/>
      </w:pPr>
      <w:r>
        <w:rPr>
          <w:rStyle w:val="a5"/>
        </w:rPr>
        <w:footnoteRef/>
      </w:r>
      <w:r>
        <w:rPr>
          <w:rtl/>
        </w:rPr>
        <w:t xml:space="preserve"> </w:t>
      </w:r>
      <w:r w:rsidR="00046794">
        <w:rPr>
          <w:rFonts w:hint="cs"/>
          <w:rtl/>
        </w:rPr>
        <w:t xml:space="preserve">פרשת </w:t>
      </w:r>
      <w:r w:rsidR="00046794" w:rsidRPr="0043265E">
        <w:rPr>
          <w:rFonts w:hint="cs"/>
          <w:b/>
          <w:bCs/>
          <w:rtl/>
        </w:rPr>
        <w:t>ספקטור,</w:t>
      </w:r>
      <w:r w:rsidR="00046794">
        <w:rPr>
          <w:rFonts w:hint="cs"/>
          <w:rtl/>
        </w:rPr>
        <w:t xml:space="preserve">לעיל </w:t>
      </w:r>
      <w:proofErr w:type="spellStart"/>
      <w:r w:rsidR="00046794">
        <w:rPr>
          <w:rFonts w:hint="cs"/>
          <w:rtl/>
        </w:rPr>
        <w:t>ה"ש</w:t>
      </w:r>
      <w:proofErr w:type="spellEnd"/>
      <w:r w:rsidR="00046794">
        <w:rPr>
          <w:rFonts w:hint="cs"/>
          <w:rtl/>
        </w:rPr>
        <w:t xml:space="preserve"> 11,</w:t>
      </w:r>
      <w:proofErr w:type="spellStart"/>
      <w:r w:rsidR="00046794">
        <w:rPr>
          <w:rFonts w:hint="cs"/>
          <w:rtl/>
        </w:rPr>
        <w:t>בעמ</w:t>
      </w:r>
      <w:proofErr w:type="spellEnd"/>
      <w:r w:rsidR="00046794">
        <w:rPr>
          <w:rFonts w:hint="cs"/>
          <w:rtl/>
        </w:rPr>
        <w:t>' 236.</w:t>
      </w:r>
    </w:p>
  </w:footnote>
  <w:footnote w:id="16">
    <w:p w:rsidR="00FB4DAA" w:rsidRDefault="00FB4DAA" w:rsidP="00DE3436">
      <w:pPr>
        <w:pStyle w:val="a3"/>
      </w:pPr>
      <w:r>
        <w:rPr>
          <w:rStyle w:val="a5"/>
        </w:rPr>
        <w:footnoteRef/>
      </w:r>
      <w:r>
        <w:rPr>
          <w:rtl/>
        </w:rPr>
        <w:t xml:space="preserve"> </w:t>
      </w:r>
      <w:r w:rsidR="00C7660E">
        <w:rPr>
          <w:rFonts w:hint="cs"/>
          <w:rtl/>
        </w:rPr>
        <w:t>סעיף 12 לחוק החוזים.</w:t>
      </w:r>
    </w:p>
  </w:footnote>
  <w:footnote w:id="17">
    <w:p w:rsidR="004A3022" w:rsidRDefault="004A3022" w:rsidP="00932D35">
      <w:pPr>
        <w:pStyle w:val="a3"/>
      </w:pPr>
      <w:r>
        <w:rPr>
          <w:rStyle w:val="a5"/>
        </w:rPr>
        <w:footnoteRef/>
      </w:r>
      <w:r>
        <w:rPr>
          <w:rtl/>
        </w:rPr>
        <w:t xml:space="preserve"> </w:t>
      </w:r>
      <w:r w:rsidR="00C709D9">
        <w:rPr>
          <w:rtl/>
        </w:rPr>
        <w:t xml:space="preserve">ע"א 9019/99 </w:t>
      </w:r>
      <w:r w:rsidR="00C709D9">
        <w:rPr>
          <w:b/>
          <w:bCs/>
          <w:rtl/>
        </w:rPr>
        <w:t>קינסטלינגר נ' אליה</w:t>
      </w:r>
      <w:r w:rsidR="00C709D9">
        <w:rPr>
          <w:rtl/>
        </w:rPr>
        <w:t>,פ"ד נה(3)542 ,546(2001).</w:t>
      </w:r>
    </w:p>
  </w:footnote>
  <w:footnote w:id="18">
    <w:p w:rsidR="00282214" w:rsidRDefault="00282214" w:rsidP="004E30E8">
      <w:pPr>
        <w:pStyle w:val="a3"/>
      </w:pPr>
      <w:r>
        <w:rPr>
          <w:rStyle w:val="a5"/>
        </w:rPr>
        <w:footnoteRef/>
      </w:r>
      <w:r>
        <w:rPr>
          <w:rtl/>
        </w:rPr>
        <w:t xml:space="preserve"> </w:t>
      </w:r>
      <w:bookmarkStart w:id="9" w:name="OLE_LINK10"/>
      <w:bookmarkStart w:id="10" w:name="OLE_LINK11"/>
      <w:r w:rsidR="004E30E8">
        <w:rPr>
          <w:rFonts w:hint="cs"/>
          <w:rtl/>
        </w:rPr>
        <w:t xml:space="preserve">פרשת </w:t>
      </w:r>
      <w:r w:rsidR="00026300" w:rsidRPr="0043265E">
        <w:rPr>
          <w:b/>
          <w:bCs/>
          <w:rtl/>
        </w:rPr>
        <w:t>ספקטור</w:t>
      </w:r>
      <w:bookmarkEnd w:id="9"/>
      <w:bookmarkEnd w:id="10"/>
      <w:r w:rsidR="004E30E8">
        <w:rPr>
          <w:rFonts w:hint="cs"/>
          <w:b/>
          <w:bCs/>
          <w:rtl/>
        </w:rPr>
        <w:t>,</w:t>
      </w:r>
      <w:r w:rsidR="004E30E8" w:rsidRPr="0043265E">
        <w:rPr>
          <w:rFonts w:hint="cs"/>
          <w:rtl/>
        </w:rPr>
        <w:t xml:space="preserve">לעיל </w:t>
      </w:r>
      <w:proofErr w:type="spellStart"/>
      <w:r w:rsidR="004E30E8" w:rsidRPr="0043265E">
        <w:rPr>
          <w:rFonts w:hint="cs"/>
          <w:rtl/>
        </w:rPr>
        <w:t>ה"ש</w:t>
      </w:r>
      <w:proofErr w:type="spellEnd"/>
      <w:r w:rsidR="004E30E8" w:rsidRPr="0043265E">
        <w:rPr>
          <w:rFonts w:hint="cs"/>
          <w:rtl/>
        </w:rPr>
        <w:t xml:space="preserve"> 11,</w:t>
      </w:r>
      <w:proofErr w:type="spellStart"/>
      <w:r w:rsidR="004E30E8" w:rsidRPr="0043265E">
        <w:rPr>
          <w:rFonts w:hint="cs"/>
          <w:rtl/>
        </w:rPr>
        <w:t>בעמ</w:t>
      </w:r>
      <w:proofErr w:type="spellEnd"/>
      <w:r w:rsidR="004E30E8" w:rsidRPr="0043265E">
        <w:rPr>
          <w:rFonts w:hint="cs"/>
          <w:rtl/>
        </w:rPr>
        <w:t>' 237.</w:t>
      </w:r>
    </w:p>
  </w:footnote>
  <w:footnote w:id="19">
    <w:p w:rsidR="006C00CF" w:rsidRDefault="006C00CF" w:rsidP="00133BD0">
      <w:pPr>
        <w:pStyle w:val="a3"/>
        <w:rPr>
          <w:rtl/>
        </w:rPr>
      </w:pPr>
      <w:r w:rsidRPr="00FB7152">
        <w:rPr>
          <w:rStyle w:val="a5"/>
        </w:rPr>
        <w:footnoteRef/>
      </w:r>
      <w:r w:rsidRPr="00FB7152">
        <w:rPr>
          <w:rtl/>
        </w:rPr>
        <w:t xml:space="preserve"> </w:t>
      </w:r>
      <w:r w:rsidR="00E57156" w:rsidRPr="00FB7152">
        <w:rPr>
          <w:rFonts w:hint="cs"/>
          <w:rtl/>
        </w:rPr>
        <w:t xml:space="preserve">פרשת </w:t>
      </w:r>
      <w:proofErr w:type="spellStart"/>
      <w:r w:rsidR="00E57156" w:rsidRPr="00217367">
        <w:rPr>
          <w:rFonts w:hint="cs"/>
          <w:b/>
          <w:bCs/>
          <w:rtl/>
        </w:rPr>
        <w:t>סויסה</w:t>
      </w:r>
      <w:proofErr w:type="spellEnd"/>
      <w:r w:rsidR="00E57156" w:rsidRPr="00FB7152">
        <w:rPr>
          <w:rFonts w:hint="cs"/>
          <w:rtl/>
        </w:rPr>
        <w:t xml:space="preserve">,לעיל </w:t>
      </w:r>
      <w:proofErr w:type="spellStart"/>
      <w:r w:rsidR="00E57156" w:rsidRPr="00FB7152">
        <w:rPr>
          <w:rFonts w:hint="cs"/>
          <w:rtl/>
        </w:rPr>
        <w:t>ה"ש</w:t>
      </w:r>
      <w:proofErr w:type="spellEnd"/>
      <w:r w:rsidR="00E57156" w:rsidRPr="00FB7152">
        <w:rPr>
          <w:rFonts w:hint="cs"/>
          <w:rtl/>
        </w:rPr>
        <w:t xml:space="preserve"> 2,</w:t>
      </w:r>
      <w:r w:rsidR="00033C71">
        <w:rPr>
          <w:rFonts w:hint="cs"/>
          <w:rtl/>
        </w:rPr>
        <w:t>ב</w:t>
      </w:r>
      <w:r w:rsidR="00133BD0">
        <w:rPr>
          <w:rFonts w:hint="cs"/>
          <w:rtl/>
        </w:rPr>
        <w:t>פסקה</w:t>
      </w:r>
      <w:r w:rsidR="00FF4027">
        <w:rPr>
          <w:rFonts w:hint="cs"/>
          <w:rtl/>
        </w:rPr>
        <w:t xml:space="preserve"> 10 לדברי </w:t>
      </w:r>
      <w:proofErr w:type="spellStart"/>
      <w:r w:rsidR="00FF4027">
        <w:rPr>
          <w:rFonts w:hint="cs"/>
          <w:rtl/>
        </w:rPr>
        <w:t>השו</w:t>
      </w:r>
      <w:proofErr w:type="spellEnd"/>
      <w:r w:rsidR="00FF4027">
        <w:rPr>
          <w:rFonts w:hint="cs"/>
          <w:rtl/>
        </w:rPr>
        <w:t>' חיות.</w:t>
      </w:r>
    </w:p>
  </w:footnote>
  <w:footnote w:id="20">
    <w:p w:rsidR="0026122A" w:rsidRDefault="0026122A" w:rsidP="00E57156">
      <w:pPr>
        <w:pStyle w:val="a3"/>
      </w:pPr>
      <w:r>
        <w:rPr>
          <w:rStyle w:val="a5"/>
        </w:rPr>
        <w:footnoteRef/>
      </w:r>
      <w:r>
        <w:rPr>
          <w:rtl/>
        </w:rPr>
        <w:t xml:space="preserve"> </w:t>
      </w:r>
      <w:bookmarkStart w:id="11" w:name="OLE_LINK31"/>
      <w:bookmarkStart w:id="12" w:name="OLE_LINK32"/>
      <w:r w:rsidR="00E57156">
        <w:rPr>
          <w:rFonts w:hint="cs"/>
          <w:rtl/>
        </w:rPr>
        <w:t>פרשת</w:t>
      </w:r>
      <w:r w:rsidR="00E57156" w:rsidRPr="00217367">
        <w:rPr>
          <w:rFonts w:hint="cs"/>
          <w:b/>
          <w:bCs/>
          <w:rtl/>
        </w:rPr>
        <w:t xml:space="preserve"> ספקטור</w:t>
      </w:r>
      <w:r w:rsidR="00E57156">
        <w:rPr>
          <w:rFonts w:hint="cs"/>
          <w:rtl/>
        </w:rPr>
        <w:t xml:space="preserve">,לעיל </w:t>
      </w:r>
      <w:proofErr w:type="spellStart"/>
      <w:r w:rsidR="00E57156">
        <w:rPr>
          <w:rFonts w:hint="cs"/>
          <w:rtl/>
        </w:rPr>
        <w:t>ה"ש</w:t>
      </w:r>
      <w:proofErr w:type="spellEnd"/>
      <w:r w:rsidR="00E57156">
        <w:rPr>
          <w:rFonts w:hint="cs"/>
          <w:rtl/>
        </w:rPr>
        <w:t xml:space="preserve"> 11,</w:t>
      </w:r>
      <w:proofErr w:type="spellStart"/>
      <w:r w:rsidR="00E57156">
        <w:rPr>
          <w:rFonts w:hint="cs"/>
          <w:rtl/>
        </w:rPr>
        <w:t>בעמ</w:t>
      </w:r>
      <w:proofErr w:type="spellEnd"/>
      <w:r w:rsidR="00E57156">
        <w:rPr>
          <w:rFonts w:hint="cs"/>
          <w:rtl/>
        </w:rPr>
        <w:t>' 241-242.</w:t>
      </w:r>
      <w:bookmarkEnd w:id="11"/>
      <w:bookmarkEnd w:id="12"/>
    </w:p>
  </w:footnote>
  <w:footnote w:id="21">
    <w:p w:rsidR="00C84A9A" w:rsidRDefault="00C84A9A" w:rsidP="00857F7A">
      <w:pPr>
        <w:pStyle w:val="a3"/>
      </w:pPr>
      <w:r>
        <w:rPr>
          <w:rStyle w:val="a5"/>
        </w:rPr>
        <w:footnoteRef/>
      </w:r>
      <w:r>
        <w:rPr>
          <w:rtl/>
        </w:rPr>
        <w:t xml:space="preserve"> </w:t>
      </w:r>
      <w:r w:rsidR="00857F7A">
        <w:rPr>
          <w:rFonts w:hint="cs"/>
          <w:rtl/>
        </w:rPr>
        <w:t>שם,</w:t>
      </w:r>
      <w:proofErr w:type="spellStart"/>
      <w:r w:rsidR="00857F7A">
        <w:rPr>
          <w:rFonts w:hint="cs"/>
          <w:rtl/>
        </w:rPr>
        <w:t>בעמ</w:t>
      </w:r>
      <w:proofErr w:type="spellEnd"/>
      <w:r w:rsidR="00857F7A">
        <w:rPr>
          <w:rFonts w:hint="cs"/>
          <w:rtl/>
        </w:rPr>
        <w:t>' 244.</w:t>
      </w:r>
    </w:p>
  </w:footnote>
  <w:footnote w:id="22">
    <w:p w:rsidR="00C84A9A" w:rsidRDefault="00C84A9A" w:rsidP="00CC5FF7">
      <w:pPr>
        <w:pStyle w:val="a3"/>
        <w:rPr>
          <w:rtl/>
        </w:rPr>
      </w:pPr>
      <w:r w:rsidRPr="00FB7152">
        <w:rPr>
          <w:rStyle w:val="a5"/>
        </w:rPr>
        <w:footnoteRef/>
      </w:r>
      <w:r w:rsidR="0006658D" w:rsidRPr="00FB7152">
        <w:rPr>
          <w:rFonts w:hint="cs"/>
          <w:rtl/>
        </w:rPr>
        <w:t xml:space="preserve">פרשת </w:t>
      </w:r>
      <w:proofErr w:type="spellStart"/>
      <w:r w:rsidR="0006658D" w:rsidRPr="00217367">
        <w:rPr>
          <w:rFonts w:hint="cs"/>
          <w:b/>
          <w:bCs/>
          <w:rtl/>
        </w:rPr>
        <w:t>סויסה</w:t>
      </w:r>
      <w:proofErr w:type="spellEnd"/>
      <w:r w:rsidR="0006658D" w:rsidRPr="00FB7152">
        <w:rPr>
          <w:rFonts w:hint="cs"/>
          <w:rtl/>
        </w:rPr>
        <w:t xml:space="preserve">,לעיל </w:t>
      </w:r>
      <w:proofErr w:type="spellStart"/>
      <w:r w:rsidR="0006658D" w:rsidRPr="00FB7152">
        <w:rPr>
          <w:rFonts w:hint="cs"/>
          <w:rtl/>
        </w:rPr>
        <w:t>ה"ש</w:t>
      </w:r>
      <w:proofErr w:type="spellEnd"/>
      <w:r w:rsidR="0006658D" w:rsidRPr="00FB7152">
        <w:rPr>
          <w:rFonts w:hint="cs"/>
          <w:rtl/>
        </w:rPr>
        <w:t xml:space="preserve"> 2,</w:t>
      </w:r>
      <w:r w:rsidR="00033C71">
        <w:rPr>
          <w:rFonts w:hint="cs"/>
          <w:rtl/>
        </w:rPr>
        <w:t>ב</w:t>
      </w:r>
      <w:r w:rsidR="00CC5FF7">
        <w:rPr>
          <w:rFonts w:hint="cs"/>
          <w:rtl/>
        </w:rPr>
        <w:t>פסקה</w:t>
      </w:r>
      <w:r w:rsidR="00A14795">
        <w:rPr>
          <w:rFonts w:hint="cs"/>
          <w:rtl/>
        </w:rPr>
        <w:t xml:space="preserve"> 3 </w:t>
      </w:r>
      <w:r w:rsidR="0087360D">
        <w:rPr>
          <w:rFonts w:hint="cs"/>
          <w:rtl/>
        </w:rPr>
        <w:t xml:space="preserve">לדברי </w:t>
      </w:r>
      <w:proofErr w:type="spellStart"/>
      <w:r w:rsidR="0087360D">
        <w:rPr>
          <w:rFonts w:hint="cs"/>
          <w:rtl/>
        </w:rPr>
        <w:t>השו</w:t>
      </w:r>
      <w:proofErr w:type="spellEnd"/>
      <w:r w:rsidR="0087360D">
        <w:rPr>
          <w:rFonts w:hint="cs"/>
          <w:rtl/>
        </w:rPr>
        <w:t>' חיות.</w:t>
      </w:r>
    </w:p>
  </w:footnote>
  <w:footnote w:id="23">
    <w:p w:rsidR="0071067B" w:rsidRDefault="0071067B">
      <w:pPr>
        <w:pStyle w:val="a3"/>
        <w:rPr>
          <w:rtl/>
        </w:rPr>
      </w:pPr>
      <w:r>
        <w:rPr>
          <w:rStyle w:val="a5"/>
        </w:rPr>
        <w:footnoteRef/>
      </w:r>
      <w:r>
        <w:rPr>
          <w:rtl/>
        </w:rPr>
        <w:t xml:space="preserve"> </w:t>
      </w:r>
      <w:r w:rsidR="00235AD8">
        <w:rPr>
          <w:rFonts w:hint="cs"/>
          <w:rtl/>
        </w:rPr>
        <w:t>ס' 16 לחוק המכר,</w:t>
      </w:r>
      <w:proofErr w:type="spellStart"/>
      <w:r w:rsidR="007477CB">
        <w:rPr>
          <w:rFonts w:hint="cs"/>
          <w:rtl/>
        </w:rPr>
        <w:t>התשכ"ח</w:t>
      </w:r>
      <w:proofErr w:type="spellEnd"/>
      <w:r w:rsidR="007477CB">
        <w:rPr>
          <w:rFonts w:hint="cs"/>
          <w:rtl/>
        </w:rPr>
        <w:t>-1968.</w:t>
      </w:r>
    </w:p>
  </w:footnote>
  <w:footnote w:id="24">
    <w:p w:rsidR="0071067B" w:rsidRDefault="0071067B" w:rsidP="00BC7040">
      <w:pPr>
        <w:pStyle w:val="a3"/>
      </w:pPr>
      <w:r w:rsidRPr="00BC7040">
        <w:rPr>
          <w:rStyle w:val="a5"/>
        </w:rPr>
        <w:footnoteRef/>
      </w:r>
      <w:r w:rsidRPr="00BC7040">
        <w:rPr>
          <w:rtl/>
        </w:rPr>
        <w:t xml:space="preserve"> </w:t>
      </w:r>
      <w:r w:rsidRPr="00BC7040">
        <w:rPr>
          <w:rFonts w:hint="cs"/>
          <w:rtl/>
        </w:rPr>
        <w:t>ע"א 5393/0</w:t>
      </w:r>
      <w:r w:rsidR="00B46A67" w:rsidRPr="00BC7040">
        <w:rPr>
          <w:rFonts w:hint="cs"/>
          <w:rtl/>
        </w:rPr>
        <w:t>3</w:t>
      </w:r>
      <w:r w:rsidRPr="00BC7040">
        <w:rPr>
          <w:rFonts w:hint="cs"/>
          <w:rtl/>
        </w:rPr>
        <w:t xml:space="preserve"> </w:t>
      </w:r>
      <w:r w:rsidRPr="00BC7040">
        <w:rPr>
          <w:rFonts w:hint="cs"/>
          <w:b/>
          <w:bCs/>
          <w:rtl/>
        </w:rPr>
        <w:t>פרג' נ' מיטל</w:t>
      </w:r>
      <w:r w:rsidRPr="00BC7040">
        <w:rPr>
          <w:rFonts w:hint="cs"/>
          <w:rtl/>
        </w:rPr>
        <w:t xml:space="preserve">,פ"ד </w:t>
      </w:r>
      <w:proofErr w:type="spellStart"/>
      <w:r w:rsidRPr="00BC7040">
        <w:rPr>
          <w:rFonts w:hint="cs"/>
          <w:rtl/>
        </w:rPr>
        <w:t>נט</w:t>
      </w:r>
      <w:proofErr w:type="spellEnd"/>
      <w:r w:rsidRPr="00BC7040">
        <w:rPr>
          <w:rFonts w:hint="cs"/>
          <w:rtl/>
        </w:rPr>
        <w:t xml:space="preserve">(5)337, </w:t>
      </w:r>
      <w:r w:rsidR="00BC7040" w:rsidRPr="00BC7040">
        <w:rPr>
          <w:rFonts w:hint="cs"/>
          <w:rtl/>
        </w:rPr>
        <w:t>350</w:t>
      </w:r>
      <w:r w:rsidRPr="00BC7040">
        <w:rPr>
          <w:rFonts w:hint="cs"/>
          <w:rtl/>
        </w:rPr>
        <w:t>(2005).</w:t>
      </w:r>
    </w:p>
  </w:footnote>
  <w:footnote w:id="25">
    <w:p w:rsidR="0071067B" w:rsidRDefault="0071067B" w:rsidP="003143E5">
      <w:pPr>
        <w:pStyle w:val="a3"/>
      </w:pPr>
      <w:r w:rsidRPr="00287F46">
        <w:rPr>
          <w:rStyle w:val="a5"/>
        </w:rPr>
        <w:footnoteRef/>
      </w:r>
      <w:r w:rsidRPr="00287F46">
        <w:rPr>
          <w:rtl/>
        </w:rPr>
        <w:t xml:space="preserve"> </w:t>
      </w:r>
      <w:r w:rsidR="00492C21" w:rsidRPr="00287F46">
        <w:rPr>
          <w:rFonts w:hint="cs"/>
          <w:rtl/>
        </w:rPr>
        <w:t xml:space="preserve">פרשת </w:t>
      </w:r>
      <w:proofErr w:type="spellStart"/>
      <w:r w:rsidR="00492C21" w:rsidRPr="00217367">
        <w:rPr>
          <w:rFonts w:hint="cs"/>
          <w:b/>
          <w:bCs/>
          <w:rtl/>
        </w:rPr>
        <w:t>סויסה</w:t>
      </w:r>
      <w:proofErr w:type="spellEnd"/>
      <w:r w:rsidR="00492C21" w:rsidRPr="00287F46">
        <w:rPr>
          <w:rFonts w:hint="cs"/>
          <w:rtl/>
        </w:rPr>
        <w:t xml:space="preserve">,לעיל </w:t>
      </w:r>
      <w:proofErr w:type="spellStart"/>
      <w:r w:rsidR="00492C21" w:rsidRPr="00287F46">
        <w:rPr>
          <w:rFonts w:hint="cs"/>
          <w:rtl/>
        </w:rPr>
        <w:t>ה"ש</w:t>
      </w:r>
      <w:proofErr w:type="spellEnd"/>
      <w:r w:rsidR="00492C21" w:rsidRPr="00287F46">
        <w:rPr>
          <w:rFonts w:hint="cs"/>
          <w:rtl/>
        </w:rPr>
        <w:t xml:space="preserve"> 2,</w:t>
      </w:r>
      <w:r w:rsidR="007C63E0">
        <w:rPr>
          <w:rFonts w:hint="cs"/>
          <w:rtl/>
        </w:rPr>
        <w:t>ב</w:t>
      </w:r>
      <w:r w:rsidR="00F43C83">
        <w:rPr>
          <w:rFonts w:hint="cs"/>
          <w:rtl/>
        </w:rPr>
        <w:t>פסקה</w:t>
      </w:r>
      <w:r w:rsidR="007C63E0">
        <w:rPr>
          <w:rFonts w:hint="cs"/>
          <w:rtl/>
        </w:rPr>
        <w:t xml:space="preserve"> </w:t>
      </w:r>
      <w:r w:rsidR="003143E5">
        <w:rPr>
          <w:rFonts w:hint="cs"/>
          <w:rtl/>
        </w:rPr>
        <w:t xml:space="preserve">11 </w:t>
      </w:r>
      <w:r w:rsidR="007C63E0">
        <w:rPr>
          <w:rFonts w:hint="cs"/>
          <w:rtl/>
        </w:rPr>
        <w:t xml:space="preserve">לדברי </w:t>
      </w:r>
      <w:proofErr w:type="spellStart"/>
      <w:r w:rsidR="007C63E0">
        <w:rPr>
          <w:rFonts w:hint="cs"/>
          <w:rtl/>
        </w:rPr>
        <w:t>השו</w:t>
      </w:r>
      <w:proofErr w:type="spellEnd"/>
      <w:r w:rsidR="007C63E0">
        <w:rPr>
          <w:rFonts w:hint="cs"/>
          <w:rtl/>
        </w:rPr>
        <w:t>' חיות.</w:t>
      </w:r>
    </w:p>
  </w:footnote>
  <w:footnote w:id="26">
    <w:p w:rsidR="00836389" w:rsidRDefault="00836389" w:rsidP="00B14F1B">
      <w:pPr>
        <w:pStyle w:val="a3"/>
      </w:pPr>
      <w:r>
        <w:rPr>
          <w:rStyle w:val="a5"/>
        </w:rPr>
        <w:footnoteRef/>
      </w:r>
      <w:r>
        <w:rPr>
          <w:rtl/>
        </w:rPr>
        <w:t xml:space="preserve"> </w:t>
      </w:r>
      <w:r w:rsidR="008B4DB1">
        <w:rPr>
          <w:rFonts w:hint="cs"/>
          <w:rtl/>
        </w:rPr>
        <w:t>סעיף 18 לחוק החוזים</w:t>
      </w:r>
      <w:r w:rsidR="00B14F1B">
        <w:rPr>
          <w:rFonts w:hint="cs"/>
          <w:rtl/>
        </w:rPr>
        <w:t>.</w:t>
      </w:r>
    </w:p>
  </w:footnote>
  <w:footnote w:id="27">
    <w:p w:rsidR="00350864" w:rsidRDefault="00350864" w:rsidP="0061237F">
      <w:pPr>
        <w:pStyle w:val="a3"/>
      </w:pPr>
      <w:r w:rsidRPr="00CC5FF7">
        <w:rPr>
          <w:rStyle w:val="a5"/>
        </w:rPr>
        <w:footnoteRef/>
      </w:r>
      <w:r w:rsidRPr="00CC5FF7">
        <w:rPr>
          <w:rtl/>
        </w:rPr>
        <w:t xml:space="preserve"> </w:t>
      </w:r>
      <w:r w:rsidR="002F56EB" w:rsidRPr="00CC5FF7">
        <w:rPr>
          <w:rFonts w:hint="cs"/>
          <w:rtl/>
        </w:rPr>
        <w:t xml:space="preserve">ע"א 2041/05 </w:t>
      </w:r>
      <w:proofErr w:type="spellStart"/>
      <w:r w:rsidR="002F56EB" w:rsidRPr="00CC5FF7">
        <w:rPr>
          <w:rFonts w:hint="cs"/>
          <w:b/>
          <w:bCs/>
          <w:rtl/>
        </w:rPr>
        <w:t>מחקשווילי</w:t>
      </w:r>
      <w:proofErr w:type="spellEnd"/>
      <w:r w:rsidR="002F56EB" w:rsidRPr="00CC5FF7">
        <w:rPr>
          <w:rFonts w:hint="cs"/>
          <w:b/>
          <w:bCs/>
          <w:rtl/>
        </w:rPr>
        <w:t xml:space="preserve"> נ' </w:t>
      </w:r>
      <w:proofErr w:type="spellStart"/>
      <w:r w:rsidR="002F56EB" w:rsidRPr="00CC5FF7">
        <w:rPr>
          <w:rFonts w:hint="cs"/>
          <w:b/>
          <w:bCs/>
          <w:rtl/>
        </w:rPr>
        <w:t>מיכקשווילי</w:t>
      </w:r>
      <w:proofErr w:type="spellEnd"/>
      <w:r w:rsidR="00D42E79">
        <w:rPr>
          <w:rFonts w:hint="cs"/>
          <w:rtl/>
        </w:rPr>
        <w:t>,</w:t>
      </w:r>
      <w:r w:rsidR="00F43C83">
        <w:rPr>
          <w:rFonts w:hint="cs"/>
          <w:rtl/>
        </w:rPr>
        <w:t>ב</w:t>
      </w:r>
      <w:r w:rsidR="0061237F">
        <w:rPr>
          <w:rFonts w:hint="cs"/>
          <w:rtl/>
        </w:rPr>
        <w:t>פסקה</w:t>
      </w:r>
      <w:r w:rsidR="00DF09FF">
        <w:rPr>
          <w:rFonts w:hint="cs"/>
          <w:rtl/>
        </w:rPr>
        <w:t xml:space="preserve"> 12 לדברי </w:t>
      </w:r>
      <w:proofErr w:type="spellStart"/>
      <w:r w:rsidR="00DF09FF">
        <w:rPr>
          <w:rFonts w:hint="cs"/>
          <w:rtl/>
        </w:rPr>
        <w:t>השו</w:t>
      </w:r>
      <w:proofErr w:type="spellEnd"/>
      <w:r w:rsidR="00DF09FF">
        <w:rPr>
          <w:rFonts w:hint="cs"/>
          <w:rtl/>
        </w:rPr>
        <w:t xml:space="preserve">' </w:t>
      </w:r>
      <w:proofErr w:type="spellStart"/>
      <w:r w:rsidR="00DF09FF">
        <w:rPr>
          <w:rFonts w:hint="cs"/>
          <w:rtl/>
        </w:rPr>
        <w:t>ברלינר</w:t>
      </w:r>
      <w:proofErr w:type="spellEnd"/>
      <w:r w:rsidR="00DF09FF">
        <w:rPr>
          <w:rFonts w:hint="cs"/>
          <w:rtl/>
        </w:rPr>
        <w:t>(טרם פורסם,19.11.07).</w:t>
      </w:r>
    </w:p>
  </w:footnote>
  <w:footnote w:id="28">
    <w:p w:rsidR="00836389" w:rsidRDefault="00836389" w:rsidP="00AB248E">
      <w:pPr>
        <w:pStyle w:val="a3"/>
      </w:pPr>
      <w:r>
        <w:rPr>
          <w:rStyle w:val="a5"/>
        </w:rPr>
        <w:footnoteRef/>
      </w:r>
      <w:r>
        <w:rPr>
          <w:rtl/>
        </w:rPr>
        <w:t xml:space="preserve"> </w:t>
      </w:r>
      <w:r w:rsidR="00AB248E">
        <w:rPr>
          <w:rFonts w:hint="cs"/>
          <w:rtl/>
        </w:rPr>
        <w:t xml:space="preserve">שלו,לעיל </w:t>
      </w:r>
      <w:proofErr w:type="spellStart"/>
      <w:r w:rsidR="00AB248E">
        <w:rPr>
          <w:rFonts w:hint="cs"/>
          <w:rtl/>
        </w:rPr>
        <w:t>ה"ש</w:t>
      </w:r>
      <w:proofErr w:type="spellEnd"/>
      <w:r w:rsidR="00AB248E">
        <w:rPr>
          <w:rFonts w:hint="cs"/>
          <w:rtl/>
        </w:rPr>
        <w:t xml:space="preserve"> 7,</w:t>
      </w:r>
      <w:proofErr w:type="spellStart"/>
      <w:r w:rsidR="00AB248E">
        <w:rPr>
          <w:rFonts w:hint="cs"/>
          <w:rtl/>
        </w:rPr>
        <w:t>בעמ</w:t>
      </w:r>
      <w:proofErr w:type="spellEnd"/>
      <w:r w:rsidR="00AB248E">
        <w:rPr>
          <w:rFonts w:hint="cs"/>
          <w:rtl/>
        </w:rPr>
        <w:t>' 345.</w:t>
      </w:r>
    </w:p>
  </w:footnote>
  <w:footnote w:id="29">
    <w:p w:rsidR="00F2206F" w:rsidRDefault="00F2206F" w:rsidP="005D5299">
      <w:pPr>
        <w:pStyle w:val="a3"/>
      </w:pPr>
      <w:r>
        <w:rPr>
          <w:rStyle w:val="a5"/>
        </w:rPr>
        <w:footnoteRef/>
      </w:r>
      <w:r>
        <w:rPr>
          <w:rtl/>
        </w:rPr>
        <w:t xml:space="preserve"> </w:t>
      </w:r>
      <w:r w:rsidR="005D5299">
        <w:rPr>
          <w:rFonts w:hint="cs"/>
          <w:rtl/>
        </w:rPr>
        <w:t xml:space="preserve">ע"א </w:t>
      </w:r>
      <w:r w:rsidR="00F0135D">
        <w:rPr>
          <w:rFonts w:hint="cs"/>
          <w:rtl/>
        </w:rPr>
        <w:t xml:space="preserve">784/81 </w:t>
      </w:r>
      <w:r w:rsidR="00F0135D" w:rsidRPr="00F0135D">
        <w:rPr>
          <w:rFonts w:hint="cs"/>
          <w:b/>
          <w:bCs/>
          <w:rtl/>
        </w:rPr>
        <w:t>שפיר נ' אפל,</w:t>
      </w:r>
      <w:r w:rsidR="00F0135D">
        <w:rPr>
          <w:rFonts w:hint="cs"/>
          <w:rtl/>
        </w:rPr>
        <w:t xml:space="preserve">פ"ד </w:t>
      </w:r>
      <w:proofErr w:type="spellStart"/>
      <w:r w:rsidR="00F0135D">
        <w:rPr>
          <w:rFonts w:hint="cs"/>
          <w:rtl/>
        </w:rPr>
        <w:t>לט</w:t>
      </w:r>
      <w:proofErr w:type="spellEnd"/>
      <w:r w:rsidR="00F0135D">
        <w:rPr>
          <w:rFonts w:hint="cs"/>
          <w:rtl/>
        </w:rPr>
        <w:t>(4)149</w:t>
      </w:r>
      <w:r w:rsidR="00366F1A">
        <w:rPr>
          <w:rFonts w:hint="cs"/>
          <w:rtl/>
        </w:rPr>
        <w:t>, 156-157 (1985).</w:t>
      </w:r>
    </w:p>
  </w:footnote>
  <w:footnote w:id="30">
    <w:p w:rsidR="00F2206F" w:rsidRDefault="00F2206F" w:rsidP="00C0322F">
      <w:pPr>
        <w:pStyle w:val="a3"/>
      </w:pPr>
      <w:r w:rsidRPr="00C0322F">
        <w:rPr>
          <w:rStyle w:val="a5"/>
        </w:rPr>
        <w:footnoteRef/>
      </w:r>
      <w:r w:rsidRPr="00C0322F">
        <w:rPr>
          <w:rtl/>
        </w:rPr>
        <w:t xml:space="preserve"> </w:t>
      </w:r>
      <w:bookmarkStart w:id="13" w:name="OLE_LINK20"/>
      <w:bookmarkStart w:id="14" w:name="OLE_LINK21"/>
      <w:r w:rsidR="00A6377C" w:rsidRPr="00C0322F">
        <w:rPr>
          <w:rFonts w:hint="cs"/>
          <w:rtl/>
        </w:rPr>
        <w:t xml:space="preserve">ע"א 719/78 </w:t>
      </w:r>
      <w:proofErr w:type="spellStart"/>
      <w:r w:rsidR="00A6377C" w:rsidRPr="00C0322F">
        <w:rPr>
          <w:rFonts w:hint="cs"/>
          <w:b/>
          <w:bCs/>
          <w:rtl/>
        </w:rPr>
        <w:t>איליט</w:t>
      </w:r>
      <w:proofErr w:type="spellEnd"/>
      <w:r w:rsidR="00A6377C" w:rsidRPr="00C0322F">
        <w:rPr>
          <w:rFonts w:hint="cs"/>
          <w:b/>
          <w:bCs/>
          <w:rtl/>
        </w:rPr>
        <w:t xml:space="preserve"> נ</w:t>
      </w:r>
      <w:r w:rsidR="00A062ED" w:rsidRPr="00C0322F">
        <w:rPr>
          <w:rFonts w:hint="cs"/>
          <w:b/>
          <w:bCs/>
          <w:rtl/>
        </w:rPr>
        <w:t xml:space="preserve"> </w:t>
      </w:r>
      <w:r w:rsidR="00A6377C" w:rsidRPr="00C0322F">
        <w:rPr>
          <w:rFonts w:hint="cs"/>
          <w:b/>
          <w:bCs/>
          <w:rtl/>
        </w:rPr>
        <w:t>'אלקו</w:t>
      </w:r>
      <w:r w:rsidR="00A6377C" w:rsidRPr="00C0322F">
        <w:rPr>
          <w:rFonts w:hint="cs"/>
          <w:rtl/>
        </w:rPr>
        <w:t xml:space="preserve">,פ"ד לד(4)673, </w:t>
      </w:r>
      <w:r w:rsidR="00C0322F" w:rsidRPr="00C0322F">
        <w:rPr>
          <w:rFonts w:hint="cs"/>
          <w:rtl/>
        </w:rPr>
        <w:t>685</w:t>
      </w:r>
      <w:r w:rsidR="00A6377C" w:rsidRPr="00C0322F">
        <w:rPr>
          <w:rFonts w:hint="cs"/>
          <w:rtl/>
        </w:rPr>
        <w:t>(1980).</w:t>
      </w:r>
      <w:bookmarkEnd w:id="13"/>
      <w:bookmarkEnd w:id="14"/>
      <w:r w:rsidR="00CD2B82" w:rsidRPr="00C0322F">
        <w:rPr>
          <w:rFonts w:hint="cs"/>
          <w:rtl/>
        </w:rPr>
        <w:t>(להלן:פרשת אליט).</w:t>
      </w:r>
    </w:p>
  </w:footnote>
  <w:footnote w:id="31">
    <w:p w:rsidR="00F2206F" w:rsidRDefault="00F2206F">
      <w:pPr>
        <w:pStyle w:val="a3"/>
      </w:pPr>
      <w:r>
        <w:rPr>
          <w:rStyle w:val="a5"/>
        </w:rPr>
        <w:footnoteRef/>
      </w:r>
      <w:r>
        <w:rPr>
          <w:rtl/>
        </w:rPr>
        <w:t xml:space="preserve"> </w:t>
      </w:r>
      <w:r w:rsidR="00070BDD">
        <w:rPr>
          <w:rFonts w:hint="cs"/>
          <w:rtl/>
        </w:rPr>
        <w:t xml:space="preserve">ע"א 403/80 </w:t>
      </w:r>
      <w:proofErr w:type="spellStart"/>
      <w:r w:rsidR="00070BDD" w:rsidRPr="00A062ED">
        <w:rPr>
          <w:rFonts w:hint="cs"/>
          <w:b/>
          <w:bCs/>
          <w:rtl/>
        </w:rPr>
        <w:t>סאסי</w:t>
      </w:r>
      <w:proofErr w:type="spellEnd"/>
      <w:r w:rsidR="00070BDD" w:rsidRPr="00A062ED">
        <w:rPr>
          <w:rFonts w:hint="cs"/>
          <w:b/>
          <w:bCs/>
          <w:rtl/>
        </w:rPr>
        <w:t xml:space="preserve"> נ' </w:t>
      </w:r>
      <w:proofErr w:type="spellStart"/>
      <w:r w:rsidR="00070BDD" w:rsidRPr="00A062ED">
        <w:rPr>
          <w:rFonts w:hint="cs"/>
          <w:b/>
          <w:bCs/>
          <w:rtl/>
        </w:rPr>
        <w:t>קיקאון</w:t>
      </w:r>
      <w:proofErr w:type="spellEnd"/>
      <w:r w:rsidR="00070BDD">
        <w:rPr>
          <w:rFonts w:hint="cs"/>
          <w:rtl/>
        </w:rPr>
        <w:t>,לו (1)762, 770(1981).</w:t>
      </w:r>
    </w:p>
  </w:footnote>
  <w:footnote w:id="32">
    <w:p w:rsidR="00CD3360" w:rsidRPr="00052545" w:rsidRDefault="00CD3360" w:rsidP="009C74EF">
      <w:pPr>
        <w:pStyle w:val="a3"/>
      </w:pPr>
      <w:r>
        <w:rPr>
          <w:rStyle w:val="a5"/>
        </w:rPr>
        <w:footnoteRef/>
      </w:r>
      <w:r>
        <w:rPr>
          <w:rtl/>
        </w:rPr>
        <w:t xml:space="preserve"> </w:t>
      </w:r>
      <w:r w:rsidR="009C74EF">
        <w:rPr>
          <w:rFonts w:hint="cs"/>
          <w:rtl/>
        </w:rPr>
        <w:t xml:space="preserve">שלו,לעיל </w:t>
      </w:r>
      <w:proofErr w:type="spellStart"/>
      <w:r w:rsidR="009C74EF">
        <w:rPr>
          <w:rFonts w:hint="cs"/>
          <w:rtl/>
        </w:rPr>
        <w:t>ה"ש</w:t>
      </w:r>
      <w:proofErr w:type="spellEnd"/>
      <w:r w:rsidR="009C74EF">
        <w:rPr>
          <w:rFonts w:hint="cs"/>
          <w:rtl/>
        </w:rPr>
        <w:t xml:space="preserve"> 7,</w:t>
      </w:r>
      <w:proofErr w:type="spellStart"/>
      <w:r w:rsidR="009C74EF">
        <w:rPr>
          <w:rFonts w:hint="cs"/>
          <w:rtl/>
        </w:rPr>
        <w:t>בעמ</w:t>
      </w:r>
      <w:proofErr w:type="spellEnd"/>
      <w:r w:rsidR="009C74EF">
        <w:rPr>
          <w:rFonts w:hint="cs"/>
          <w:rtl/>
        </w:rPr>
        <w:t>' 347.</w:t>
      </w:r>
    </w:p>
  </w:footnote>
  <w:footnote w:id="33">
    <w:p w:rsidR="00C270B0" w:rsidRDefault="00C270B0">
      <w:pPr>
        <w:pStyle w:val="a3"/>
      </w:pPr>
      <w:r>
        <w:rPr>
          <w:rStyle w:val="a5"/>
        </w:rPr>
        <w:footnoteRef/>
      </w:r>
      <w:r>
        <w:rPr>
          <w:rtl/>
        </w:rPr>
        <w:t xml:space="preserve"> </w:t>
      </w:r>
      <w:r w:rsidR="00A062ED">
        <w:rPr>
          <w:rFonts w:hint="cs"/>
          <w:rtl/>
        </w:rPr>
        <w:t>שם</w:t>
      </w:r>
      <w:r w:rsidR="00052545">
        <w:rPr>
          <w:rFonts w:hint="cs"/>
          <w:rtl/>
        </w:rPr>
        <w:t>.</w:t>
      </w:r>
    </w:p>
  </w:footnote>
  <w:footnote w:id="34">
    <w:p w:rsidR="00D3430F" w:rsidRDefault="006D3D70" w:rsidP="0075259D">
      <w:pPr>
        <w:pStyle w:val="a3"/>
      </w:pPr>
      <w:r>
        <w:rPr>
          <w:rStyle w:val="a5"/>
        </w:rPr>
        <w:footnoteRef/>
      </w:r>
      <w:r>
        <w:rPr>
          <w:rtl/>
        </w:rPr>
        <w:t xml:space="preserve"> </w:t>
      </w:r>
      <w:r w:rsidR="0075259D">
        <w:rPr>
          <w:rFonts w:hint="cs"/>
          <w:rtl/>
        </w:rPr>
        <w:t xml:space="preserve">פרשת </w:t>
      </w:r>
      <w:r w:rsidR="0075259D" w:rsidRPr="00710D5F">
        <w:rPr>
          <w:rFonts w:hint="cs"/>
          <w:b/>
          <w:bCs/>
          <w:rtl/>
        </w:rPr>
        <w:t>אליט</w:t>
      </w:r>
      <w:r w:rsidR="0075259D">
        <w:rPr>
          <w:rFonts w:hint="cs"/>
          <w:rtl/>
        </w:rPr>
        <w:t xml:space="preserve">,לעיל </w:t>
      </w:r>
      <w:proofErr w:type="spellStart"/>
      <w:r w:rsidR="0075259D">
        <w:rPr>
          <w:rFonts w:hint="cs"/>
          <w:rtl/>
        </w:rPr>
        <w:t>ה"ש30</w:t>
      </w:r>
      <w:proofErr w:type="spellEnd"/>
      <w:r w:rsidR="0075259D">
        <w:rPr>
          <w:rFonts w:hint="cs"/>
          <w:rtl/>
        </w:rPr>
        <w:t>,</w:t>
      </w:r>
      <w:proofErr w:type="spellStart"/>
      <w:r w:rsidR="0075259D">
        <w:rPr>
          <w:rFonts w:hint="cs"/>
          <w:rtl/>
        </w:rPr>
        <w:t>בעמ</w:t>
      </w:r>
      <w:proofErr w:type="spellEnd"/>
      <w:r w:rsidR="0075259D">
        <w:rPr>
          <w:rFonts w:hint="cs"/>
          <w:rtl/>
        </w:rPr>
        <w:t>' 681.</w:t>
      </w:r>
    </w:p>
  </w:footnote>
  <w:footnote w:id="35">
    <w:p w:rsidR="00160E8E" w:rsidRDefault="00160E8E" w:rsidP="0075259D">
      <w:pPr>
        <w:pStyle w:val="a3"/>
      </w:pPr>
      <w:r>
        <w:rPr>
          <w:rStyle w:val="a5"/>
        </w:rPr>
        <w:footnoteRef/>
      </w:r>
      <w:r>
        <w:rPr>
          <w:rtl/>
        </w:rPr>
        <w:t xml:space="preserve"> </w:t>
      </w:r>
      <w:r w:rsidR="0075259D">
        <w:rPr>
          <w:rFonts w:hint="cs"/>
          <w:rtl/>
        </w:rPr>
        <w:t xml:space="preserve">שלו,לעיל </w:t>
      </w:r>
      <w:proofErr w:type="spellStart"/>
      <w:r w:rsidR="0075259D">
        <w:rPr>
          <w:rFonts w:hint="cs"/>
          <w:rtl/>
        </w:rPr>
        <w:t>ה"ש</w:t>
      </w:r>
      <w:proofErr w:type="spellEnd"/>
      <w:r w:rsidR="0075259D">
        <w:rPr>
          <w:rFonts w:hint="cs"/>
          <w:rtl/>
        </w:rPr>
        <w:t xml:space="preserve"> 7,</w:t>
      </w:r>
      <w:proofErr w:type="spellStart"/>
      <w:r w:rsidR="0075259D">
        <w:rPr>
          <w:rFonts w:hint="cs"/>
          <w:rtl/>
        </w:rPr>
        <w:t>בעמ</w:t>
      </w:r>
      <w:proofErr w:type="spellEnd"/>
      <w:r w:rsidR="0075259D">
        <w:rPr>
          <w:rFonts w:hint="cs"/>
          <w:rtl/>
        </w:rPr>
        <w:t>' 112.</w:t>
      </w:r>
    </w:p>
  </w:footnote>
  <w:footnote w:id="36">
    <w:p w:rsidR="00160E8E" w:rsidRDefault="00160E8E" w:rsidP="001736E1">
      <w:pPr>
        <w:pStyle w:val="a3"/>
        <w:rPr>
          <w:rtl/>
        </w:rPr>
      </w:pP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pos w:val="beneathText"/>
    <w:footnote w:id="-1"/>
    <w:footnote w:id="0"/>
  </w:footnotePr>
  <w:endnotePr>
    <w:endnote w:id="-1"/>
    <w:endnote w:id="0"/>
  </w:endnotePr>
  <w:compat/>
  <w:rsids>
    <w:rsidRoot w:val="00E613F7"/>
    <w:rsid w:val="00006AC3"/>
    <w:rsid w:val="0001518D"/>
    <w:rsid w:val="0002080E"/>
    <w:rsid w:val="00021254"/>
    <w:rsid w:val="00024CE1"/>
    <w:rsid w:val="00026300"/>
    <w:rsid w:val="00026FAB"/>
    <w:rsid w:val="00033163"/>
    <w:rsid w:val="00033C71"/>
    <w:rsid w:val="00037DA5"/>
    <w:rsid w:val="00044A0D"/>
    <w:rsid w:val="00046794"/>
    <w:rsid w:val="000472FE"/>
    <w:rsid w:val="00050E92"/>
    <w:rsid w:val="00052169"/>
    <w:rsid w:val="00052545"/>
    <w:rsid w:val="000546B8"/>
    <w:rsid w:val="0005546A"/>
    <w:rsid w:val="000628C9"/>
    <w:rsid w:val="000636A8"/>
    <w:rsid w:val="0006658D"/>
    <w:rsid w:val="00066C8F"/>
    <w:rsid w:val="0006723B"/>
    <w:rsid w:val="00070BDD"/>
    <w:rsid w:val="00072F89"/>
    <w:rsid w:val="000733CC"/>
    <w:rsid w:val="00075CF9"/>
    <w:rsid w:val="00076545"/>
    <w:rsid w:val="00082383"/>
    <w:rsid w:val="000838D7"/>
    <w:rsid w:val="000841BF"/>
    <w:rsid w:val="00084FB5"/>
    <w:rsid w:val="000877F3"/>
    <w:rsid w:val="00097B6D"/>
    <w:rsid w:val="000A084D"/>
    <w:rsid w:val="000A0D14"/>
    <w:rsid w:val="000B5084"/>
    <w:rsid w:val="000B5955"/>
    <w:rsid w:val="000B6787"/>
    <w:rsid w:val="000B6893"/>
    <w:rsid w:val="000B7823"/>
    <w:rsid w:val="000C1F51"/>
    <w:rsid w:val="000C389B"/>
    <w:rsid w:val="000C4078"/>
    <w:rsid w:val="000C6CBF"/>
    <w:rsid w:val="000D1E9D"/>
    <w:rsid w:val="000D5000"/>
    <w:rsid w:val="000D5034"/>
    <w:rsid w:val="000E16D1"/>
    <w:rsid w:val="000E3806"/>
    <w:rsid w:val="000E4142"/>
    <w:rsid w:val="000E5163"/>
    <w:rsid w:val="000F1164"/>
    <w:rsid w:val="000F276E"/>
    <w:rsid w:val="000F3E91"/>
    <w:rsid w:val="000F516F"/>
    <w:rsid w:val="000F55FA"/>
    <w:rsid w:val="000F5B2A"/>
    <w:rsid w:val="00102184"/>
    <w:rsid w:val="00102813"/>
    <w:rsid w:val="00104B43"/>
    <w:rsid w:val="001068CE"/>
    <w:rsid w:val="00111B79"/>
    <w:rsid w:val="00112262"/>
    <w:rsid w:val="00113A5F"/>
    <w:rsid w:val="00113DA5"/>
    <w:rsid w:val="00117DE2"/>
    <w:rsid w:val="0013233B"/>
    <w:rsid w:val="001339BE"/>
    <w:rsid w:val="00133BD0"/>
    <w:rsid w:val="001421C5"/>
    <w:rsid w:val="001449A6"/>
    <w:rsid w:val="0015495E"/>
    <w:rsid w:val="00160668"/>
    <w:rsid w:val="00160B83"/>
    <w:rsid w:val="00160E8E"/>
    <w:rsid w:val="00166060"/>
    <w:rsid w:val="00167B30"/>
    <w:rsid w:val="001729EC"/>
    <w:rsid w:val="001736E1"/>
    <w:rsid w:val="00173E38"/>
    <w:rsid w:val="0017554C"/>
    <w:rsid w:val="00181BDD"/>
    <w:rsid w:val="00184E17"/>
    <w:rsid w:val="00192579"/>
    <w:rsid w:val="00192B2D"/>
    <w:rsid w:val="00192BC8"/>
    <w:rsid w:val="00194154"/>
    <w:rsid w:val="00196388"/>
    <w:rsid w:val="00196A6A"/>
    <w:rsid w:val="001A1175"/>
    <w:rsid w:val="001A27E1"/>
    <w:rsid w:val="001A28ED"/>
    <w:rsid w:val="001A320C"/>
    <w:rsid w:val="001B4E17"/>
    <w:rsid w:val="001B7E47"/>
    <w:rsid w:val="001C2EED"/>
    <w:rsid w:val="001C4127"/>
    <w:rsid w:val="001C4993"/>
    <w:rsid w:val="001C501E"/>
    <w:rsid w:val="001C7D21"/>
    <w:rsid w:val="001D28F3"/>
    <w:rsid w:val="001D4EA2"/>
    <w:rsid w:val="001D4EC2"/>
    <w:rsid w:val="001D5681"/>
    <w:rsid w:val="001E58BC"/>
    <w:rsid w:val="001F01F9"/>
    <w:rsid w:val="001F5935"/>
    <w:rsid w:val="00207858"/>
    <w:rsid w:val="00211B15"/>
    <w:rsid w:val="0021447E"/>
    <w:rsid w:val="00217367"/>
    <w:rsid w:val="002302C7"/>
    <w:rsid w:val="00231CB5"/>
    <w:rsid w:val="00233DA0"/>
    <w:rsid w:val="00235290"/>
    <w:rsid w:val="002355D1"/>
    <w:rsid w:val="00235AD8"/>
    <w:rsid w:val="0024145F"/>
    <w:rsid w:val="00245274"/>
    <w:rsid w:val="0024745F"/>
    <w:rsid w:val="00250C87"/>
    <w:rsid w:val="002604AC"/>
    <w:rsid w:val="0026122A"/>
    <w:rsid w:val="0026561C"/>
    <w:rsid w:val="00266E51"/>
    <w:rsid w:val="00267204"/>
    <w:rsid w:val="0027262A"/>
    <w:rsid w:val="002742B3"/>
    <w:rsid w:val="0027459D"/>
    <w:rsid w:val="00276A7A"/>
    <w:rsid w:val="00282214"/>
    <w:rsid w:val="0028230B"/>
    <w:rsid w:val="00287F46"/>
    <w:rsid w:val="002937F8"/>
    <w:rsid w:val="002A459F"/>
    <w:rsid w:val="002A5418"/>
    <w:rsid w:val="002B0481"/>
    <w:rsid w:val="002B1835"/>
    <w:rsid w:val="002B7811"/>
    <w:rsid w:val="002B7E46"/>
    <w:rsid w:val="002C047B"/>
    <w:rsid w:val="002C2BD3"/>
    <w:rsid w:val="002C5679"/>
    <w:rsid w:val="002D0138"/>
    <w:rsid w:val="002E0DFD"/>
    <w:rsid w:val="002E50B6"/>
    <w:rsid w:val="002E60F2"/>
    <w:rsid w:val="002F198E"/>
    <w:rsid w:val="002F1AC4"/>
    <w:rsid w:val="002F34B2"/>
    <w:rsid w:val="002F3E16"/>
    <w:rsid w:val="002F445B"/>
    <w:rsid w:val="002F56EB"/>
    <w:rsid w:val="002F7EB9"/>
    <w:rsid w:val="00302F4F"/>
    <w:rsid w:val="00305E78"/>
    <w:rsid w:val="003143E5"/>
    <w:rsid w:val="00314686"/>
    <w:rsid w:val="00314F26"/>
    <w:rsid w:val="00314F53"/>
    <w:rsid w:val="00324367"/>
    <w:rsid w:val="003262F8"/>
    <w:rsid w:val="00332442"/>
    <w:rsid w:val="00347DDF"/>
    <w:rsid w:val="00350864"/>
    <w:rsid w:val="00354AB8"/>
    <w:rsid w:val="00354F79"/>
    <w:rsid w:val="0036015D"/>
    <w:rsid w:val="00362016"/>
    <w:rsid w:val="00362A70"/>
    <w:rsid w:val="00366F1A"/>
    <w:rsid w:val="00367B57"/>
    <w:rsid w:val="003735D6"/>
    <w:rsid w:val="00374E6C"/>
    <w:rsid w:val="00377FF6"/>
    <w:rsid w:val="00384EAF"/>
    <w:rsid w:val="003866B5"/>
    <w:rsid w:val="00386896"/>
    <w:rsid w:val="00390D97"/>
    <w:rsid w:val="00393CED"/>
    <w:rsid w:val="00393D3A"/>
    <w:rsid w:val="00393E09"/>
    <w:rsid w:val="00394049"/>
    <w:rsid w:val="0039783B"/>
    <w:rsid w:val="003A3684"/>
    <w:rsid w:val="003A3D75"/>
    <w:rsid w:val="003A723C"/>
    <w:rsid w:val="003A7804"/>
    <w:rsid w:val="003B2820"/>
    <w:rsid w:val="003B601B"/>
    <w:rsid w:val="003B70CF"/>
    <w:rsid w:val="003C39D8"/>
    <w:rsid w:val="003D23C8"/>
    <w:rsid w:val="003D4031"/>
    <w:rsid w:val="003D43E1"/>
    <w:rsid w:val="003D5BAF"/>
    <w:rsid w:val="003D639F"/>
    <w:rsid w:val="003D7045"/>
    <w:rsid w:val="003E41BB"/>
    <w:rsid w:val="003E7F06"/>
    <w:rsid w:val="003F5532"/>
    <w:rsid w:val="003F7327"/>
    <w:rsid w:val="003F7BB1"/>
    <w:rsid w:val="00401982"/>
    <w:rsid w:val="00402924"/>
    <w:rsid w:val="00402C5A"/>
    <w:rsid w:val="00402CE0"/>
    <w:rsid w:val="00411987"/>
    <w:rsid w:val="00411CFB"/>
    <w:rsid w:val="00413035"/>
    <w:rsid w:val="004136B3"/>
    <w:rsid w:val="0041649E"/>
    <w:rsid w:val="00417345"/>
    <w:rsid w:val="0042388D"/>
    <w:rsid w:val="004259D5"/>
    <w:rsid w:val="0043265E"/>
    <w:rsid w:val="00445B56"/>
    <w:rsid w:val="00446448"/>
    <w:rsid w:val="004479FD"/>
    <w:rsid w:val="00447C4D"/>
    <w:rsid w:val="00457A1B"/>
    <w:rsid w:val="00461DF0"/>
    <w:rsid w:val="004677F3"/>
    <w:rsid w:val="00470CE1"/>
    <w:rsid w:val="00475D44"/>
    <w:rsid w:val="00476E22"/>
    <w:rsid w:val="00481DC8"/>
    <w:rsid w:val="004846AF"/>
    <w:rsid w:val="00484776"/>
    <w:rsid w:val="00486796"/>
    <w:rsid w:val="00490752"/>
    <w:rsid w:val="00490CF6"/>
    <w:rsid w:val="0049190F"/>
    <w:rsid w:val="00492C21"/>
    <w:rsid w:val="00492C56"/>
    <w:rsid w:val="0049381F"/>
    <w:rsid w:val="00493C7C"/>
    <w:rsid w:val="00497BC3"/>
    <w:rsid w:val="004A3022"/>
    <w:rsid w:val="004A3101"/>
    <w:rsid w:val="004A6D81"/>
    <w:rsid w:val="004B5664"/>
    <w:rsid w:val="004B6389"/>
    <w:rsid w:val="004C1141"/>
    <w:rsid w:val="004C2E4A"/>
    <w:rsid w:val="004C38CC"/>
    <w:rsid w:val="004C3E15"/>
    <w:rsid w:val="004C3E36"/>
    <w:rsid w:val="004D177B"/>
    <w:rsid w:val="004D4DB2"/>
    <w:rsid w:val="004D58B5"/>
    <w:rsid w:val="004D5D90"/>
    <w:rsid w:val="004D6660"/>
    <w:rsid w:val="004E226D"/>
    <w:rsid w:val="004E2464"/>
    <w:rsid w:val="004E30E8"/>
    <w:rsid w:val="004E39D4"/>
    <w:rsid w:val="004E4D5C"/>
    <w:rsid w:val="004E5854"/>
    <w:rsid w:val="004F4680"/>
    <w:rsid w:val="004F5907"/>
    <w:rsid w:val="005035C1"/>
    <w:rsid w:val="00503FA9"/>
    <w:rsid w:val="0050484B"/>
    <w:rsid w:val="00506981"/>
    <w:rsid w:val="00507839"/>
    <w:rsid w:val="00507CB3"/>
    <w:rsid w:val="005114D0"/>
    <w:rsid w:val="00511916"/>
    <w:rsid w:val="00512873"/>
    <w:rsid w:val="005131F5"/>
    <w:rsid w:val="00514E8B"/>
    <w:rsid w:val="00521BCD"/>
    <w:rsid w:val="005226DD"/>
    <w:rsid w:val="0052737D"/>
    <w:rsid w:val="00527519"/>
    <w:rsid w:val="005375D3"/>
    <w:rsid w:val="00540958"/>
    <w:rsid w:val="005412B0"/>
    <w:rsid w:val="00542C72"/>
    <w:rsid w:val="00543036"/>
    <w:rsid w:val="00547981"/>
    <w:rsid w:val="0055142A"/>
    <w:rsid w:val="00553587"/>
    <w:rsid w:val="00553A45"/>
    <w:rsid w:val="00567200"/>
    <w:rsid w:val="00567EFB"/>
    <w:rsid w:val="0057273F"/>
    <w:rsid w:val="00572AD7"/>
    <w:rsid w:val="00572C78"/>
    <w:rsid w:val="0057754F"/>
    <w:rsid w:val="005850F7"/>
    <w:rsid w:val="00591F14"/>
    <w:rsid w:val="00594743"/>
    <w:rsid w:val="0059686A"/>
    <w:rsid w:val="005979F6"/>
    <w:rsid w:val="005A0817"/>
    <w:rsid w:val="005A24CA"/>
    <w:rsid w:val="005A2C61"/>
    <w:rsid w:val="005A485F"/>
    <w:rsid w:val="005B224B"/>
    <w:rsid w:val="005B3295"/>
    <w:rsid w:val="005B771E"/>
    <w:rsid w:val="005D4218"/>
    <w:rsid w:val="005D5299"/>
    <w:rsid w:val="005D6199"/>
    <w:rsid w:val="005F32A3"/>
    <w:rsid w:val="005F6DF0"/>
    <w:rsid w:val="005F6F81"/>
    <w:rsid w:val="006023EF"/>
    <w:rsid w:val="00604072"/>
    <w:rsid w:val="00605EF7"/>
    <w:rsid w:val="0060664E"/>
    <w:rsid w:val="00606D34"/>
    <w:rsid w:val="00611A2B"/>
    <w:rsid w:val="0061237F"/>
    <w:rsid w:val="006163EA"/>
    <w:rsid w:val="006168FD"/>
    <w:rsid w:val="00617D5E"/>
    <w:rsid w:val="00621B0F"/>
    <w:rsid w:val="00623566"/>
    <w:rsid w:val="00625D98"/>
    <w:rsid w:val="00627108"/>
    <w:rsid w:val="00631CBC"/>
    <w:rsid w:val="006355CA"/>
    <w:rsid w:val="00640AC0"/>
    <w:rsid w:val="0065012A"/>
    <w:rsid w:val="00652197"/>
    <w:rsid w:val="00653B9D"/>
    <w:rsid w:val="006549DF"/>
    <w:rsid w:val="00657BBC"/>
    <w:rsid w:val="006624EF"/>
    <w:rsid w:val="00665B1F"/>
    <w:rsid w:val="00665D65"/>
    <w:rsid w:val="00666C19"/>
    <w:rsid w:val="00674312"/>
    <w:rsid w:val="0067475B"/>
    <w:rsid w:val="00680626"/>
    <w:rsid w:val="0068176B"/>
    <w:rsid w:val="00683FCE"/>
    <w:rsid w:val="00686BC0"/>
    <w:rsid w:val="006909AD"/>
    <w:rsid w:val="0069201B"/>
    <w:rsid w:val="0069711F"/>
    <w:rsid w:val="006A3C77"/>
    <w:rsid w:val="006B130D"/>
    <w:rsid w:val="006B4A8B"/>
    <w:rsid w:val="006B60BE"/>
    <w:rsid w:val="006C00CF"/>
    <w:rsid w:val="006C6647"/>
    <w:rsid w:val="006D2EA5"/>
    <w:rsid w:val="006D3D70"/>
    <w:rsid w:val="006D6430"/>
    <w:rsid w:val="006E3DE0"/>
    <w:rsid w:val="006E546C"/>
    <w:rsid w:val="006F19D5"/>
    <w:rsid w:val="006F25F9"/>
    <w:rsid w:val="006F49F1"/>
    <w:rsid w:val="00701AC2"/>
    <w:rsid w:val="0070328B"/>
    <w:rsid w:val="0070391A"/>
    <w:rsid w:val="00703FEB"/>
    <w:rsid w:val="007041E8"/>
    <w:rsid w:val="007102FF"/>
    <w:rsid w:val="0071067B"/>
    <w:rsid w:val="00710BD4"/>
    <w:rsid w:val="00710D5F"/>
    <w:rsid w:val="0071115C"/>
    <w:rsid w:val="00716E41"/>
    <w:rsid w:val="007174AF"/>
    <w:rsid w:val="00722E28"/>
    <w:rsid w:val="00722F8F"/>
    <w:rsid w:val="0072713C"/>
    <w:rsid w:val="00727584"/>
    <w:rsid w:val="007344EF"/>
    <w:rsid w:val="007412F2"/>
    <w:rsid w:val="00742279"/>
    <w:rsid w:val="0074583F"/>
    <w:rsid w:val="00745A0C"/>
    <w:rsid w:val="007477CB"/>
    <w:rsid w:val="0075259D"/>
    <w:rsid w:val="0075355A"/>
    <w:rsid w:val="007542CD"/>
    <w:rsid w:val="0075560C"/>
    <w:rsid w:val="0075571D"/>
    <w:rsid w:val="00760D6F"/>
    <w:rsid w:val="00761552"/>
    <w:rsid w:val="00761735"/>
    <w:rsid w:val="007625A2"/>
    <w:rsid w:val="00763AC3"/>
    <w:rsid w:val="007651B9"/>
    <w:rsid w:val="007653DA"/>
    <w:rsid w:val="0076717E"/>
    <w:rsid w:val="0076734F"/>
    <w:rsid w:val="0077293F"/>
    <w:rsid w:val="00784D5D"/>
    <w:rsid w:val="00787661"/>
    <w:rsid w:val="00787CD4"/>
    <w:rsid w:val="00793980"/>
    <w:rsid w:val="00793BD6"/>
    <w:rsid w:val="00793DA4"/>
    <w:rsid w:val="00795995"/>
    <w:rsid w:val="007A0338"/>
    <w:rsid w:val="007A084A"/>
    <w:rsid w:val="007A20FA"/>
    <w:rsid w:val="007A3834"/>
    <w:rsid w:val="007A6FB9"/>
    <w:rsid w:val="007B3FBC"/>
    <w:rsid w:val="007B5423"/>
    <w:rsid w:val="007C5843"/>
    <w:rsid w:val="007C63E0"/>
    <w:rsid w:val="007C66F1"/>
    <w:rsid w:val="007D45D6"/>
    <w:rsid w:val="007E1BC3"/>
    <w:rsid w:val="007E5060"/>
    <w:rsid w:val="007E68D6"/>
    <w:rsid w:val="007F3189"/>
    <w:rsid w:val="007F3AE0"/>
    <w:rsid w:val="007F502E"/>
    <w:rsid w:val="007F5EAD"/>
    <w:rsid w:val="007F763D"/>
    <w:rsid w:val="007F7B0C"/>
    <w:rsid w:val="00801FE2"/>
    <w:rsid w:val="00806CBF"/>
    <w:rsid w:val="00810E0D"/>
    <w:rsid w:val="00813D3A"/>
    <w:rsid w:val="00820BF8"/>
    <w:rsid w:val="008214FF"/>
    <w:rsid w:val="008261C3"/>
    <w:rsid w:val="008268D8"/>
    <w:rsid w:val="00833636"/>
    <w:rsid w:val="008357F5"/>
    <w:rsid w:val="00835EE7"/>
    <w:rsid w:val="00836389"/>
    <w:rsid w:val="0084394E"/>
    <w:rsid w:val="00843CE9"/>
    <w:rsid w:val="00846029"/>
    <w:rsid w:val="0085162D"/>
    <w:rsid w:val="00856CA3"/>
    <w:rsid w:val="00857F7A"/>
    <w:rsid w:val="0086123A"/>
    <w:rsid w:val="00867057"/>
    <w:rsid w:val="00870C58"/>
    <w:rsid w:val="00871FB3"/>
    <w:rsid w:val="00873134"/>
    <w:rsid w:val="0087360D"/>
    <w:rsid w:val="008742AA"/>
    <w:rsid w:val="00877154"/>
    <w:rsid w:val="00877844"/>
    <w:rsid w:val="008816D1"/>
    <w:rsid w:val="00886357"/>
    <w:rsid w:val="00890485"/>
    <w:rsid w:val="00893AE9"/>
    <w:rsid w:val="008B4DB1"/>
    <w:rsid w:val="008B5481"/>
    <w:rsid w:val="008C2049"/>
    <w:rsid w:val="008C3470"/>
    <w:rsid w:val="008C34AA"/>
    <w:rsid w:val="008D2BB5"/>
    <w:rsid w:val="008D6DF4"/>
    <w:rsid w:val="008D7C69"/>
    <w:rsid w:val="008E034F"/>
    <w:rsid w:val="008E1474"/>
    <w:rsid w:val="008E2BDC"/>
    <w:rsid w:val="008E5AA6"/>
    <w:rsid w:val="008E5B38"/>
    <w:rsid w:val="008E60BD"/>
    <w:rsid w:val="008F08EC"/>
    <w:rsid w:val="008F13A7"/>
    <w:rsid w:val="008F3F02"/>
    <w:rsid w:val="008F53ED"/>
    <w:rsid w:val="008F5981"/>
    <w:rsid w:val="008F65BD"/>
    <w:rsid w:val="00900379"/>
    <w:rsid w:val="00901D90"/>
    <w:rsid w:val="00901E30"/>
    <w:rsid w:val="009020AD"/>
    <w:rsid w:val="00902429"/>
    <w:rsid w:val="0091539C"/>
    <w:rsid w:val="00916E91"/>
    <w:rsid w:val="0092357C"/>
    <w:rsid w:val="00926498"/>
    <w:rsid w:val="009325BB"/>
    <w:rsid w:val="00932D35"/>
    <w:rsid w:val="00935453"/>
    <w:rsid w:val="00940EAC"/>
    <w:rsid w:val="00942C4C"/>
    <w:rsid w:val="009507B7"/>
    <w:rsid w:val="0095343D"/>
    <w:rsid w:val="0095351F"/>
    <w:rsid w:val="0095485F"/>
    <w:rsid w:val="0095674F"/>
    <w:rsid w:val="00957B3A"/>
    <w:rsid w:val="00970558"/>
    <w:rsid w:val="00970BE2"/>
    <w:rsid w:val="00973624"/>
    <w:rsid w:val="00974C6F"/>
    <w:rsid w:val="0097709F"/>
    <w:rsid w:val="00980003"/>
    <w:rsid w:val="009856F4"/>
    <w:rsid w:val="009871DD"/>
    <w:rsid w:val="00992F90"/>
    <w:rsid w:val="00997D8A"/>
    <w:rsid w:val="009A364B"/>
    <w:rsid w:val="009A7B88"/>
    <w:rsid w:val="009A7E40"/>
    <w:rsid w:val="009B44BA"/>
    <w:rsid w:val="009B50D5"/>
    <w:rsid w:val="009C299E"/>
    <w:rsid w:val="009C2C76"/>
    <w:rsid w:val="009C37D5"/>
    <w:rsid w:val="009C395F"/>
    <w:rsid w:val="009C5A6C"/>
    <w:rsid w:val="009C74EF"/>
    <w:rsid w:val="009D6440"/>
    <w:rsid w:val="009D7D11"/>
    <w:rsid w:val="009E03B6"/>
    <w:rsid w:val="009E7BFC"/>
    <w:rsid w:val="009F0428"/>
    <w:rsid w:val="00A0263E"/>
    <w:rsid w:val="00A061CC"/>
    <w:rsid w:val="00A062ED"/>
    <w:rsid w:val="00A06308"/>
    <w:rsid w:val="00A0633E"/>
    <w:rsid w:val="00A104AE"/>
    <w:rsid w:val="00A14795"/>
    <w:rsid w:val="00A147EF"/>
    <w:rsid w:val="00A1715D"/>
    <w:rsid w:val="00A32327"/>
    <w:rsid w:val="00A4417E"/>
    <w:rsid w:val="00A51D86"/>
    <w:rsid w:val="00A539EA"/>
    <w:rsid w:val="00A57DB5"/>
    <w:rsid w:val="00A613AF"/>
    <w:rsid w:val="00A6377C"/>
    <w:rsid w:val="00A64420"/>
    <w:rsid w:val="00A64963"/>
    <w:rsid w:val="00A66B06"/>
    <w:rsid w:val="00A7245A"/>
    <w:rsid w:val="00A7285E"/>
    <w:rsid w:val="00A819BD"/>
    <w:rsid w:val="00A82490"/>
    <w:rsid w:val="00A83335"/>
    <w:rsid w:val="00A850DF"/>
    <w:rsid w:val="00A851CB"/>
    <w:rsid w:val="00A93F07"/>
    <w:rsid w:val="00A971A5"/>
    <w:rsid w:val="00AA147C"/>
    <w:rsid w:val="00AA16CD"/>
    <w:rsid w:val="00AB0E53"/>
    <w:rsid w:val="00AB228C"/>
    <w:rsid w:val="00AB248E"/>
    <w:rsid w:val="00AB4887"/>
    <w:rsid w:val="00AB65CD"/>
    <w:rsid w:val="00AC045A"/>
    <w:rsid w:val="00AC1023"/>
    <w:rsid w:val="00AC2E28"/>
    <w:rsid w:val="00AD25B8"/>
    <w:rsid w:val="00AD3A0A"/>
    <w:rsid w:val="00AD64CC"/>
    <w:rsid w:val="00AE130E"/>
    <w:rsid w:val="00AE4CF9"/>
    <w:rsid w:val="00AE5713"/>
    <w:rsid w:val="00AF1111"/>
    <w:rsid w:val="00AF124B"/>
    <w:rsid w:val="00AF4635"/>
    <w:rsid w:val="00AF5BF9"/>
    <w:rsid w:val="00AF6064"/>
    <w:rsid w:val="00B00867"/>
    <w:rsid w:val="00B07F44"/>
    <w:rsid w:val="00B10317"/>
    <w:rsid w:val="00B14C65"/>
    <w:rsid w:val="00B14F1B"/>
    <w:rsid w:val="00B1773C"/>
    <w:rsid w:val="00B203F9"/>
    <w:rsid w:val="00B23320"/>
    <w:rsid w:val="00B251DF"/>
    <w:rsid w:val="00B27291"/>
    <w:rsid w:val="00B27A05"/>
    <w:rsid w:val="00B301A7"/>
    <w:rsid w:val="00B375A6"/>
    <w:rsid w:val="00B4109C"/>
    <w:rsid w:val="00B414D9"/>
    <w:rsid w:val="00B42E00"/>
    <w:rsid w:val="00B43893"/>
    <w:rsid w:val="00B4570D"/>
    <w:rsid w:val="00B46A67"/>
    <w:rsid w:val="00B6039D"/>
    <w:rsid w:val="00B60F43"/>
    <w:rsid w:val="00B61777"/>
    <w:rsid w:val="00B64A7F"/>
    <w:rsid w:val="00B678B0"/>
    <w:rsid w:val="00B718B5"/>
    <w:rsid w:val="00B7381D"/>
    <w:rsid w:val="00B73E9E"/>
    <w:rsid w:val="00B7521D"/>
    <w:rsid w:val="00B77FEA"/>
    <w:rsid w:val="00B84B83"/>
    <w:rsid w:val="00B92CD2"/>
    <w:rsid w:val="00B9567E"/>
    <w:rsid w:val="00BA0413"/>
    <w:rsid w:val="00BA7008"/>
    <w:rsid w:val="00BB045D"/>
    <w:rsid w:val="00BB1D57"/>
    <w:rsid w:val="00BB2E7E"/>
    <w:rsid w:val="00BB3909"/>
    <w:rsid w:val="00BB7787"/>
    <w:rsid w:val="00BC0CA8"/>
    <w:rsid w:val="00BC7040"/>
    <w:rsid w:val="00BD1728"/>
    <w:rsid w:val="00BD52A8"/>
    <w:rsid w:val="00BE4948"/>
    <w:rsid w:val="00BE4963"/>
    <w:rsid w:val="00BF1FC9"/>
    <w:rsid w:val="00BF35E4"/>
    <w:rsid w:val="00BF4D31"/>
    <w:rsid w:val="00BF58BA"/>
    <w:rsid w:val="00C011AC"/>
    <w:rsid w:val="00C0322F"/>
    <w:rsid w:val="00C07CA3"/>
    <w:rsid w:val="00C130DC"/>
    <w:rsid w:val="00C133C2"/>
    <w:rsid w:val="00C1378A"/>
    <w:rsid w:val="00C13BB2"/>
    <w:rsid w:val="00C22BCB"/>
    <w:rsid w:val="00C24ACD"/>
    <w:rsid w:val="00C2573D"/>
    <w:rsid w:val="00C26477"/>
    <w:rsid w:val="00C26A59"/>
    <w:rsid w:val="00C270B0"/>
    <w:rsid w:val="00C274CD"/>
    <w:rsid w:val="00C34249"/>
    <w:rsid w:val="00C344AC"/>
    <w:rsid w:val="00C37FB9"/>
    <w:rsid w:val="00C40240"/>
    <w:rsid w:val="00C477F5"/>
    <w:rsid w:val="00C5277B"/>
    <w:rsid w:val="00C536BB"/>
    <w:rsid w:val="00C53C3C"/>
    <w:rsid w:val="00C5682F"/>
    <w:rsid w:val="00C60EF7"/>
    <w:rsid w:val="00C631E8"/>
    <w:rsid w:val="00C64742"/>
    <w:rsid w:val="00C67133"/>
    <w:rsid w:val="00C70479"/>
    <w:rsid w:val="00C709D9"/>
    <w:rsid w:val="00C730C4"/>
    <w:rsid w:val="00C7521C"/>
    <w:rsid w:val="00C7660E"/>
    <w:rsid w:val="00C8052D"/>
    <w:rsid w:val="00C80A3A"/>
    <w:rsid w:val="00C80F4B"/>
    <w:rsid w:val="00C821C4"/>
    <w:rsid w:val="00C84979"/>
    <w:rsid w:val="00C84A9A"/>
    <w:rsid w:val="00C9311B"/>
    <w:rsid w:val="00C940BE"/>
    <w:rsid w:val="00C94E8B"/>
    <w:rsid w:val="00C97353"/>
    <w:rsid w:val="00CA346E"/>
    <w:rsid w:val="00CA6168"/>
    <w:rsid w:val="00CB4323"/>
    <w:rsid w:val="00CB4AB5"/>
    <w:rsid w:val="00CB6233"/>
    <w:rsid w:val="00CB6A6B"/>
    <w:rsid w:val="00CC1061"/>
    <w:rsid w:val="00CC2864"/>
    <w:rsid w:val="00CC2906"/>
    <w:rsid w:val="00CC2ECE"/>
    <w:rsid w:val="00CC462E"/>
    <w:rsid w:val="00CC5A3A"/>
    <w:rsid w:val="00CC5FF7"/>
    <w:rsid w:val="00CC70DF"/>
    <w:rsid w:val="00CD2B82"/>
    <w:rsid w:val="00CD3360"/>
    <w:rsid w:val="00CD4249"/>
    <w:rsid w:val="00CE3CE7"/>
    <w:rsid w:val="00CE5A88"/>
    <w:rsid w:val="00CF0636"/>
    <w:rsid w:val="00CF2DF6"/>
    <w:rsid w:val="00CF31DA"/>
    <w:rsid w:val="00CF67EB"/>
    <w:rsid w:val="00D00A01"/>
    <w:rsid w:val="00D00AE0"/>
    <w:rsid w:val="00D0259C"/>
    <w:rsid w:val="00D07317"/>
    <w:rsid w:val="00D12DCE"/>
    <w:rsid w:val="00D14090"/>
    <w:rsid w:val="00D140B0"/>
    <w:rsid w:val="00D14DD8"/>
    <w:rsid w:val="00D1723C"/>
    <w:rsid w:val="00D213AC"/>
    <w:rsid w:val="00D251D2"/>
    <w:rsid w:val="00D319FC"/>
    <w:rsid w:val="00D32663"/>
    <w:rsid w:val="00D3430F"/>
    <w:rsid w:val="00D35476"/>
    <w:rsid w:val="00D36227"/>
    <w:rsid w:val="00D36D8A"/>
    <w:rsid w:val="00D42E79"/>
    <w:rsid w:val="00D42EDB"/>
    <w:rsid w:val="00D431A0"/>
    <w:rsid w:val="00D4400E"/>
    <w:rsid w:val="00D45AAA"/>
    <w:rsid w:val="00D460A6"/>
    <w:rsid w:val="00D52F33"/>
    <w:rsid w:val="00D53B88"/>
    <w:rsid w:val="00D558A2"/>
    <w:rsid w:val="00D610D6"/>
    <w:rsid w:val="00D62A39"/>
    <w:rsid w:val="00D63340"/>
    <w:rsid w:val="00D63B0A"/>
    <w:rsid w:val="00D63BE3"/>
    <w:rsid w:val="00D65138"/>
    <w:rsid w:val="00D658D9"/>
    <w:rsid w:val="00D7150B"/>
    <w:rsid w:val="00D76232"/>
    <w:rsid w:val="00D8207D"/>
    <w:rsid w:val="00D83BF7"/>
    <w:rsid w:val="00D865EF"/>
    <w:rsid w:val="00D86F35"/>
    <w:rsid w:val="00D92227"/>
    <w:rsid w:val="00D944E9"/>
    <w:rsid w:val="00DA1E43"/>
    <w:rsid w:val="00DA4C9D"/>
    <w:rsid w:val="00DA5E34"/>
    <w:rsid w:val="00DB1063"/>
    <w:rsid w:val="00DB22F6"/>
    <w:rsid w:val="00DB233C"/>
    <w:rsid w:val="00DB5AD9"/>
    <w:rsid w:val="00DB72FB"/>
    <w:rsid w:val="00DD2BC6"/>
    <w:rsid w:val="00DD3069"/>
    <w:rsid w:val="00DD57D1"/>
    <w:rsid w:val="00DE234E"/>
    <w:rsid w:val="00DE3436"/>
    <w:rsid w:val="00DE4231"/>
    <w:rsid w:val="00DE51CF"/>
    <w:rsid w:val="00DE637E"/>
    <w:rsid w:val="00DE74C2"/>
    <w:rsid w:val="00DF09FF"/>
    <w:rsid w:val="00DF3AD9"/>
    <w:rsid w:val="00DF3C5F"/>
    <w:rsid w:val="00E01833"/>
    <w:rsid w:val="00E03078"/>
    <w:rsid w:val="00E04E53"/>
    <w:rsid w:val="00E0584E"/>
    <w:rsid w:val="00E0692B"/>
    <w:rsid w:val="00E101C1"/>
    <w:rsid w:val="00E1623F"/>
    <w:rsid w:val="00E167F8"/>
    <w:rsid w:val="00E20B34"/>
    <w:rsid w:val="00E2141B"/>
    <w:rsid w:val="00E23AFC"/>
    <w:rsid w:val="00E24E3A"/>
    <w:rsid w:val="00E315B4"/>
    <w:rsid w:val="00E33EB9"/>
    <w:rsid w:val="00E36E59"/>
    <w:rsid w:val="00E375B2"/>
    <w:rsid w:val="00E420EE"/>
    <w:rsid w:val="00E42EB4"/>
    <w:rsid w:val="00E45E57"/>
    <w:rsid w:val="00E50471"/>
    <w:rsid w:val="00E51444"/>
    <w:rsid w:val="00E56108"/>
    <w:rsid w:val="00E57156"/>
    <w:rsid w:val="00E6083A"/>
    <w:rsid w:val="00E613F7"/>
    <w:rsid w:val="00E614AD"/>
    <w:rsid w:val="00E62EB0"/>
    <w:rsid w:val="00E63D9D"/>
    <w:rsid w:val="00E65FC6"/>
    <w:rsid w:val="00E66D4F"/>
    <w:rsid w:val="00E67F79"/>
    <w:rsid w:val="00E70445"/>
    <w:rsid w:val="00E73020"/>
    <w:rsid w:val="00E7314A"/>
    <w:rsid w:val="00E73387"/>
    <w:rsid w:val="00E75966"/>
    <w:rsid w:val="00E766DB"/>
    <w:rsid w:val="00E91F61"/>
    <w:rsid w:val="00E92A46"/>
    <w:rsid w:val="00E94CF8"/>
    <w:rsid w:val="00E96421"/>
    <w:rsid w:val="00E97F03"/>
    <w:rsid w:val="00EA1812"/>
    <w:rsid w:val="00EA2419"/>
    <w:rsid w:val="00EA4CE6"/>
    <w:rsid w:val="00EA6276"/>
    <w:rsid w:val="00EC0E8C"/>
    <w:rsid w:val="00EC144F"/>
    <w:rsid w:val="00EC4ACB"/>
    <w:rsid w:val="00EC7E0C"/>
    <w:rsid w:val="00ED1395"/>
    <w:rsid w:val="00ED68DC"/>
    <w:rsid w:val="00EE3562"/>
    <w:rsid w:val="00EE5BFE"/>
    <w:rsid w:val="00EE79DC"/>
    <w:rsid w:val="00EE7D10"/>
    <w:rsid w:val="00EF1B47"/>
    <w:rsid w:val="00EF3167"/>
    <w:rsid w:val="00F0135D"/>
    <w:rsid w:val="00F069A1"/>
    <w:rsid w:val="00F072EB"/>
    <w:rsid w:val="00F10BD4"/>
    <w:rsid w:val="00F14AA5"/>
    <w:rsid w:val="00F15884"/>
    <w:rsid w:val="00F21035"/>
    <w:rsid w:val="00F2206F"/>
    <w:rsid w:val="00F25234"/>
    <w:rsid w:val="00F335C2"/>
    <w:rsid w:val="00F360E5"/>
    <w:rsid w:val="00F37134"/>
    <w:rsid w:val="00F378B2"/>
    <w:rsid w:val="00F417B2"/>
    <w:rsid w:val="00F42CDA"/>
    <w:rsid w:val="00F42D73"/>
    <w:rsid w:val="00F43C83"/>
    <w:rsid w:val="00F50411"/>
    <w:rsid w:val="00F51649"/>
    <w:rsid w:val="00F53C89"/>
    <w:rsid w:val="00F61C8F"/>
    <w:rsid w:val="00F62895"/>
    <w:rsid w:val="00F63B4D"/>
    <w:rsid w:val="00F644AA"/>
    <w:rsid w:val="00F67DA6"/>
    <w:rsid w:val="00F71B84"/>
    <w:rsid w:val="00F73328"/>
    <w:rsid w:val="00F746A8"/>
    <w:rsid w:val="00F7499A"/>
    <w:rsid w:val="00F81975"/>
    <w:rsid w:val="00F81E74"/>
    <w:rsid w:val="00F8308C"/>
    <w:rsid w:val="00F92C23"/>
    <w:rsid w:val="00F958D2"/>
    <w:rsid w:val="00FA19D1"/>
    <w:rsid w:val="00FA1E0B"/>
    <w:rsid w:val="00FA1E29"/>
    <w:rsid w:val="00FA4C8E"/>
    <w:rsid w:val="00FA6583"/>
    <w:rsid w:val="00FB0F55"/>
    <w:rsid w:val="00FB2215"/>
    <w:rsid w:val="00FB4386"/>
    <w:rsid w:val="00FB4C8C"/>
    <w:rsid w:val="00FB4DAA"/>
    <w:rsid w:val="00FB6FEA"/>
    <w:rsid w:val="00FB7152"/>
    <w:rsid w:val="00FC2A5D"/>
    <w:rsid w:val="00FC43BF"/>
    <w:rsid w:val="00FC75CD"/>
    <w:rsid w:val="00FD0C17"/>
    <w:rsid w:val="00FD1668"/>
    <w:rsid w:val="00FD2B33"/>
    <w:rsid w:val="00FD6187"/>
    <w:rsid w:val="00FE12A8"/>
    <w:rsid w:val="00FE413B"/>
    <w:rsid w:val="00FE75D1"/>
    <w:rsid w:val="00FE7DB6"/>
    <w:rsid w:val="00FF0861"/>
    <w:rsid w:val="00FF1D65"/>
    <w:rsid w:val="00FF366B"/>
    <w:rsid w:val="00FF4027"/>
    <w:rsid w:val="00FF430C"/>
    <w:rsid w:val="00FF6EFE"/>
    <w:rsid w:val="00FF7FA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3" type="connector" idref="#_x0000_s1026"/>
        <o:r id="V:Rule4"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46B8"/>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0B5084"/>
    <w:pPr>
      <w:spacing w:after="0" w:line="240" w:lineRule="auto"/>
    </w:pPr>
    <w:rPr>
      <w:sz w:val="20"/>
      <w:szCs w:val="20"/>
    </w:rPr>
  </w:style>
  <w:style w:type="character" w:customStyle="1" w:styleId="a4">
    <w:name w:val="טקסט הערת שוליים תו"/>
    <w:basedOn w:val="a0"/>
    <w:link w:val="a3"/>
    <w:uiPriority w:val="99"/>
    <w:semiHidden/>
    <w:rsid w:val="000B5084"/>
    <w:rPr>
      <w:sz w:val="20"/>
      <w:szCs w:val="20"/>
    </w:rPr>
  </w:style>
  <w:style w:type="character" w:styleId="a5">
    <w:name w:val="footnote reference"/>
    <w:basedOn w:val="a0"/>
    <w:uiPriority w:val="99"/>
    <w:semiHidden/>
    <w:unhideWhenUsed/>
    <w:rsid w:val="000B5084"/>
    <w:rPr>
      <w:vertAlign w:val="superscript"/>
    </w:rPr>
  </w:style>
</w:styles>
</file>

<file path=word/webSettings.xml><?xml version="1.0" encoding="utf-8"?>
<w:webSettings xmlns:r="http://schemas.openxmlformats.org/officeDocument/2006/relationships" xmlns:w="http://schemas.openxmlformats.org/wordprocessingml/2006/main">
  <w:divs>
    <w:div w:id="160897749">
      <w:bodyDiv w:val="1"/>
      <w:marLeft w:val="0"/>
      <w:marRight w:val="0"/>
      <w:marTop w:val="0"/>
      <w:marBottom w:val="0"/>
      <w:divBdr>
        <w:top w:val="none" w:sz="0" w:space="0" w:color="auto"/>
        <w:left w:val="none" w:sz="0" w:space="0" w:color="auto"/>
        <w:bottom w:val="none" w:sz="0" w:space="0" w:color="auto"/>
        <w:right w:val="none" w:sz="0" w:space="0" w:color="auto"/>
      </w:divBdr>
    </w:div>
    <w:div w:id="1067148173">
      <w:bodyDiv w:val="1"/>
      <w:marLeft w:val="0"/>
      <w:marRight w:val="0"/>
      <w:marTop w:val="0"/>
      <w:marBottom w:val="0"/>
      <w:divBdr>
        <w:top w:val="none" w:sz="0" w:space="0" w:color="auto"/>
        <w:left w:val="none" w:sz="0" w:space="0" w:color="auto"/>
        <w:bottom w:val="none" w:sz="0" w:space="0" w:color="auto"/>
        <w:right w:val="none" w:sz="0" w:space="0" w:color="auto"/>
      </w:divBdr>
    </w:div>
    <w:div w:id="1592273522">
      <w:bodyDiv w:val="1"/>
      <w:marLeft w:val="0"/>
      <w:marRight w:val="0"/>
      <w:marTop w:val="0"/>
      <w:marBottom w:val="0"/>
      <w:divBdr>
        <w:top w:val="none" w:sz="0" w:space="0" w:color="auto"/>
        <w:left w:val="none" w:sz="0" w:space="0" w:color="auto"/>
        <w:bottom w:val="none" w:sz="0" w:space="0" w:color="auto"/>
        <w:right w:val="none" w:sz="0" w:space="0" w:color="auto"/>
      </w:divBdr>
    </w:div>
    <w:div w:id="1882091727">
      <w:bodyDiv w:val="1"/>
      <w:marLeft w:val="0"/>
      <w:marRight w:val="0"/>
      <w:marTop w:val="0"/>
      <w:marBottom w:val="0"/>
      <w:divBdr>
        <w:top w:val="none" w:sz="0" w:space="0" w:color="auto"/>
        <w:left w:val="none" w:sz="0" w:space="0" w:color="auto"/>
        <w:bottom w:val="none" w:sz="0" w:space="0" w:color="auto"/>
        <w:right w:val="none" w:sz="0" w:space="0" w:color="auto"/>
      </w:divBdr>
    </w:div>
    <w:div w:id="206582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993C8-299F-42E3-9AD3-636CA42EB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1310</Words>
  <Characters>6550</Characters>
  <Application>Microsoft Office Word</Application>
  <DocSecurity>0</DocSecurity>
  <Lines>54</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Hecht</dc:creator>
  <cp:keywords/>
  <dc:description/>
  <cp:lastModifiedBy>Personnel</cp:lastModifiedBy>
  <cp:revision>2</cp:revision>
  <dcterms:created xsi:type="dcterms:W3CDTF">2012-11-07T06:37:00Z</dcterms:created>
  <dcterms:modified xsi:type="dcterms:W3CDTF">2012-11-07T06:37:00Z</dcterms:modified>
</cp:coreProperties>
</file>