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9E" w:rsidRPr="0008301E" w:rsidRDefault="004C0FAE" w:rsidP="004C0FAE">
      <w:pPr>
        <w:bidi w:val="0"/>
        <w:spacing w:line="480" w:lineRule="auto"/>
        <w:jc w:val="both"/>
        <w:rPr>
          <w:rFonts w:cs="David"/>
          <w:sz w:val="24"/>
          <w:szCs w:val="24"/>
        </w:rPr>
      </w:pPr>
      <w:r>
        <w:rPr>
          <w:rFonts w:cs="David" w:hint="cs"/>
          <w:sz w:val="24"/>
          <w:szCs w:val="24"/>
          <w:rtl/>
        </w:rPr>
        <w:t>29</w:t>
      </w:r>
      <w:r w:rsidR="009E579E" w:rsidRPr="0008301E">
        <w:rPr>
          <w:rFonts w:cs="David" w:hint="cs"/>
          <w:sz w:val="24"/>
          <w:szCs w:val="24"/>
          <w:rtl/>
        </w:rPr>
        <w:t>.1</w:t>
      </w:r>
      <w:r>
        <w:rPr>
          <w:rFonts w:cs="David" w:hint="cs"/>
          <w:sz w:val="24"/>
          <w:szCs w:val="24"/>
          <w:rtl/>
        </w:rPr>
        <w:t>2</w:t>
      </w:r>
      <w:r w:rsidR="009E579E" w:rsidRPr="0008301E">
        <w:rPr>
          <w:rFonts w:cs="David" w:hint="cs"/>
          <w:sz w:val="24"/>
          <w:szCs w:val="24"/>
          <w:rtl/>
        </w:rPr>
        <w:t>.09</w:t>
      </w:r>
    </w:p>
    <w:p w:rsidR="004C0FAE" w:rsidRDefault="004C0FAE" w:rsidP="004C0FAE">
      <w:pPr>
        <w:jc w:val="both"/>
        <w:rPr>
          <w:rFonts w:cs="David"/>
          <w:color w:val="000000"/>
          <w:rtl/>
        </w:rPr>
      </w:pPr>
      <w:r>
        <w:rPr>
          <w:rFonts w:cs="David" w:hint="cs"/>
          <w:color w:val="000000"/>
          <w:rtl/>
        </w:rPr>
        <w:t>בתאריך 1/1/09 נכרת חוזה לפיו התחייבה חברת "הברזל בע"מ" למכור לחברת "הבונה בע"מ" ברזל המיועד לבניה של בית מגורים שהתעתדה חברת הבונה לבנות בגבעת-שמואל. מחיר הברזל בחוזה נקבע ל- 250,000 ש"ח. מועד מסירת הברזל נקבע לתאריך 1/6/09 (מועד תחילת הבניה). במועד כריתת החוזה שילמה חברת הבונה מקדמה בסך 3,000 ש"ח ונקבע כי את יתרת התמורה עליה לשלם במועד מסירת הברזל. בחוזה נקבע כי צד שיפר את החוזה ישלם לצד האחר פיצויים מוסכמים בסכום של 75,000 ₪</w:t>
      </w:r>
    </w:p>
    <w:p w:rsidR="004C0FAE" w:rsidRDefault="004C0FAE" w:rsidP="004C0FAE">
      <w:pPr>
        <w:jc w:val="both"/>
        <w:rPr>
          <w:rFonts w:cs="David"/>
          <w:color w:val="000000"/>
          <w:rtl/>
        </w:rPr>
      </w:pPr>
    </w:p>
    <w:p w:rsidR="004C0FAE" w:rsidRDefault="004C0FAE" w:rsidP="004C0FAE">
      <w:pPr>
        <w:numPr>
          <w:ilvl w:val="0"/>
          <w:numId w:val="34"/>
        </w:numPr>
        <w:spacing w:line="240" w:lineRule="auto"/>
        <w:jc w:val="both"/>
        <w:rPr>
          <w:rFonts w:cs="David"/>
          <w:color w:val="000000"/>
        </w:rPr>
      </w:pPr>
      <w:r>
        <w:rPr>
          <w:rFonts w:cs="David" w:hint="cs"/>
          <w:color w:val="000000"/>
          <w:rtl/>
        </w:rPr>
        <w:t xml:space="preserve">הניחו כי בעקבות מחסור עולמי פתאומי ובלתי צפוי בברזל, שהחל בחודש מרץ 2009, זינק מחיר הברזל באופן חריג ביותר. בתאריך 1/6/09 עמד שווי הברזל שהזמינה חברת הבונה על 310,000 ש"ח. חברת הברזל סירבה לקיים את החוזה על פי המחיר המקורי ודרשה כי חברת הבונה תשלם את השווי הנוכחי של הברזל (היא הסכימה לכך שרק החלק היחסי בהזמנה, שבגינו שולמה מקדמה, יימכר על פי המחיר שנקבע בחוזה). חברת הבונה </w:t>
      </w:r>
      <w:proofErr w:type="spellStart"/>
      <w:r>
        <w:rPr>
          <w:rFonts w:cs="David" w:hint="cs"/>
          <w:color w:val="000000"/>
          <w:rtl/>
        </w:rPr>
        <w:t>סרבה</w:t>
      </w:r>
      <w:proofErr w:type="spellEnd"/>
      <w:r>
        <w:rPr>
          <w:rFonts w:cs="David" w:hint="cs"/>
          <w:color w:val="000000"/>
          <w:rtl/>
        </w:rPr>
        <w:t xml:space="preserve"> בכל תוקף והודיעה לחברת הברזל כי היא נותנת לה הזדמנות אחרונה נוספת, למשך שבוע ימים, לקיים את החוזה. לאחר שחברת הברזל לא חזרה בה מסירובה, הודיע חברת הבונה כי היא </w:t>
      </w:r>
      <w:r w:rsidRPr="00CF0300">
        <w:rPr>
          <w:rFonts w:cs="David" w:hint="cs"/>
          <w:color w:val="000000"/>
          <w:highlight w:val="yellow"/>
          <w:rtl/>
        </w:rPr>
        <w:t>מבטלת</w:t>
      </w:r>
      <w:r>
        <w:rPr>
          <w:rFonts w:cs="David" w:hint="cs"/>
          <w:color w:val="000000"/>
          <w:rtl/>
        </w:rPr>
        <w:t xml:space="preserve"> את החוזה בשל הפרתו. שווי הברזל במועד הביטול עמד כבר על 320,000 ש"ח. בעקבות ההודעה השיבה חברת הברזל לחברת הבונה את סכום המקדמה (בצירוף ריבית והצמדה). בשל עיכוב שחל במתן היתר הבניה, נדחה מועד התחלת הבניה ל- 1/10/09. באותו מועד (1/10/09) רכשה חברת הבונה את הברזל שהיה דרוש לה מספק אחר. מחיר הברזל במועד הרכישה הגיע כבר ל- 350,000 ש"ח (וזה הסכום שאכן שילמה). כעת מעוניינת חברת הבונה לתבוע מחברת הברזל פיצויים בשל הפרת החוזה והיא פונה על מנת לקבל את חוות דעתכם. היא מבקשת לברר, בין היתר, מה הן האפשרויות העומדות בפניה </w:t>
      </w:r>
      <w:proofErr w:type="spellStart"/>
      <w:r>
        <w:rPr>
          <w:rFonts w:cs="David" w:hint="cs"/>
          <w:color w:val="000000"/>
          <w:rtl/>
        </w:rPr>
        <w:t>לענין</w:t>
      </w:r>
      <w:proofErr w:type="spellEnd"/>
      <w:r>
        <w:rPr>
          <w:rFonts w:cs="David" w:hint="cs"/>
          <w:color w:val="000000"/>
          <w:rtl/>
        </w:rPr>
        <w:t xml:space="preserve"> תביעת הפיצויים ואילו סוגי פיצויים תוכל לתבוע? מה יהיה היקפם? האם תוכל לצרף סוגי פיצויים שונים? מהו היקף הפיצויים </w:t>
      </w:r>
      <w:proofErr w:type="spellStart"/>
      <w:r>
        <w:rPr>
          <w:rFonts w:cs="David" w:hint="cs"/>
          <w:color w:val="000000"/>
          <w:rtl/>
        </w:rPr>
        <w:t>המירבי</w:t>
      </w:r>
      <w:proofErr w:type="spellEnd"/>
      <w:r>
        <w:rPr>
          <w:rFonts w:cs="David" w:hint="cs"/>
          <w:color w:val="000000"/>
          <w:rtl/>
        </w:rPr>
        <w:t xml:space="preserve"> שתוכל לקבל? (דונו בכל הטענות האפשריות </w:t>
      </w:r>
      <w:proofErr w:type="spellStart"/>
      <w:r>
        <w:rPr>
          <w:rFonts w:cs="David" w:hint="cs"/>
          <w:color w:val="000000"/>
          <w:rtl/>
        </w:rPr>
        <w:t>בענין</w:t>
      </w:r>
      <w:proofErr w:type="spellEnd"/>
      <w:r>
        <w:rPr>
          <w:rFonts w:cs="David" w:hint="cs"/>
          <w:color w:val="000000"/>
          <w:rtl/>
        </w:rPr>
        <w:t xml:space="preserve"> זה, לרבות טענות שעשויה להעלות חברת הברזל במענה לתביעת הפיצויים).</w:t>
      </w:r>
    </w:p>
    <w:p w:rsidR="004C0FAE" w:rsidRDefault="004C0FAE" w:rsidP="004C0FAE">
      <w:pPr>
        <w:jc w:val="both"/>
        <w:rPr>
          <w:rFonts w:cs="David"/>
          <w:color w:val="000000"/>
        </w:rPr>
      </w:pPr>
    </w:p>
    <w:p w:rsidR="004C0FAE" w:rsidRDefault="004C0FAE" w:rsidP="004C0FAE">
      <w:pPr>
        <w:numPr>
          <w:ilvl w:val="0"/>
          <w:numId w:val="34"/>
        </w:numPr>
        <w:spacing w:line="240" w:lineRule="auto"/>
        <w:jc w:val="both"/>
        <w:rPr>
          <w:rFonts w:cs="David"/>
          <w:color w:val="000000"/>
        </w:rPr>
      </w:pPr>
      <w:r>
        <w:rPr>
          <w:rFonts w:cs="David" w:hint="cs"/>
          <w:color w:val="000000"/>
          <w:rtl/>
        </w:rPr>
        <w:t xml:space="preserve">הניחו כי בתאריך 1/6/09 הודיעה חברת הברזל כי בשל קשיים שאליהם נקלעה איננה יכולה לקיים את התחייבותה לספק את הברזל. הניחו כי בין מועד כריתת החוזה למועד ההפרה חלה ירידה תלולה במחירי הברזל והשווי הנוכחי של הברזל שהוזמן עומד על 200,000 ש"ח בלבד. חברת הבונה, בתגובה להודעה, הודיעה על ביטול החוזה ורכשה ברזל מספק אחר בסכום של 200,000 ש"ח. חברת הברזל השיבה לה את המקדמה (בצירוף הצמדה וריבית). כעת מעוניינת חברת הבונה לתבוע מחברת הברזל פיצויים בשל הפרת החוזה והיא פונה על מנת לקבל את חוות דעתכם: מה הן האפשרויות העומדות בפניה </w:t>
      </w:r>
      <w:proofErr w:type="spellStart"/>
      <w:r>
        <w:rPr>
          <w:rFonts w:cs="David" w:hint="cs"/>
          <w:color w:val="000000"/>
          <w:rtl/>
        </w:rPr>
        <w:t>לענין</w:t>
      </w:r>
      <w:proofErr w:type="spellEnd"/>
      <w:r>
        <w:rPr>
          <w:rFonts w:cs="David" w:hint="cs"/>
          <w:color w:val="000000"/>
          <w:rtl/>
        </w:rPr>
        <w:t xml:space="preserve"> תביעת הפיצויים ואילו סוגי פיצויים תוכל לתבוע? מה יהיה היקפם? מהו היקף הפיצויים </w:t>
      </w:r>
      <w:proofErr w:type="spellStart"/>
      <w:r>
        <w:rPr>
          <w:rFonts w:cs="David" w:hint="cs"/>
          <w:color w:val="000000"/>
          <w:rtl/>
        </w:rPr>
        <w:t>המירבי</w:t>
      </w:r>
      <w:proofErr w:type="spellEnd"/>
      <w:r>
        <w:rPr>
          <w:rFonts w:cs="David" w:hint="cs"/>
          <w:color w:val="000000"/>
          <w:rtl/>
        </w:rPr>
        <w:t xml:space="preserve"> שתוכל לקבל? (דונו בכל הטענות האפשריות </w:t>
      </w:r>
      <w:proofErr w:type="spellStart"/>
      <w:r>
        <w:rPr>
          <w:rFonts w:cs="David" w:hint="cs"/>
          <w:color w:val="000000"/>
          <w:rtl/>
        </w:rPr>
        <w:t>בענין</w:t>
      </w:r>
      <w:proofErr w:type="spellEnd"/>
      <w:r>
        <w:rPr>
          <w:rFonts w:cs="David" w:hint="cs"/>
          <w:color w:val="000000"/>
          <w:rtl/>
        </w:rPr>
        <w:t xml:space="preserve"> זה, לרבות טענות שעשויה להעלות חברת הברזל במענה לתביעת הפיצויים).</w:t>
      </w:r>
    </w:p>
    <w:p w:rsidR="004C0FAE" w:rsidRPr="004C0FAE" w:rsidRDefault="004C0FAE">
      <w:pPr>
        <w:bidi w:val="0"/>
        <w:rPr>
          <w:rFonts w:cs="David"/>
          <w:b/>
          <w:bCs/>
          <w:sz w:val="32"/>
          <w:szCs w:val="32"/>
        </w:rPr>
      </w:pPr>
      <w:r w:rsidRPr="004C0FAE">
        <w:rPr>
          <w:rFonts w:cs="David"/>
          <w:b/>
          <w:bCs/>
          <w:sz w:val="32"/>
          <w:szCs w:val="32"/>
          <w:rtl/>
        </w:rPr>
        <w:br w:type="page"/>
      </w:r>
    </w:p>
    <w:p w:rsidR="00ED215F" w:rsidRPr="0008301E" w:rsidRDefault="004C0FAE" w:rsidP="004C0FAE">
      <w:pPr>
        <w:spacing w:line="480" w:lineRule="auto"/>
        <w:jc w:val="center"/>
        <w:rPr>
          <w:rFonts w:cs="David"/>
          <w:b/>
          <w:bCs/>
          <w:sz w:val="32"/>
          <w:szCs w:val="32"/>
          <w:u w:val="single"/>
          <w:rtl/>
        </w:rPr>
      </w:pPr>
      <w:r>
        <w:rPr>
          <w:rFonts w:cs="David" w:hint="cs"/>
          <w:b/>
          <w:bCs/>
          <w:sz w:val="32"/>
          <w:szCs w:val="32"/>
          <w:u w:val="single"/>
          <w:rtl/>
        </w:rPr>
        <w:lastRenderedPageBreak/>
        <w:t xml:space="preserve">דיני חוזים - </w:t>
      </w:r>
      <w:proofErr w:type="spellStart"/>
      <w:r>
        <w:rPr>
          <w:rFonts w:cs="David" w:hint="cs"/>
          <w:b/>
          <w:bCs/>
          <w:sz w:val="32"/>
          <w:szCs w:val="32"/>
          <w:u w:val="single"/>
          <w:rtl/>
        </w:rPr>
        <w:t>אירועון</w:t>
      </w:r>
      <w:proofErr w:type="spellEnd"/>
      <w:r>
        <w:rPr>
          <w:rFonts w:cs="David" w:hint="cs"/>
          <w:b/>
          <w:bCs/>
          <w:sz w:val="32"/>
          <w:szCs w:val="32"/>
          <w:u w:val="single"/>
          <w:rtl/>
        </w:rPr>
        <w:t xml:space="preserve"> שני</w:t>
      </w:r>
    </w:p>
    <w:p w:rsidR="007502F3" w:rsidRPr="00180A6D" w:rsidRDefault="00E20696" w:rsidP="00C7264D">
      <w:pPr>
        <w:spacing w:line="480" w:lineRule="auto"/>
        <w:jc w:val="both"/>
        <w:rPr>
          <w:rFonts w:asciiTheme="majorBidi" w:hAnsiTheme="majorBidi" w:cs="David"/>
          <w:sz w:val="24"/>
          <w:szCs w:val="24"/>
          <w:rtl/>
        </w:rPr>
      </w:pPr>
      <w:r>
        <w:rPr>
          <w:rFonts w:asciiTheme="majorBidi" w:hAnsiTheme="majorBidi" w:cs="David" w:hint="cs"/>
          <w:b/>
          <w:bCs/>
          <w:sz w:val="24"/>
          <w:szCs w:val="24"/>
          <w:u w:val="single"/>
          <w:rtl/>
        </w:rPr>
        <w:t>ס</w:t>
      </w:r>
      <w:r w:rsidR="004C0FAE">
        <w:rPr>
          <w:rFonts w:asciiTheme="majorBidi" w:hAnsiTheme="majorBidi" w:cs="David" w:hint="cs"/>
          <w:b/>
          <w:bCs/>
          <w:sz w:val="24"/>
          <w:szCs w:val="24"/>
          <w:u w:val="single"/>
          <w:rtl/>
        </w:rPr>
        <w:t>עיף א</w:t>
      </w:r>
      <w:r w:rsidR="004C0FAE" w:rsidRPr="004C0FAE">
        <w:rPr>
          <w:rFonts w:asciiTheme="majorBidi" w:hAnsiTheme="majorBidi" w:cs="David" w:hint="cs"/>
          <w:sz w:val="24"/>
          <w:szCs w:val="24"/>
          <w:rtl/>
        </w:rPr>
        <w:t xml:space="preserve">: </w:t>
      </w:r>
      <w:r w:rsidR="00202D4C">
        <w:rPr>
          <w:rFonts w:asciiTheme="majorBidi" w:hAnsiTheme="majorBidi" w:cs="David" w:hint="cs"/>
          <w:sz w:val="24"/>
          <w:szCs w:val="24"/>
          <w:rtl/>
        </w:rPr>
        <w:t xml:space="preserve">ראשית יש לקבוע האם הופר החוזה. תטען חברת הברזל כי המחיר שנקבע בחוזה </w:t>
      </w:r>
      <w:r w:rsidR="00202D4C" w:rsidRPr="00202D4C">
        <w:rPr>
          <w:rFonts w:asciiTheme="majorBidi" w:hAnsiTheme="majorBidi" w:cs="David" w:hint="cs"/>
          <w:sz w:val="24"/>
          <w:szCs w:val="24"/>
          <w:rtl/>
        </w:rPr>
        <w:t xml:space="preserve">אמנם מתייחס ליום הכריתה, אך יש להתאים </w:t>
      </w:r>
      <w:r w:rsidR="00202D4C">
        <w:rPr>
          <w:rFonts w:asciiTheme="majorBidi" w:hAnsiTheme="majorBidi" w:cs="David" w:hint="cs"/>
          <w:sz w:val="24"/>
          <w:szCs w:val="24"/>
          <w:rtl/>
        </w:rPr>
        <w:t xml:space="preserve">אותו לערך השוק של הברזל ביום השלמת העסקה </w:t>
      </w:r>
      <w:r w:rsidR="006E4D23">
        <w:rPr>
          <w:rFonts w:asciiTheme="majorBidi" w:hAnsiTheme="majorBidi" w:cs="David" w:hint="cs"/>
          <w:sz w:val="24"/>
          <w:szCs w:val="24"/>
          <w:rtl/>
        </w:rPr>
        <w:t xml:space="preserve">וזאת מכורח הנוהג בסחורות כדוגמת </w:t>
      </w:r>
      <w:r w:rsidR="00202D4C">
        <w:rPr>
          <w:rFonts w:asciiTheme="majorBidi" w:hAnsiTheme="majorBidi" w:cs="David" w:hint="cs"/>
          <w:sz w:val="24"/>
          <w:szCs w:val="24"/>
          <w:rtl/>
        </w:rPr>
        <w:t>ברזל</w:t>
      </w:r>
      <w:r w:rsidR="00C7264D">
        <w:rPr>
          <w:rStyle w:val="a6"/>
          <w:rFonts w:asciiTheme="majorBidi" w:hAnsiTheme="majorBidi" w:cs="David"/>
          <w:sz w:val="24"/>
          <w:szCs w:val="24"/>
          <w:rtl/>
        </w:rPr>
        <w:footnoteReference w:id="1"/>
      </w:r>
      <w:r w:rsidR="00202D4C">
        <w:rPr>
          <w:rFonts w:asciiTheme="majorBidi" w:hAnsiTheme="majorBidi" w:cs="David" w:hint="cs"/>
          <w:sz w:val="24"/>
          <w:szCs w:val="24"/>
          <w:rtl/>
        </w:rPr>
        <w:t>. מנגד תטען חברה הבונה, שכיוון ש</w:t>
      </w:r>
      <w:r w:rsidR="00A13428">
        <w:rPr>
          <w:rFonts w:asciiTheme="majorBidi" w:hAnsiTheme="majorBidi" w:cs="David" w:hint="cs"/>
          <w:sz w:val="24"/>
          <w:szCs w:val="24"/>
          <w:rtl/>
        </w:rPr>
        <w:t xml:space="preserve">אין בחוזה </w:t>
      </w:r>
      <w:r w:rsidR="00202D4C">
        <w:rPr>
          <w:rFonts w:asciiTheme="majorBidi" w:hAnsiTheme="majorBidi" w:cs="David" w:hint="cs"/>
          <w:sz w:val="24"/>
          <w:szCs w:val="24"/>
          <w:rtl/>
        </w:rPr>
        <w:t xml:space="preserve">סעיף שמורה במפורש על שערוך אזי המחיר קבוע. </w:t>
      </w:r>
      <w:r w:rsidR="00202D4C" w:rsidRPr="00202D4C">
        <w:rPr>
          <w:rFonts w:asciiTheme="majorBidi" w:hAnsiTheme="majorBidi" w:cs="David" w:hint="cs"/>
          <w:sz w:val="24"/>
          <w:szCs w:val="24"/>
          <w:rtl/>
        </w:rPr>
        <w:t>חברת</w:t>
      </w:r>
      <w:r w:rsidR="00202D4C" w:rsidRPr="00202D4C">
        <w:rPr>
          <w:rFonts w:asciiTheme="majorBidi" w:hAnsiTheme="majorBidi" w:cs="David" w:hint="cs"/>
          <w:b/>
          <w:bCs/>
          <w:sz w:val="24"/>
          <w:szCs w:val="24"/>
          <w:rtl/>
        </w:rPr>
        <w:t xml:space="preserve"> </w:t>
      </w:r>
      <w:r w:rsidR="00202D4C" w:rsidRPr="00202D4C">
        <w:rPr>
          <w:rFonts w:asciiTheme="majorBidi" w:hAnsiTheme="majorBidi" w:cs="David" w:hint="cs"/>
          <w:sz w:val="24"/>
          <w:szCs w:val="24"/>
          <w:rtl/>
        </w:rPr>
        <w:t>הבונ</w:t>
      </w:r>
      <w:r w:rsidR="00202D4C">
        <w:rPr>
          <w:rFonts w:asciiTheme="majorBidi" w:hAnsiTheme="majorBidi" w:cs="David" w:hint="cs"/>
          <w:sz w:val="24"/>
          <w:szCs w:val="24"/>
          <w:rtl/>
        </w:rPr>
        <w:t xml:space="preserve">ה תטען כי </w:t>
      </w:r>
      <w:r w:rsidR="00164457">
        <w:rPr>
          <w:rFonts w:asciiTheme="majorBidi" w:hAnsiTheme="majorBidi" w:cs="David" w:hint="cs"/>
          <w:sz w:val="24"/>
          <w:szCs w:val="24"/>
          <w:rtl/>
        </w:rPr>
        <w:t>הס</w:t>
      </w:r>
      <w:r w:rsidR="00776F6F">
        <w:rPr>
          <w:rFonts w:asciiTheme="majorBidi" w:hAnsiTheme="majorBidi" w:cs="David" w:hint="cs"/>
          <w:sz w:val="24"/>
          <w:szCs w:val="24"/>
          <w:rtl/>
        </w:rPr>
        <w:t>י</w:t>
      </w:r>
      <w:r w:rsidR="00164457">
        <w:rPr>
          <w:rFonts w:asciiTheme="majorBidi" w:hAnsiTheme="majorBidi" w:cs="David" w:hint="cs"/>
          <w:sz w:val="24"/>
          <w:szCs w:val="24"/>
          <w:rtl/>
        </w:rPr>
        <w:t>רוב</w:t>
      </w:r>
      <w:r w:rsidR="00202D4C">
        <w:rPr>
          <w:rFonts w:asciiTheme="majorBidi" w:hAnsiTheme="majorBidi" w:cs="David" w:hint="cs"/>
          <w:sz w:val="24"/>
          <w:szCs w:val="24"/>
          <w:rtl/>
        </w:rPr>
        <w:t xml:space="preserve"> לספק את הברזל בתנאים שנקבעו בחוזה </w:t>
      </w:r>
      <w:r w:rsidR="00776F6F">
        <w:rPr>
          <w:rFonts w:asciiTheme="majorBidi" w:hAnsiTheme="majorBidi" w:cs="David" w:hint="cs"/>
          <w:sz w:val="24"/>
          <w:szCs w:val="24"/>
          <w:rtl/>
        </w:rPr>
        <w:t>ודרישת מחיר העולה על המחיר החוזי</w:t>
      </w:r>
      <w:r w:rsidR="00164457">
        <w:rPr>
          <w:rFonts w:asciiTheme="majorBidi" w:hAnsiTheme="majorBidi" w:cs="David" w:hint="cs"/>
          <w:sz w:val="24"/>
          <w:szCs w:val="24"/>
          <w:rtl/>
        </w:rPr>
        <w:t xml:space="preserve"> מהווים </w:t>
      </w:r>
      <w:r w:rsidR="00202D4C">
        <w:rPr>
          <w:rFonts w:asciiTheme="majorBidi" w:hAnsiTheme="majorBidi" w:cs="David" w:hint="cs"/>
          <w:sz w:val="24"/>
          <w:szCs w:val="24"/>
          <w:rtl/>
        </w:rPr>
        <w:t>הפרה יסודית</w:t>
      </w:r>
      <w:r w:rsidR="00C7264D">
        <w:rPr>
          <w:rStyle w:val="a6"/>
          <w:rFonts w:asciiTheme="majorBidi" w:hAnsiTheme="majorBidi" w:cs="David"/>
          <w:sz w:val="24"/>
          <w:szCs w:val="24"/>
          <w:rtl/>
        </w:rPr>
        <w:footnoteReference w:id="2"/>
      </w:r>
      <w:r w:rsidR="00202D4C">
        <w:rPr>
          <w:rFonts w:asciiTheme="majorBidi" w:hAnsiTheme="majorBidi" w:cs="David" w:hint="cs"/>
          <w:sz w:val="24"/>
          <w:szCs w:val="24"/>
          <w:rtl/>
        </w:rPr>
        <w:t xml:space="preserve"> וזאת לפי המבחן האובייקטיבי להפרה זו - אדם סביר לא היה נקשר בחוזה לרכישת ברזל לא ידע שהספק </w:t>
      </w:r>
      <w:r w:rsidR="00AE6CA4">
        <w:rPr>
          <w:rFonts w:asciiTheme="majorBidi" w:hAnsiTheme="majorBidi" w:cs="David" w:hint="cs"/>
          <w:sz w:val="24"/>
          <w:szCs w:val="24"/>
          <w:rtl/>
        </w:rPr>
        <w:t>ידרוש מחיר גבוה יותר</w:t>
      </w:r>
      <w:r w:rsidR="00202D4C">
        <w:rPr>
          <w:rFonts w:asciiTheme="majorBidi" w:hAnsiTheme="majorBidi" w:cs="David" w:hint="cs"/>
          <w:sz w:val="24"/>
          <w:szCs w:val="24"/>
          <w:rtl/>
        </w:rPr>
        <w:t xml:space="preserve">. </w:t>
      </w:r>
      <w:r w:rsidR="00AE6CA4">
        <w:rPr>
          <w:rFonts w:asciiTheme="majorBidi" w:hAnsiTheme="majorBidi" w:cs="David" w:hint="cs"/>
          <w:sz w:val="24"/>
          <w:szCs w:val="24"/>
          <w:rtl/>
        </w:rPr>
        <w:t>על כן ל</w:t>
      </w:r>
      <w:r w:rsidR="00202D4C">
        <w:rPr>
          <w:rFonts w:asciiTheme="majorBidi" w:hAnsiTheme="majorBidi" w:cs="David" w:hint="cs"/>
          <w:sz w:val="24"/>
          <w:szCs w:val="24"/>
          <w:rtl/>
        </w:rPr>
        <w:t xml:space="preserve">חברת הבונה עומדת הזכות לתבוע סעדים </w:t>
      </w:r>
      <w:r w:rsidR="00202D4C" w:rsidRPr="00202D4C">
        <w:rPr>
          <w:rFonts w:asciiTheme="majorBidi" w:hAnsiTheme="majorBidi" w:cs="David" w:hint="cs"/>
          <w:sz w:val="24"/>
          <w:szCs w:val="24"/>
          <w:rtl/>
        </w:rPr>
        <w:t>מכ</w:t>
      </w:r>
      <w:r w:rsidR="00202D4C">
        <w:rPr>
          <w:rFonts w:asciiTheme="majorBidi" w:hAnsiTheme="majorBidi" w:cs="David" w:hint="cs"/>
          <w:sz w:val="24"/>
          <w:szCs w:val="24"/>
          <w:rtl/>
        </w:rPr>
        <w:t xml:space="preserve">וח מספר סעיפים של </w:t>
      </w:r>
      <w:proofErr w:type="spellStart"/>
      <w:r w:rsidR="00C7264D">
        <w:rPr>
          <w:rFonts w:asciiTheme="majorBidi" w:hAnsiTheme="majorBidi" w:cs="David" w:hint="cs"/>
          <w:sz w:val="24"/>
          <w:szCs w:val="24"/>
          <w:rtl/>
        </w:rPr>
        <w:t>חו"ת</w:t>
      </w:r>
      <w:proofErr w:type="spellEnd"/>
      <w:r w:rsidR="00202D4C">
        <w:rPr>
          <w:rFonts w:asciiTheme="majorBidi" w:hAnsiTheme="majorBidi" w:cs="David" w:hint="cs"/>
          <w:sz w:val="24"/>
          <w:szCs w:val="24"/>
          <w:rtl/>
        </w:rPr>
        <w:t>. נפנה כעת לדיון בסעיפים אלו.</w:t>
      </w:r>
    </w:p>
    <w:p w:rsidR="00A7773E" w:rsidRDefault="00A07A7A" w:rsidP="00BC6A64">
      <w:pPr>
        <w:spacing w:line="480" w:lineRule="auto"/>
        <w:jc w:val="both"/>
        <w:rPr>
          <w:rFonts w:asciiTheme="majorBidi" w:hAnsiTheme="majorBidi" w:cs="David"/>
          <w:sz w:val="24"/>
          <w:szCs w:val="24"/>
          <w:rtl/>
        </w:rPr>
      </w:pPr>
      <w:r>
        <w:rPr>
          <w:rFonts w:asciiTheme="majorBidi" w:hAnsiTheme="majorBidi" w:cs="David" w:hint="cs"/>
          <w:sz w:val="24"/>
          <w:szCs w:val="24"/>
          <w:rtl/>
        </w:rPr>
        <w:t xml:space="preserve">פיצוים מכוח סעיף 10 </w:t>
      </w:r>
      <w:proofErr w:type="spellStart"/>
      <w:r w:rsidR="00795A3E">
        <w:rPr>
          <w:rFonts w:asciiTheme="majorBidi" w:hAnsiTheme="majorBidi" w:cs="David" w:hint="cs"/>
          <w:sz w:val="24"/>
          <w:szCs w:val="24"/>
          <w:rtl/>
        </w:rPr>
        <w:t>לחו"ת</w:t>
      </w:r>
      <w:proofErr w:type="spellEnd"/>
      <w:r w:rsidR="00CC6221">
        <w:rPr>
          <w:rFonts w:asciiTheme="majorBidi" w:hAnsiTheme="majorBidi" w:cs="David" w:hint="cs"/>
          <w:sz w:val="24"/>
          <w:szCs w:val="24"/>
          <w:rtl/>
        </w:rPr>
        <w:t xml:space="preserve"> ולפי הפרשנות בפסד </w:t>
      </w:r>
      <w:proofErr w:type="spellStart"/>
      <w:r w:rsidR="00CC6221">
        <w:rPr>
          <w:rFonts w:asciiTheme="majorBidi" w:hAnsiTheme="majorBidi" w:cs="David" w:hint="cs"/>
          <w:sz w:val="24"/>
          <w:szCs w:val="24"/>
          <w:rtl/>
        </w:rPr>
        <w:t>אניסימוב</w:t>
      </w:r>
      <w:proofErr w:type="spellEnd"/>
      <w:r w:rsidR="00CC6221">
        <w:rPr>
          <w:rStyle w:val="a6"/>
          <w:rFonts w:asciiTheme="majorBidi" w:hAnsiTheme="majorBidi" w:cs="David"/>
          <w:sz w:val="24"/>
          <w:szCs w:val="24"/>
          <w:rtl/>
        </w:rPr>
        <w:footnoteReference w:id="3"/>
      </w:r>
      <w:r w:rsidR="00795A3E">
        <w:rPr>
          <w:rFonts w:asciiTheme="majorBidi" w:hAnsiTheme="majorBidi" w:cs="David" w:hint="cs"/>
          <w:sz w:val="24"/>
          <w:szCs w:val="24"/>
          <w:rtl/>
        </w:rPr>
        <w:t xml:space="preserve">: </w:t>
      </w:r>
      <w:r>
        <w:rPr>
          <w:rFonts w:asciiTheme="majorBidi" w:hAnsiTheme="majorBidi" w:cs="David" w:hint="cs"/>
          <w:sz w:val="24"/>
          <w:szCs w:val="24"/>
          <w:rtl/>
        </w:rPr>
        <w:t xml:space="preserve">ראשית יש להוכיח כי נגרם </w:t>
      </w:r>
      <w:r w:rsidRPr="001B14C5">
        <w:rPr>
          <w:rFonts w:asciiTheme="majorBidi" w:hAnsiTheme="majorBidi" w:cs="David" w:hint="cs"/>
          <w:sz w:val="24"/>
          <w:szCs w:val="24"/>
          <w:u w:val="single"/>
          <w:rtl/>
        </w:rPr>
        <w:t>נזק</w:t>
      </w:r>
      <w:r>
        <w:rPr>
          <w:rFonts w:asciiTheme="majorBidi" w:hAnsiTheme="majorBidi" w:cs="David" w:hint="cs"/>
          <w:sz w:val="24"/>
          <w:szCs w:val="24"/>
          <w:rtl/>
        </w:rPr>
        <w:t>. תטען חברת הבונה כי אילו היה מקוים החוזה הייתה רוכשת ברזל במ</w:t>
      </w:r>
      <w:r w:rsidR="00AC1D09">
        <w:rPr>
          <w:rFonts w:asciiTheme="majorBidi" w:hAnsiTheme="majorBidi" w:cs="David" w:hint="cs"/>
          <w:sz w:val="24"/>
          <w:szCs w:val="24"/>
          <w:rtl/>
        </w:rPr>
        <w:t xml:space="preserve">חיר 250 אלף </w:t>
      </w:r>
      <w:r w:rsidR="006B7112">
        <w:rPr>
          <w:rFonts w:asciiTheme="majorBidi" w:hAnsiTheme="majorBidi" w:cs="David" w:hint="cs"/>
          <w:sz w:val="24"/>
          <w:szCs w:val="24"/>
          <w:rtl/>
        </w:rPr>
        <w:t>₪</w:t>
      </w:r>
      <w:r w:rsidR="00BC6A64">
        <w:rPr>
          <w:rFonts w:asciiTheme="majorBidi" w:hAnsiTheme="majorBidi" w:cs="David" w:hint="cs"/>
          <w:sz w:val="24"/>
          <w:szCs w:val="24"/>
          <w:rtl/>
        </w:rPr>
        <w:t>,</w:t>
      </w:r>
      <w:r w:rsidR="00AC1D09">
        <w:rPr>
          <w:rFonts w:asciiTheme="majorBidi" w:hAnsiTheme="majorBidi" w:cs="David" w:hint="cs"/>
          <w:sz w:val="24"/>
          <w:szCs w:val="24"/>
          <w:rtl/>
        </w:rPr>
        <w:t xml:space="preserve"> כיוון שלא קו</w:t>
      </w:r>
      <w:r>
        <w:rPr>
          <w:rFonts w:asciiTheme="majorBidi" w:hAnsiTheme="majorBidi" w:cs="David" w:hint="cs"/>
          <w:sz w:val="24"/>
          <w:szCs w:val="24"/>
          <w:rtl/>
        </w:rPr>
        <w:t xml:space="preserve">ים נאלצה לרכוש ברזל </w:t>
      </w:r>
      <w:r w:rsidR="006B7112">
        <w:rPr>
          <w:rFonts w:asciiTheme="majorBidi" w:hAnsiTheme="majorBidi" w:cs="David" w:hint="cs"/>
          <w:sz w:val="24"/>
          <w:szCs w:val="24"/>
          <w:rtl/>
        </w:rPr>
        <w:t>במחיר 350 אלף ₪</w:t>
      </w:r>
      <w:r>
        <w:rPr>
          <w:rFonts w:asciiTheme="majorBidi" w:hAnsiTheme="majorBidi" w:cs="David" w:hint="cs"/>
          <w:sz w:val="24"/>
          <w:szCs w:val="24"/>
          <w:rtl/>
        </w:rPr>
        <w:t>.</w:t>
      </w:r>
      <w:r w:rsidR="00AC1D09">
        <w:rPr>
          <w:rFonts w:asciiTheme="majorBidi" w:hAnsiTheme="majorBidi" w:cs="David" w:hint="cs"/>
          <w:sz w:val="24"/>
          <w:szCs w:val="24"/>
          <w:rtl/>
        </w:rPr>
        <w:t xml:space="preserve"> מכאן שהנזק הנגרם הוא 100 </w:t>
      </w:r>
      <w:r w:rsidR="006B7112">
        <w:rPr>
          <w:rFonts w:asciiTheme="majorBidi" w:hAnsiTheme="majorBidi" w:cs="David" w:hint="cs"/>
          <w:sz w:val="24"/>
          <w:szCs w:val="24"/>
          <w:rtl/>
        </w:rPr>
        <w:t>אלף ₪</w:t>
      </w:r>
      <w:r w:rsidR="00AC1D09">
        <w:rPr>
          <w:rFonts w:asciiTheme="majorBidi" w:hAnsiTheme="majorBidi" w:cs="David" w:hint="cs"/>
          <w:sz w:val="24"/>
          <w:szCs w:val="24"/>
          <w:rtl/>
        </w:rPr>
        <w:t xml:space="preserve">. </w:t>
      </w:r>
      <w:r w:rsidR="001B14C5">
        <w:rPr>
          <w:rFonts w:asciiTheme="majorBidi" w:hAnsiTheme="majorBidi" w:cs="David" w:hint="cs"/>
          <w:sz w:val="24"/>
          <w:szCs w:val="24"/>
          <w:rtl/>
        </w:rPr>
        <w:t xml:space="preserve">שנית, יש להוכיח </w:t>
      </w:r>
      <w:r w:rsidR="001B14C5" w:rsidRPr="00C97798">
        <w:rPr>
          <w:rFonts w:asciiTheme="majorBidi" w:hAnsiTheme="majorBidi" w:cs="David" w:hint="cs"/>
          <w:sz w:val="24"/>
          <w:szCs w:val="24"/>
          <w:u w:val="single"/>
          <w:rtl/>
        </w:rPr>
        <w:t>סיבתיות</w:t>
      </w:r>
      <w:r w:rsidR="001B14C5">
        <w:rPr>
          <w:rFonts w:asciiTheme="majorBidi" w:hAnsiTheme="majorBidi" w:cs="David" w:hint="cs"/>
          <w:sz w:val="24"/>
          <w:szCs w:val="24"/>
          <w:rtl/>
        </w:rPr>
        <w:t xml:space="preserve"> </w:t>
      </w:r>
      <w:r w:rsidR="00AE6CA4">
        <w:rPr>
          <w:rFonts w:asciiTheme="majorBidi" w:hAnsiTheme="majorBidi" w:cs="David" w:hint="cs"/>
          <w:sz w:val="24"/>
          <w:szCs w:val="24"/>
          <w:rtl/>
        </w:rPr>
        <w:t>קרי</w:t>
      </w:r>
      <w:r w:rsidR="001B14C5">
        <w:rPr>
          <w:rFonts w:asciiTheme="majorBidi" w:hAnsiTheme="majorBidi" w:cs="David" w:hint="cs"/>
          <w:sz w:val="24"/>
          <w:szCs w:val="24"/>
          <w:rtl/>
        </w:rPr>
        <w:t xml:space="preserve"> </w:t>
      </w:r>
      <w:r w:rsidR="00AE6CA4">
        <w:rPr>
          <w:rFonts w:asciiTheme="majorBidi" w:hAnsiTheme="majorBidi" w:cs="David" w:hint="cs"/>
          <w:sz w:val="24"/>
          <w:szCs w:val="24"/>
          <w:rtl/>
        </w:rPr>
        <w:t>ש</w:t>
      </w:r>
      <w:r w:rsidR="001B14C5">
        <w:rPr>
          <w:rFonts w:asciiTheme="majorBidi" w:hAnsiTheme="majorBidi" w:cs="David" w:hint="cs"/>
          <w:sz w:val="24"/>
          <w:szCs w:val="24"/>
          <w:rtl/>
        </w:rPr>
        <w:t xml:space="preserve">הנזק נגרם בעקבות ההפרה. כאמור, הפרת החוזה גרמה לכך שחברת הבונה נאלצה לרכוש ברזל במחיר גבוה יותר מאשר בחוזה המקורי. שלישית, </w:t>
      </w:r>
      <w:r w:rsidR="00EF758B" w:rsidRPr="00C97798">
        <w:rPr>
          <w:rFonts w:asciiTheme="majorBidi" w:hAnsiTheme="majorBidi" w:cs="David" w:hint="cs"/>
          <w:sz w:val="24"/>
          <w:szCs w:val="24"/>
          <w:u w:val="single"/>
          <w:rtl/>
        </w:rPr>
        <w:t>צפיות</w:t>
      </w:r>
      <w:r w:rsidR="00EF758B">
        <w:rPr>
          <w:rFonts w:asciiTheme="majorBidi" w:hAnsiTheme="majorBidi" w:cs="David" w:hint="cs"/>
          <w:sz w:val="24"/>
          <w:szCs w:val="24"/>
          <w:rtl/>
        </w:rPr>
        <w:t xml:space="preserve"> - סעיף 10 מכיל </w:t>
      </w:r>
      <w:r w:rsidR="00834C12">
        <w:rPr>
          <w:rFonts w:asciiTheme="majorBidi" w:hAnsiTheme="majorBidi" w:cs="David" w:hint="cs"/>
          <w:sz w:val="24"/>
          <w:szCs w:val="24"/>
          <w:rtl/>
        </w:rPr>
        <w:t>מבח</w:t>
      </w:r>
      <w:r w:rsidR="00AE6CA4">
        <w:rPr>
          <w:rFonts w:asciiTheme="majorBidi" w:hAnsiTheme="majorBidi" w:cs="David" w:hint="cs"/>
          <w:sz w:val="24"/>
          <w:szCs w:val="24"/>
          <w:rtl/>
        </w:rPr>
        <w:t xml:space="preserve">ן </w:t>
      </w:r>
      <w:r w:rsidR="00EF758B">
        <w:rPr>
          <w:rFonts w:asciiTheme="majorBidi" w:hAnsiTheme="majorBidi" w:cs="David" w:hint="cs"/>
          <w:sz w:val="24"/>
          <w:szCs w:val="24"/>
          <w:rtl/>
        </w:rPr>
        <w:t xml:space="preserve">אובייקטיבי </w:t>
      </w:r>
      <w:r w:rsidR="00AE6CA4">
        <w:rPr>
          <w:rFonts w:asciiTheme="majorBidi" w:hAnsiTheme="majorBidi" w:cs="David" w:hint="cs"/>
          <w:sz w:val="24"/>
          <w:szCs w:val="24"/>
          <w:rtl/>
        </w:rPr>
        <w:t>ו</w:t>
      </w:r>
      <w:r w:rsidR="00EF758B">
        <w:rPr>
          <w:rFonts w:asciiTheme="majorBidi" w:hAnsiTheme="majorBidi" w:cs="David" w:hint="cs"/>
          <w:sz w:val="24"/>
          <w:szCs w:val="24"/>
          <w:rtl/>
        </w:rPr>
        <w:t xml:space="preserve">סובייקטיבי. תטען חברת הבונה כי בעת </w:t>
      </w:r>
      <w:r w:rsidR="002C466E">
        <w:rPr>
          <w:rFonts w:asciiTheme="majorBidi" w:hAnsiTheme="majorBidi" w:cs="David" w:hint="cs"/>
          <w:sz w:val="24"/>
          <w:szCs w:val="24"/>
          <w:rtl/>
        </w:rPr>
        <w:t xml:space="preserve">כריתת </w:t>
      </w:r>
      <w:r w:rsidR="00EF758B">
        <w:rPr>
          <w:rFonts w:asciiTheme="majorBidi" w:hAnsiTheme="majorBidi" w:cs="David" w:hint="cs"/>
          <w:sz w:val="24"/>
          <w:szCs w:val="24"/>
          <w:rtl/>
        </w:rPr>
        <w:t xml:space="preserve">החוזה </w:t>
      </w:r>
      <w:r w:rsidR="00D76563">
        <w:rPr>
          <w:rFonts w:asciiTheme="majorBidi" w:hAnsiTheme="majorBidi" w:cs="David" w:hint="cs"/>
          <w:sz w:val="24"/>
          <w:szCs w:val="24"/>
          <w:rtl/>
        </w:rPr>
        <w:t>ידעה חברת הברזל</w:t>
      </w:r>
      <w:r w:rsidR="00EF758B">
        <w:rPr>
          <w:rFonts w:asciiTheme="majorBidi" w:hAnsiTheme="majorBidi" w:cs="David" w:hint="cs"/>
          <w:sz w:val="24"/>
          <w:szCs w:val="24"/>
          <w:rtl/>
        </w:rPr>
        <w:t xml:space="preserve"> כי </w:t>
      </w:r>
      <w:r w:rsidR="002C466E">
        <w:rPr>
          <w:rFonts w:asciiTheme="majorBidi" w:hAnsiTheme="majorBidi" w:cs="David" w:hint="cs"/>
          <w:sz w:val="24"/>
          <w:szCs w:val="24"/>
          <w:rtl/>
        </w:rPr>
        <w:t xml:space="preserve">הברזל עתיד לשמש לבניין ועל כן </w:t>
      </w:r>
      <w:r w:rsidR="00D76563">
        <w:rPr>
          <w:rFonts w:asciiTheme="majorBidi" w:hAnsiTheme="majorBidi" w:cs="David" w:hint="cs"/>
          <w:sz w:val="24"/>
          <w:szCs w:val="24"/>
          <w:rtl/>
        </w:rPr>
        <w:t xml:space="preserve">ידעה כי </w:t>
      </w:r>
      <w:r w:rsidR="002C466E">
        <w:rPr>
          <w:rFonts w:asciiTheme="majorBidi" w:hAnsiTheme="majorBidi" w:cs="David" w:hint="cs"/>
          <w:sz w:val="24"/>
          <w:szCs w:val="24"/>
          <w:rtl/>
        </w:rPr>
        <w:t>כל עיקוב או אי אספקה יכולים לגרום לנזקים</w:t>
      </w:r>
      <w:r w:rsidR="00373CD9">
        <w:rPr>
          <w:rFonts w:asciiTheme="majorBidi" w:hAnsiTheme="majorBidi" w:cs="David" w:hint="cs"/>
          <w:sz w:val="24"/>
          <w:szCs w:val="24"/>
          <w:rtl/>
        </w:rPr>
        <w:t xml:space="preserve"> לבונה</w:t>
      </w:r>
      <w:r w:rsidR="002C466E">
        <w:rPr>
          <w:rFonts w:asciiTheme="majorBidi" w:hAnsiTheme="majorBidi" w:cs="David" w:hint="cs"/>
          <w:sz w:val="24"/>
          <w:szCs w:val="24"/>
          <w:rtl/>
        </w:rPr>
        <w:t xml:space="preserve">. </w:t>
      </w:r>
      <w:r w:rsidR="00D76563">
        <w:rPr>
          <w:rFonts w:asciiTheme="majorBidi" w:hAnsiTheme="majorBidi" w:cs="David" w:hint="cs"/>
          <w:sz w:val="24"/>
          <w:szCs w:val="24"/>
          <w:rtl/>
        </w:rPr>
        <w:t xml:space="preserve">כמו כן, </w:t>
      </w:r>
      <w:r w:rsidR="00EF758B">
        <w:rPr>
          <w:rFonts w:asciiTheme="majorBidi" w:hAnsiTheme="majorBidi" w:cs="David" w:hint="cs"/>
          <w:sz w:val="24"/>
          <w:szCs w:val="24"/>
          <w:rtl/>
        </w:rPr>
        <w:t xml:space="preserve">אין ספק כי מפר סביר היה מבין </w:t>
      </w:r>
      <w:r w:rsidR="00A44104">
        <w:rPr>
          <w:rFonts w:asciiTheme="majorBidi" w:hAnsiTheme="majorBidi" w:cs="David" w:hint="cs"/>
          <w:sz w:val="24"/>
          <w:szCs w:val="24"/>
          <w:rtl/>
        </w:rPr>
        <w:t xml:space="preserve">בנסיבות אלו </w:t>
      </w:r>
      <w:r w:rsidR="00EF758B">
        <w:rPr>
          <w:rFonts w:asciiTheme="majorBidi" w:hAnsiTheme="majorBidi" w:cs="David" w:hint="cs"/>
          <w:sz w:val="24"/>
          <w:szCs w:val="24"/>
          <w:rtl/>
        </w:rPr>
        <w:t xml:space="preserve">שהפרת החוזה תגרור נזק. לאור </w:t>
      </w:r>
      <w:r w:rsidR="00226C68">
        <w:rPr>
          <w:rFonts w:asciiTheme="majorBidi" w:hAnsiTheme="majorBidi" w:cs="David" w:hint="cs"/>
          <w:sz w:val="24"/>
          <w:szCs w:val="24"/>
          <w:rtl/>
        </w:rPr>
        <w:t xml:space="preserve">זאת </w:t>
      </w:r>
      <w:r w:rsidR="00EF758B">
        <w:rPr>
          <w:rFonts w:asciiTheme="majorBidi" w:hAnsiTheme="majorBidi" w:cs="David" w:hint="cs"/>
          <w:sz w:val="24"/>
          <w:szCs w:val="24"/>
          <w:rtl/>
        </w:rPr>
        <w:t xml:space="preserve">תדרוש חברת הבונה </w:t>
      </w:r>
      <w:r w:rsidR="00EF758B" w:rsidRPr="00AE6CA4">
        <w:rPr>
          <w:rFonts w:asciiTheme="majorBidi" w:hAnsiTheme="majorBidi" w:cs="David" w:hint="cs"/>
          <w:sz w:val="24"/>
          <w:szCs w:val="24"/>
          <w:u w:val="single"/>
          <w:rtl/>
        </w:rPr>
        <w:t>פיצויי קיום</w:t>
      </w:r>
      <w:r w:rsidR="00EF758B">
        <w:rPr>
          <w:rFonts w:asciiTheme="majorBidi" w:hAnsiTheme="majorBidi" w:cs="David" w:hint="cs"/>
          <w:sz w:val="24"/>
          <w:szCs w:val="24"/>
          <w:rtl/>
        </w:rPr>
        <w:t xml:space="preserve"> מכוח סעיף 10. מטרת פיצויי קיום להעמיד את חברת הבונה במצב בו הייתה לו קוים החוזה. מכאן שחברת הבונה תדרוש פיצויים בסך 100 אלף </w:t>
      </w:r>
      <w:r w:rsidR="00795A3E">
        <w:rPr>
          <w:rFonts w:asciiTheme="majorBidi" w:hAnsiTheme="majorBidi" w:cs="David" w:hint="cs"/>
          <w:sz w:val="24"/>
          <w:szCs w:val="24"/>
          <w:rtl/>
        </w:rPr>
        <w:t>ש"ח</w:t>
      </w:r>
      <w:r w:rsidR="00EF758B">
        <w:rPr>
          <w:rFonts w:asciiTheme="majorBidi" w:hAnsiTheme="majorBidi" w:cs="David" w:hint="cs"/>
          <w:sz w:val="24"/>
          <w:szCs w:val="24"/>
          <w:rtl/>
        </w:rPr>
        <w:t xml:space="preserve"> הם ההפרש בין המחיר שהייתה אמורה לשלם עבור הברזל בחוזה המקרי למחיר ששלמה בפועל בעת שרכשה את הברזל מספק אחר עק</w:t>
      </w:r>
      <w:r w:rsidR="00A7773E">
        <w:rPr>
          <w:rFonts w:asciiTheme="majorBidi" w:hAnsiTheme="majorBidi" w:cs="David" w:hint="cs"/>
          <w:sz w:val="24"/>
          <w:szCs w:val="24"/>
          <w:rtl/>
        </w:rPr>
        <w:t>ב ההפרה. בתגובה תטען חברה הברזל, כי</w:t>
      </w:r>
      <w:r w:rsidR="00834C12">
        <w:rPr>
          <w:rFonts w:asciiTheme="majorBidi" w:hAnsiTheme="majorBidi" w:cs="David" w:hint="cs"/>
          <w:sz w:val="24"/>
          <w:szCs w:val="24"/>
          <w:rtl/>
        </w:rPr>
        <w:t xml:space="preserve"> </w:t>
      </w:r>
      <w:r w:rsidR="00A7773E">
        <w:rPr>
          <w:rFonts w:asciiTheme="majorBidi" w:hAnsiTheme="majorBidi" w:cs="David" w:hint="cs"/>
          <w:sz w:val="24"/>
          <w:szCs w:val="24"/>
          <w:rtl/>
        </w:rPr>
        <w:t>העיקוב ברכישת הברזל</w:t>
      </w:r>
      <w:r w:rsidR="00932FFB">
        <w:rPr>
          <w:rFonts w:asciiTheme="majorBidi" w:hAnsiTheme="majorBidi" w:cs="David" w:hint="cs"/>
          <w:sz w:val="24"/>
          <w:szCs w:val="24"/>
          <w:rtl/>
        </w:rPr>
        <w:t xml:space="preserve"> ומכאן העלייה במחירו</w:t>
      </w:r>
      <w:r w:rsidR="00A7773E">
        <w:rPr>
          <w:rFonts w:asciiTheme="majorBidi" w:hAnsiTheme="majorBidi" w:cs="David" w:hint="cs"/>
          <w:sz w:val="24"/>
          <w:szCs w:val="24"/>
          <w:rtl/>
        </w:rPr>
        <w:t xml:space="preserve"> נבע</w:t>
      </w:r>
      <w:r w:rsidR="00932FFB">
        <w:rPr>
          <w:rFonts w:asciiTheme="majorBidi" w:hAnsiTheme="majorBidi" w:cs="David" w:hint="cs"/>
          <w:sz w:val="24"/>
          <w:szCs w:val="24"/>
          <w:rtl/>
        </w:rPr>
        <w:t>ו</w:t>
      </w:r>
      <w:r w:rsidR="00A7773E">
        <w:rPr>
          <w:rFonts w:asciiTheme="majorBidi" w:hAnsiTheme="majorBidi" w:cs="David" w:hint="cs"/>
          <w:sz w:val="24"/>
          <w:szCs w:val="24"/>
          <w:rtl/>
        </w:rPr>
        <w:t xml:space="preserve"> מאי קבלת אישורי הבניה של חברת הבונה</w:t>
      </w:r>
      <w:r w:rsidR="00C97798">
        <w:rPr>
          <w:rFonts w:asciiTheme="majorBidi" w:hAnsiTheme="majorBidi" w:cs="David" w:hint="cs"/>
          <w:sz w:val="24"/>
          <w:szCs w:val="24"/>
          <w:rtl/>
        </w:rPr>
        <w:t xml:space="preserve"> </w:t>
      </w:r>
      <w:r w:rsidR="00834C12">
        <w:rPr>
          <w:rFonts w:asciiTheme="majorBidi" w:hAnsiTheme="majorBidi" w:cs="David" w:hint="cs"/>
          <w:sz w:val="24"/>
          <w:szCs w:val="24"/>
          <w:rtl/>
        </w:rPr>
        <w:t xml:space="preserve">והתמהמהות ברכישת תחליף. </w:t>
      </w:r>
      <w:r w:rsidR="00C97798">
        <w:rPr>
          <w:rFonts w:asciiTheme="majorBidi" w:hAnsiTheme="majorBidi" w:cs="David" w:hint="cs"/>
          <w:sz w:val="24"/>
          <w:szCs w:val="24"/>
          <w:rtl/>
        </w:rPr>
        <w:t>על כן לא יכלה לצפות את הנזק</w:t>
      </w:r>
      <w:r w:rsidR="003647B5">
        <w:rPr>
          <w:rFonts w:asciiTheme="majorBidi" w:hAnsiTheme="majorBidi" w:cs="David" w:hint="cs"/>
          <w:sz w:val="24"/>
          <w:szCs w:val="24"/>
          <w:rtl/>
        </w:rPr>
        <w:t xml:space="preserve"> כיוון שקונה סביר לא היה משתהה</w:t>
      </w:r>
      <w:r w:rsidR="00A7773E">
        <w:rPr>
          <w:rFonts w:asciiTheme="majorBidi" w:hAnsiTheme="majorBidi" w:cs="David" w:hint="cs"/>
          <w:sz w:val="24"/>
          <w:szCs w:val="24"/>
          <w:rtl/>
        </w:rPr>
        <w:t>.</w:t>
      </w:r>
      <w:r w:rsidR="00EF758B">
        <w:rPr>
          <w:rFonts w:asciiTheme="majorBidi" w:hAnsiTheme="majorBidi" w:cs="David" w:hint="cs"/>
          <w:sz w:val="24"/>
          <w:szCs w:val="24"/>
          <w:rtl/>
        </w:rPr>
        <w:t xml:space="preserve"> </w:t>
      </w:r>
      <w:r w:rsidR="00834C12">
        <w:rPr>
          <w:rFonts w:asciiTheme="majorBidi" w:hAnsiTheme="majorBidi" w:cs="David" w:hint="cs"/>
          <w:sz w:val="24"/>
          <w:szCs w:val="24"/>
          <w:rtl/>
        </w:rPr>
        <w:t xml:space="preserve">בנוסף, </w:t>
      </w:r>
      <w:r w:rsidR="00EF758B">
        <w:rPr>
          <w:rFonts w:asciiTheme="majorBidi" w:hAnsiTheme="majorBidi" w:cs="David" w:hint="cs"/>
          <w:sz w:val="24"/>
          <w:szCs w:val="24"/>
          <w:rtl/>
        </w:rPr>
        <w:t xml:space="preserve">במקרה של הפעלת סעיף 10 עומדת על </w:t>
      </w:r>
      <w:r w:rsidR="00356684">
        <w:rPr>
          <w:rFonts w:asciiTheme="majorBidi" w:hAnsiTheme="majorBidi" w:cs="David" w:hint="cs"/>
          <w:sz w:val="24"/>
          <w:szCs w:val="24"/>
          <w:rtl/>
        </w:rPr>
        <w:t xml:space="preserve">חברת הבונה </w:t>
      </w:r>
      <w:r w:rsidR="00356684" w:rsidRPr="00932FFB">
        <w:rPr>
          <w:rFonts w:asciiTheme="majorBidi" w:hAnsiTheme="majorBidi" w:cs="David" w:hint="cs"/>
          <w:sz w:val="24"/>
          <w:szCs w:val="24"/>
          <w:u w:val="single"/>
          <w:rtl/>
        </w:rPr>
        <w:t>חובת הקטנת הנזק</w:t>
      </w:r>
      <w:r w:rsidR="00356684">
        <w:rPr>
          <w:rFonts w:asciiTheme="majorBidi" w:hAnsiTheme="majorBidi" w:cs="David" w:hint="cs"/>
          <w:sz w:val="24"/>
          <w:szCs w:val="24"/>
          <w:rtl/>
        </w:rPr>
        <w:t xml:space="preserve"> מכוח סעיף 14</w:t>
      </w:r>
      <w:r w:rsidR="008F5A56">
        <w:rPr>
          <w:rFonts w:asciiTheme="majorBidi" w:hAnsiTheme="majorBidi" w:cs="David" w:hint="cs"/>
          <w:sz w:val="24"/>
          <w:szCs w:val="24"/>
          <w:rtl/>
        </w:rPr>
        <w:t>(א)</w:t>
      </w:r>
      <w:r w:rsidR="00795A3E">
        <w:rPr>
          <w:rFonts w:asciiTheme="majorBidi" w:hAnsiTheme="majorBidi" w:cs="David" w:hint="cs"/>
          <w:sz w:val="24"/>
          <w:szCs w:val="24"/>
          <w:rtl/>
        </w:rPr>
        <w:t xml:space="preserve"> </w:t>
      </w:r>
      <w:proofErr w:type="spellStart"/>
      <w:r w:rsidR="00795A3E">
        <w:rPr>
          <w:rFonts w:asciiTheme="majorBidi" w:hAnsiTheme="majorBidi" w:cs="David" w:hint="cs"/>
          <w:sz w:val="24"/>
          <w:szCs w:val="24"/>
          <w:rtl/>
        </w:rPr>
        <w:t>לחו"ת</w:t>
      </w:r>
      <w:proofErr w:type="spellEnd"/>
      <w:r w:rsidR="00356684">
        <w:rPr>
          <w:rFonts w:asciiTheme="majorBidi" w:hAnsiTheme="majorBidi" w:cs="David" w:hint="cs"/>
          <w:sz w:val="24"/>
          <w:szCs w:val="24"/>
          <w:rtl/>
        </w:rPr>
        <w:t xml:space="preserve">. </w:t>
      </w:r>
      <w:r w:rsidR="008F5A56">
        <w:rPr>
          <w:rFonts w:asciiTheme="majorBidi" w:hAnsiTheme="majorBidi" w:cs="David" w:hint="cs"/>
          <w:sz w:val="24"/>
          <w:szCs w:val="24"/>
          <w:rtl/>
        </w:rPr>
        <w:t xml:space="preserve">תטען חברת הברזל כי חובת הקטנת הנזק חלה </w:t>
      </w:r>
      <w:r w:rsidR="008F5A56" w:rsidRPr="008F5A56">
        <w:rPr>
          <w:rFonts w:asciiTheme="majorBidi" w:hAnsiTheme="majorBidi" w:cs="David" w:hint="cs"/>
          <w:sz w:val="24"/>
          <w:szCs w:val="24"/>
          <w:u w:val="single"/>
          <w:rtl/>
        </w:rPr>
        <w:t>מרגע הפרת החוזה</w:t>
      </w:r>
      <w:r w:rsidR="008F5A56">
        <w:rPr>
          <w:rFonts w:asciiTheme="majorBidi" w:hAnsiTheme="majorBidi" w:cs="David" w:hint="cs"/>
          <w:sz w:val="24"/>
          <w:szCs w:val="24"/>
          <w:rtl/>
        </w:rPr>
        <w:t xml:space="preserve">. חברת הבונה </w:t>
      </w:r>
      <w:r w:rsidR="00A7773E">
        <w:rPr>
          <w:rFonts w:asciiTheme="majorBidi" w:hAnsiTheme="majorBidi" w:cs="David" w:hint="cs"/>
          <w:sz w:val="24"/>
          <w:szCs w:val="24"/>
          <w:rtl/>
        </w:rPr>
        <w:t xml:space="preserve">יכלה </w:t>
      </w:r>
      <w:r w:rsidR="008F5A56">
        <w:rPr>
          <w:rFonts w:asciiTheme="majorBidi" w:hAnsiTheme="majorBidi" w:cs="David" w:hint="cs"/>
          <w:sz w:val="24"/>
          <w:szCs w:val="24"/>
          <w:rtl/>
        </w:rPr>
        <w:t>באמצעים סבירים למנוע חלק משמעותי מהנזק על ידי רכישת תחליף ביום הפרת החוזה מחברה אחרת או לרכוש את הברזל</w:t>
      </w:r>
      <w:r w:rsidR="004373F9">
        <w:rPr>
          <w:rFonts w:asciiTheme="majorBidi" w:hAnsiTheme="majorBidi" w:cs="David" w:hint="cs"/>
          <w:sz w:val="24"/>
          <w:szCs w:val="24"/>
          <w:rtl/>
        </w:rPr>
        <w:t xml:space="preserve"> במחיר גבוהה במעט</w:t>
      </w:r>
      <w:r w:rsidR="004F5E9E">
        <w:rPr>
          <w:rFonts w:asciiTheme="majorBidi" w:hAnsiTheme="majorBidi" w:cs="David" w:hint="cs"/>
          <w:sz w:val="24"/>
          <w:szCs w:val="24"/>
          <w:rtl/>
        </w:rPr>
        <w:t xml:space="preserve"> שהציעה חברת הברזל. </w:t>
      </w:r>
      <w:r w:rsidR="008F5A56">
        <w:rPr>
          <w:rFonts w:asciiTheme="majorBidi" w:hAnsiTheme="majorBidi" w:cs="David" w:hint="cs"/>
          <w:sz w:val="24"/>
          <w:szCs w:val="24"/>
          <w:rtl/>
        </w:rPr>
        <w:t xml:space="preserve">כשנכשלה לעשות זאת, לא זכאית למלוא פיצויי הקיום. כמו כן חברת הבונה נכשלה בחובת </w:t>
      </w:r>
      <w:r w:rsidR="008F5A56" w:rsidRPr="00FC54B1">
        <w:rPr>
          <w:rFonts w:asciiTheme="majorBidi" w:hAnsiTheme="majorBidi" w:cs="David" w:hint="cs"/>
          <w:sz w:val="24"/>
          <w:szCs w:val="24"/>
          <w:u w:val="single"/>
          <w:rtl/>
        </w:rPr>
        <w:t>תום הלב</w:t>
      </w:r>
      <w:r w:rsidR="008F5A56">
        <w:rPr>
          <w:rFonts w:asciiTheme="majorBidi" w:hAnsiTheme="majorBidi" w:cs="David" w:hint="cs"/>
          <w:sz w:val="24"/>
          <w:szCs w:val="24"/>
          <w:rtl/>
        </w:rPr>
        <w:t xml:space="preserve"> מכוח סעיף 39 לחוק החוזים</w:t>
      </w:r>
      <w:r w:rsidR="0004259F">
        <w:rPr>
          <w:rStyle w:val="a6"/>
          <w:rFonts w:asciiTheme="majorBidi" w:hAnsiTheme="majorBidi" w:cs="David"/>
          <w:sz w:val="24"/>
          <w:szCs w:val="24"/>
          <w:rtl/>
        </w:rPr>
        <w:footnoteReference w:id="4"/>
      </w:r>
      <w:r w:rsidR="008F5A56">
        <w:rPr>
          <w:rFonts w:asciiTheme="majorBidi" w:hAnsiTheme="majorBidi" w:cs="David" w:hint="cs"/>
          <w:sz w:val="24"/>
          <w:szCs w:val="24"/>
          <w:rtl/>
        </w:rPr>
        <w:t xml:space="preserve">, כיוון שלא הודיעה לחברת הברזל על הנזק שנגרם וכן שישבה בחיבוק ידיים במשך חודשים, צפתה </w:t>
      </w:r>
      <w:r w:rsidR="008F5A56">
        <w:rPr>
          <w:rFonts w:asciiTheme="majorBidi" w:hAnsiTheme="majorBidi" w:cs="David" w:hint="cs"/>
          <w:sz w:val="24"/>
          <w:szCs w:val="24"/>
          <w:rtl/>
        </w:rPr>
        <w:lastRenderedPageBreak/>
        <w:t>במחירי הברזל מאמירים והעדיפה לא לרכוש את הברזל</w:t>
      </w:r>
      <w:r w:rsidR="005471E2">
        <w:rPr>
          <w:rFonts w:asciiTheme="majorBidi" w:hAnsiTheme="majorBidi" w:cs="David" w:hint="cs"/>
          <w:sz w:val="24"/>
          <w:szCs w:val="24"/>
          <w:vertAlign w:val="superscript"/>
          <w:rtl/>
        </w:rPr>
        <w:t>4</w:t>
      </w:r>
      <w:r w:rsidR="008F5A56">
        <w:rPr>
          <w:rFonts w:asciiTheme="majorBidi" w:hAnsiTheme="majorBidi" w:cs="David" w:hint="cs"/>
          <w:sz w:val="24"/>
          <w:szCs w:val="24"/>
          <w:rtl/>
        </w:rPr>
        <w:t xml:space="preserve">. </w:t>
      </w:r>
      <w:r w:rsidR="00FC54B1">
        <w:rPr>
          <w:rFonts w:asciiTheme="majorBidi" w:hAnsiTheme="majorBidi" w:cs="David" w:hint="cs"/>
          <w:sz w:val="24"/>
          <w:szCs w:val="24"/>
          <w:rtl/>
        </w:rPr>
        <w:t xml:space="preserve">במקרה זה יתכן ותעמוד לחברת הברזל הגנת </w:t>
      </w:r>
      <w:r w:rsidR="00FC54B1" w:rsidRPr="005471E2">
        <w:rPr>
          <w:rFonts w:asciiTheme="majorBidi" w:hAnsiTheme="majorBidi" w:cs="David" w:hint="cs"/>
          <w:sz w:val="24"/>
          <w:szCs w:val="24"/>
          <w:rtl/>
        </w:rPr>
        <w:t>האשם התורם</w:t>
      </w:r>
      <w:r w:rsidR="00FC54B1">
        <w:rPr>
          <w:rFonts w:asciiTheme="majorBidi" w:hAnsiTheme="majorBidi" w:cs="David" w:hint="cs"/>
          <w:sz w:val="24"/>
          <w:szCs w:val="24"/>
          <w:rtl/>
        </w:rPr>
        <w:t xml:space="preserve"> שעוסק</w:t>
      </w:r>
      <w:r w:rsidR="003016F4">
        <w:rPr>
          <w:rFonts w:asciiTheme="majorBidi" w:hAnsiTheme="majorBidi" w:cs="David" w:hint="cs"/>
          <w:sz w:val="24"/>
          <w:szCs w:val="24"/>
          <w:rtl/>
        </w:rPr>
        <w:t>ת</w:t>
      </w:r>
      <w:r w:rsidR="00FC54B1">
        <w:rPr>
          <w:rFonts w:asciiTheme="majorBidi" w:hAnsiTheme="majorBidi" w:cs="David" w:hint="cs"/>
          <w:sz w:val="24"/>
          <w:szCs w:val="24"/>
          <w:rtl/>
        </w:rPr>
        <w:t xml:space="preserve"> בחלוקת הנזק על שני הצדדים כיוון ששניהם תרמו להיווצרותו</w:t>
      </w:r>
      <w:r w:rsidR="005471E2">
        <w:rPr>
          <w:rStyle w:val="a6"/>
          <w:rFonts w:asciiTheme="majorBidi" w:hAnsiTheme="majorBidi" w:cs="David"/>
          <w:sz w:val="24"/>
          <w:szCs w:val="24"/>
          <w:rtl/>
        </w:rPr>
        <w:footnoteReference w:id="5"/>
      </w:r>
      <w:r w:rsidR="005471E2">
        <w:rPr>
          <w:rFonts w:asciiTheme="majorBidi" w:hAnsiTheme="majorBidi" w:cs="David" w:hint="cs"/>
          <w:sz w:val="24"/>
          <w:szCs w:val="24"/>
          <w:rtl/>
        </w:rPr>
        <w:t>.</w:t>
      </w:r>
      <w:r w:rsidR="00FC54B1">
        <w:rPr>
          <w:rFonts w:asciiTheme="majorBidi" w:hAnsiTheme="majorBidi" w:cs="David" w:hint="cs"/>
          <w:sz w:val="24"/>
          <w:szCs w:val="24"/>
          <w:rtl/>
        </w:rPr>
        <w:t xml:space="preserve"> </w:t>
      </w:r>
      <w:r w:rsidR="008F5A56">
        <w:rPr>
          <w:rFonts w:asciiTheme="majorBidi" w:hAnsiTheme="majorBidi" w:cs="David" w:hint="cs"/>
          <w:sz w:val="24"/>
          <w:szCs w:val="24"/>
          <w:rtl/>
        </w:rPr>
        <w:t>בתגובה תטע</w:t>
      </w:r>
      <w:r w:rsidR="005471E2">
        <w:rPr>
          <w:rFonts w:asciiTheme="majorBidi" w:hAnsiTheme="majorBidi" w:cs="David" w:hint="cs"/>
          <w:sz w:val="24"/>
          <w:szCs w:val="24"/>
          <w:rtl/>
        </w:rPr>
        <w:t xml:space="preserve">ן חברת הבונה כי לפי פסד </w:t>
      </w:r>
      <w:proofErr w:type="spellStart"/>
      <w:r w:rsidR="005471E2">
        <w:rPr>
          <w:rFonts w:asciiTheme="majorBidi" w:hAnsiTheme="majorBidi" w:cs="David" w:hint="cs"/>
          <w:sz w:val="24"/>
          <w:szCs w:val="24"/>
          <w:rtl/>
        </w:rPr>
        <w:t>אינשטיין</w:t>
      </w:r>
      <w:proofErr w:type="spellEnd"/>
      <w:r w:rsidR="005471E2">
        <w:rPr>
          <w:rStyle w:val="a6"/>
          <w:rFonts w:asciiTheme="majorBidi" w:hAnsiTheme="majorBidi" w:cs="David"/>
          <w:sz w:val="24"/>
          <w:szCs w:val="24"/>
          <w:rtl/>
        </w:rPr>
        <w:footnoteReference w:id="6"/>
      </w:r>
      <w:r w:rsidR="00FB366E">
        <w:rPr>
          <w:rFonts w:asciiTheme="majorBidi" w:hAnsiTheme="majorBidi" w:cs="David" w:hint="cs"/>
          <w:sz w:val="24"/>
          <w:szCs w:val="24"/>
          <w:rtl/>
        </w:rPr>
        <w:t xml:space="preserve"> </w:t>
      </w:r>
      <w:r w:rsidR="008F5A56">
        <w:rPr>
          <w:rFonts w:asciiTheme="majorBidi" w:hAnsiTheme="majorBidi" w:cs="David" w:hint="cs"/>
          <w:sz w:val="24"/>
          <w:szCs w:val="24"/>
          <w:rtl/>
        </w:rPr>
        <w:t>אין לדרוש מהנפגע להקשר בחוזה עם הצד המפר בחו</w:t>
      </w:r>
      <w:r w:rsidR="00D23866">
        <w:rPr>
          <w:rFonts w:asciiTheme="majorBidi" w:hAnsiTheme="majorBidi" w:cs="David" w:hint="cs"/>
          <w:sz w:val="24"/>
          <w:szCs w:val="24"/>
          <w:rtl/>
        </w:rPr>
        <w:t>זה חדש ואין להפחית את הפיצויים א</w:t>
      </w:r>
      <w:r w:rsidR="008F5A56">
        <w:rPr>
          <w:rFonts w:asciiTheme="majorBidi" w:hAnsiTheme="majorBidi" w:cs="David" w:hint="cs"/>
          <w:sz w:val="24"/>
          <w:szCs w:val="24"/>
          <w:rtl/>
        </w:rPr>
        <w:t xml:space="preserve">ם לא עשה כן (יש בכך נתינת יד להפרת חוזים). </w:t>
      </w:r>
      <w:r w:rsidR="00FB3592">
        <w:rPr>
          <w:rFonts w:asciiTheme="majorBidi" w:hAnsiTheme="majorBidi" w:cs="David" w:hint="cs"/>
          <w:sz w:val="24"/>
          <w:szCs w:val="24"/>
          <w:rtl/>
        </w:rPr>
        <w:t>כמו כן, הנפגע אינו חייב לצאת מגדרו לצורך הקטנת נזקיו</w:t>
      </w:r>
      <w:r w:rsidR="008C65A1">
        <w:rPr>
          <w:rFonts w:asciiTheme="majorBidi" w:hAnsiTheme="majorBidi" w:cs="David" w:hint="cs"/>
          <w:sz w:val="24"/>
          <w:szCs w:val="24"/>
          <w:vertAlign w:val="superscript"/>
          <w:rtl/>
        </w:rPr>
        <w:t>4</w:t>
      </w:r>
      <w:r w:rsidR="00FB3592">
        <w:rPr>
          <w:rFonts w:asciiTheme="majorBidi" w:hAnsiTheme="majorBidi" w:cs="David" w:hint="cs"/>
          <w:sz w:val="24"/>
          <w:szCs w:val="24"/>
          <w:rtl/>
        </w:rPr>
        <w:t>.</w:t>
      </w:r>
      <w:r w:rsidR="0053466C">
        <w:rPr>
          <w:rFonts w:asciiTheme="majorBidi" w:hAnsiTheme="majorBidi" w:cs="David" w:hint="cs"/>
          <w:sz w:val="24"/>
          <w:szCs w:val="24"/>
          <w:rtl/>
        </w:rPr>
        <w:t xml:space="preserve"> </w:t>
      </w:r>
      <w:r w:rsidR="00EC50D6">
        <w:rPr>
          <w:rFonts w:asciiTheme="majorBidi" w:hAnsiTheme="majorBidi" w:cs="David" w:hint="cs"/>
          <w:sz w:val="24"/>
          <w:szCs w:val="24"/>
          <w:rtl/>
        </w:rPr>
        <w:t xml:space="preserve">בפועל על בית המשפט לעמוד כמה נזק ניתן היה למנוע. לדעתי, </w:t>
      </w:r>
      <w:r w:rsidR="008F05E2">
        <w:rPr>
          <w:rFonts w:asciiTheme="majorBidi" w:hAnsiTheme="majorBidi" w:cs="David" w:hint="cs"/>
          <w:sz w:val="24"/>
          <w:szCs w:val="24"/>
          <w:rtl/>
        </w:rPr>
        <w:t xml:space="preserve">את מרבית הנזק ניתן היה למנוע ע"י רכישת ברזל ביום ההפרה או בסמוך אליו במחיר השוק. </w:t>
      </w:r>
      <w:r w:rsidR="00834C12">
        <w:rPr>
          <w:rFonts w:asciiTheme="majorBidi" w:hAnsiTheme="majorBidi" w:cs="David" w:hint="cs"/>
          <w:sz w:val="24"/>
          <w:szCs w:val="24"/>
          <w:rtl/>
        </w:rPr>
        <w:t xml:space="preserve">חברת הבונה אכן התנהלה בחוסר תום לב ולא ביצעת את חובת הקטנת הנזק. </w:t>
      </w:r>
      <w:r w:rsidR="00EC50D6">
        <w:rPr>
          <w:rFonts w:asciiTheme="majorBidi" w:hAnsiTheme="majorBidi" w:cs="David" w:hint="cs"/>
          <w:sz w:val="24"/>
          <w:szCs w:val="24"/>
          <w:rtl/>
        </w:rPr>
        <w:t xml:space="preserve">על כן, </w:t>
      </w:r>
      <w:r w:rsidR="00BC741A">
        <w:rPr>
          <w:rFonts w:asciiTheme="majorBidi" w:hAnsiTheme="majorBidi" w:cs="David" w:hint="cs"/>
          <w:sz w:val="24"/>
          <w:szCs w:val="24"/>
          <w:rtl/>
        </w:rPr>
        <w:t xml:space="preserve">לא סביר כי מכוח סעיף 10 תזכה ב-100 אלף ₪ </w:t>
      </w:r>
      <w:proofErr w:type="spellStart"/>
      <w:r w:rsidR="00BC741A">
        <w:rPr>
          <w:rFonts w:asciiTheme="majorBidi" w:hAnsiTheme="majorBidi" w:cs="David" w:hint="cs"/>
          <w:sz w:val="24"/>
          <w:szCs w:val="24"/>
          <w:rtl/>
        </w:rPr>
        <w:t>וככה"נ</w:t>
      </w:r>
      <w:proofErr w:type="spellEnd"/>
      <w:r w:rsidR="00BC741A">
        <w:rPr>
          <w:rFonts w:asciiTheme="majorBidi" w:hAnsiTheme="majorBidi" w:cs="David" w:hint="cs"/>
          <w:sz w:val="24"/>
          <w:szCs w:val="24"/>
          <w:rtl/>
        </w:rPr>
        <w:t xml:space="preserve"> סכום זה יצומצם ע"י בית המשפט (למשל תקבל רק את הפרש המחירים בין המחיר החוזי-</w:t>
      </w:r>
      <w:r w:rsidR="00EC50D6">
        <w:rPr>
          <w:rFonts w:asciiTheme="majorBidi" w:hAnsiTheme="majorBidi" w:cs="David" w:hint="cs"/>
          <w:sz w:val="24"/>
          <w:szCs w:val="24"/>
          <w:rtl/>
        </w:rPr>
        <w:t xml:space="preserve">250 למחיר ביום הפרת החוזה </w:t>
      </w:r>
      <w:r w:rsidR="00BC741A">
        <w:rPr>
          <w:rFonts w:asciiTheme="majorBidi" w:hAnsiTheme="majorBidi" w:cs="David" w:hint="cs"/>
          <w:sz w:val="24"/>
          <w:szCs w:val="24"/>
          <w:rtl/>
        </w:rPr>
        <w:t>310,</w:t>
      </w:r>
      <w:r w:rsidR="004373F9">
        <w:rPr>
          <w:rFonts w:asciiTheme="majorBidi" w:hAnsiTheme="majorBidi" w:cs="David" w:hint="cs"/>
          <w:sz w:val="24"/>
          <w:szCs w:val="24"/>
          <w:rtl/>
        </w:rPr>
        <w:t xml:space="preserve"> </w:t>
      </w:r>
      <w:r w:rsidR="00BC741A">
        <w:rPr>
          <w:rFonts w:asciiTheme="majorBidi" w:hAnsiTheme="majorBidi" w:cs="David" w:hint="cs"/>
          <w:sz w:val="24"/>
          <w:szCs w:val="24"/>
          <w:rtl/>
        </w:rPr>
        <w:t>קרי</w:t>
      </w:r>
      <w:r w:rsidR="00EC50D6">
        <w:rPr>
          <w:rFonts w:asciiTheme="majorBidi" w:hAnsiTheme="majorBidi" w:cs="David" w:hint="cs"/>
          <w:sz w:val="24"/>
          <w:szCs w:val="24"/>
          <w:rtl/>
        </w:rPr>
        <w:t xml:space="preserve"> </w:t>
      </w:r>
      <w:r w:rsidR="00A7773E">
        <w:rPr>
          <w:rFonts w:asciiTheme="majorBidi" w:hAnsiTheme="majorBidi" w:cs="David" w:hint="cs"/>
          <w:sz w:val="24"/>
          <w:szCs w:val="24"/>
          <w:rtl/>
        </w:rPr>
        <w:t>60 אלף ₪</w:t>
      </w:r>
      <w:r w:rsidR="00BC741A">
        <w:rPr>
          <w:rFonts w:asciiTheme="majorBidi" w:hAnsiTheme="majorBidi" w:cs="David" w:hint="cs"/>
          <w:sz w:val="24"/>
          <w:szCs w:val="24"/>
          <w:rtl/>
        </w:rPr>
        <w:t>)</w:t>
      </w:r>
      <w:r w:rsidR="00A7773E">
        <w:rPr>
          <w:rFonts w:asciiTheme="majorBidi" w:hAnsiTheme="majorBidi" w:cs="David" w:hint="cs"/>
          <w:sz w:val="24"/>
          <w:szCs w:val="24"/>
          <w:rtl/>
        </w:rPr>
        <w:t xml:space="preserve">. בהנחה וחברת הבונה </w:t>
      </w:r>
      <w:r w:rsidR="004373F9">
        <w:rPr>
          <w:rFonts w:asciiTheme="majorBidi" w:hAnsiTheme="majorBidi" w:cs="David" w:hint="cs"/>
          <w:sz w:val="24"/>
          <w:szCs w:val="24"/>
          <w:rtl/>
        </w:rPr>
        <w:t>ת</w:t>
      </w:r>
      <w:r w:rsidR="008601FE">
        <w:rPr>
          <w:rFonts w:asciiTheme="majorBidi" w:hAnsiTheme="majorBidi" w:cs="David" w:hint="cs"/>
          <w:sz w:val="24"/>
          <w:szCs w:val="24"/>
          <w:rtl/>
        </w:rPr>
        <w:t>וכיח כי ספגה</w:t>
      </w:r>
      <w:r w:rsidR="00A7773E">
        <w:rPr>
          <w:rFonts w:asciiTheme="majorBidi" w:hAnsiTheme="majorBidi" w:cs="David" w:hint="cs"/>
          <w:sz w:val="24"/>
          <w:szCs w:val="24"/>
          <w:rtl/>
        </w:rPr>
        <w:t xml:space="preserve"> הוצאות בעקבות ההסתמכות על החוזה, יתכן ותוכל לדרוש </w:t>
      </w:r>
      <w:r w:rsidR="00A7773E" w:rsidRPr="00995E34">
        <w:rPr>
          <w:rFonts w:asciiTheme="majorBidi" w:hAnsiTheme="majorBidi" w:cs="David" w:hint="cs"/>
          <w:sz w:val="24"/>
          <w:szCs w:val="24"/>
          <w:u w:val="single"/>
          <w:rtl/>
        </w:rPr>
        <w:t>פיצויי הסתמכות</w:t>
      </w:r>
      <w:r w:rsidR="008601FE">
        <w:rPr>
          <w:rFonts w:asciiTheme="majorBidi" w:hAnsiTheme="majorBidi" w:cs="David" w:hint="cs"/>
          <w:sz w:val="24"/>
          <w:szCs w:val="24"/>
          <w:rtl/>
        </w:rPr>
        <w:t xml:space="preserve"> מכוח סעיף 10</w:t>
      </w:r>
      <w:r w:rsidR="007708B7">
        <w:rPr>
          <w:rFonts w:asciiTheme="majorBidi" w:hAnsiTheme="majorBidi" w:cs="David" w:hint="cs"/>
          <w:sz w:val="24"/>
          <w:szCs w:val="24"/>
          <w:rtl/>
        </w:rPr>
        <w:t>.</w:t>
      </w:r>
    </w:p>
    <w:p w:rsidR="0039128A" w:rsidRDefault="00FC54B1" w:rsidP="0084570C">
      <w:pPr>
        <w:spacing w:line="480" w:lineRule="auto"/>
        <w:jc w:val="both"/>
        <w:rPr>
          <w:rFonts w:asciiTheme="majorBidi" w:hAnsiTheme="majorBidi" w:cs="David"/>
          <w:sz w:val="24"/>
          <w:szCs w:val="24"/>
          <w:rtl/>
        </w:rPr>
      </w:pPr>
      <w:r>
        <w:rPr>
          <w:rFonts w:asciiTheme="majorBidi" w:hAnsiTheme="majorBidi" w:cs="David" w:hint="cs"/>
          <w:sz w:val="24"/>
          <w:szCs w:val="24"/>
          <w:rtl/>
        </w:rPr>
        <w:t xml:space="preserve">לחילופין, תוכל חברת הבונה לדרוש פיצויים מכוח סעיף 11(א) </w:t>
      </w:r>
      <w:proofErr w:type="spellStart"/>
      <w:r w:rsidR="001F30FA">
        <w:rPr>
          <w:rFonts w:asciiTheme="majorBidi" w:hAnsiTheme="majorBidi" w:cs="David" w:hint="cs"/>
          <w:sz w:val="24"/>
          <w:szCs w:val="24"/>
          <w:rtl/>
        </w:rPr>
        <w:t>לחו"ת</w:t>
      </w:r>
      <w:proofErr w:type="spellEnd"/>
      <w:r w:rsidR="00385DF3">
        <w:rPr>
          <w:rFonts w:asciiTheme="majorBidi" w:hAnsiTheme="majorBidi" w:cs="David" w:hint="cs"/>
          <w:sz w:val="24"/>
          <w:szCs w:val="24"/>
          <w:rtl/>
        </w:rPr>
        <w:t xml:space="preserve">. </w:t>
      </w:r>
      <w:r w:rsidR="003016F4">
        <w:rPr>
          <w:rFonts w:asciiTheme="majorBidi" w:hAnsiTheme="majorBidi" w:cs="David" w:hint="cs"/>
          <w:sz w:val="24"/>
          <w:szCs w:val="24"/>
          <w:rtl/>
        </w:rPr>
        <w:t xml:space="preserve">ראוי לציין כי לפי סעיף 12, אין באמור בסעיף 11 כדי למנוע תביעת פיצויים לפי סעיף 10. </w:t>
      </w:r>
      <w:r w:rsidR="00385DF3">
        <w:rPr>
          <w:rFonts w:asciiTheme="majorBidi" w:hAnsiTheme="majorBidi" w:cs="David" w:hint="cs"/>
          <w:sz w:val="24"/>
          <w:szCs w:val="24"/>
          <w:rtl/>
        </w:rPr>
        <w:t>היתרונות</w:t>
      </w:r>
      <w:r>
        <w:rPr>
          <w:rFonts w:asciiTheme="majorBidi" w:hAnsiTheme="majorBidi" w:cs="David" w:hint="cs"/>
          <w:sz w:val="24"/>
          <w:szCs w:val="24"/>
          <w:rtl/>
        </w:rPr>
        <w:t xml:space="preserve"> המשמעותי</w:t>
      </w:r>
      <w:r w:rsidR="00D33305">
        <w:rPr>
          <w:rFonts w:asciiTheme="majorBidi" w:hAnsiTheme="majorBidi" w:cs="David" w:hint="cs"/>
          <w:sz w:val="24"/>
          <w:szCs w:val="24"/>
          <w:rtl/>
        </w:rPr>
        <w:t>ים</w:t>
      </w:r>
      <w:r>
        <w:rPr>
          <w:rFonts w:asciiTheme="majorBidi" w:hAnsiTheme="majorBidi" w:cs="David" w:hint="cs"/>
          <w:sz w:val="24"/>
          <w:szCs w:val="24"/>
          <w:rtl/>
        </w:rPr>
        <w:t xml:space="preserve"> שבשימוש בסעיף זה הוא </w:t>
      </w:r>
      <w:r w:rsidRPr="00FC54B1">
        <w:rPr>
          <w:rFonts w:asciiTheme="majorBidi" w:hAnsiTheme="majorBidi" w:cs="David" w:hint="cs"/>
          <w:sz w:val="24"/>
          <w:szCs w:val="24"/>
          <w:u w:val="single"/>
          <w:rtl/>
        </w:rPr>
        <w:t>שאינו דורש הוכחת נזק</w:t>
      </w:r>
      <w:r>
        <w:rPr>
          <w:rFonts w:asciiTheme="majorBidi" w:hAnsiTheme="majorBidi" w:cs="David" w:hint="cs"/>
          <w:sz w:val="24"/>
          <w:szCs w:val="24"/>
          <w:rtl/>
        </w:rPr>
        <w:t xml:space="preserve"> וכן </w:t>
      </w:r>
      <w:r w:rsidRPr="00FC54B1">
        <w:rPr>
          <w:rFonts w:asciiTheme="majorBidi" w:hAnsiTheme="majorBidi" w:cs="David" w:hint="cs"/>
          <w:sz w:val="24"/>
          <w:szCs w:val="24"/>
          <w:u w:val="single"/>
          <w:rtl/>
        </w:rPr>
        <w:t>שחובת הקטנת הנזק לא חלה עליו</w:t>
      </w:r>
      <w:r>
        <w:rPr>
          <w:rFonts w:asciiTheme="majorBidi" w:hAnsiTheme="majorBidi" w:cs="David" w:hint="cs"/>
          <w:sz w:val="24"/>
          <w:szCs w:val="24"/>
          <w:rtl/>
        </w:rPr>
        <w:t xml:space="preserve">. </w:t>
      </w:r>
      <w:r w:rsidR="00C575FD">
        <w:rPr>
          <w:rFonts w:asciiTheme="majorBidi" w:hAnsiTheme="majorBidi" w:cs="David" w:hint="cs"/>
          <w:sz w:val="24"/>
          <w:szCs w:val="24"/>
          <w:rtl/>
        </w:rPr>
        <w:t xml:space="preserve">במקרה זה נפנה לסעיף 11(א) רק לאחר הדיון בסעיף 10 כיוון שהוא מאפשר סכום נמוך יותר </w:t>
      </w:r>
      <w:r w:rsidR="00BC741A">
        <w:rPr>
          <w:rFonts w:asciiTheme="majorBidi" w:hAnsiTheme="majorBidi" w:cs="David" w:hint="cs"/>
          <w:sz w:val="24"/>
          <w:szCs w:val="24"/>
          <w:rtl/>
        </w:rPr>
        <w:t xml:space="preserve">מסעיף 10 </w:t>
      </w:r>
      <w:r w:rsidR="00C575FD">
        <w:rPr>
          <w:rFonts w:asciiTheme="majorBidi" w:hAnsiTheme="majorBidi" w:cs="David" w:hint="cs"/>
          <w:sz w:val="24"/>
          <w:szCs w:val="24"/>
          <w:rtl/>
        </w:rPr>
        <w:t xml:space="preserve">(ר' להלן). </w:t>
      </w:r>
      <w:r w:rsidR="00480B47">
        <w:rPr>
          <w:rFonts w:asciiTheme="majorBidi" w:hAnsiTheme="majorBidi" w:cs="David" w:hint="cs"/>
          <w:sz w:val="24"/>
          <w:szCs w:val="24"/>
          <w:rtl/>
        </w:rPr>
        <w:t>נבחן את התנאים להחלת הסעיף:</w:t>
      </w:r>
      <w:r>
        <w:rPr>
          <w:rFonts w:asciiTheme="majorBidi" w:hAnsiTheme="majorBidi" w:cs="David" w:hint="cs"/>
          <w:sz w:val="24"/>
          <w:szCs w:val="24"/>
          <w:rtl/>
        </w:rPr>
        <w:t xml:space="preserve"> ראשית - מדובר בחוזה לאספקת נכס או שירות. שנית, כאמור, בוצעה הפרה של חיוב. שלישית, החוזה בוטל עקב ההפרה</w:t>
      </w:r>
      <w:r w:rsidR="007A65EC">
        <w:rPr>
          <w:rFonts w:asciiTheme="majorBidi" w:hAnsiTheme="majorBidi" w:cs="David" w:hint="cs"/>
          <w:sz w:val="24"/>
          <w:szCs w:val="24"/>
          <w:rtl/>
        </w:rPr>
        <w:t xml:space="preserve"> (חברת הברזל הסכימה לקבל חזרה את המקדמה ומכאן שהסכימה לביטול החוזה)</w:t>
      </w:r>
      <w:r>
        <w:rPr>
          <w:rFonts w:asciiTheme="majorBidi" w:hAnsiTheme="majorBidi" w:cs="David" w:hint="cs"/>
          <w:sz w:val="24"/>
          <w:szCs w:val="24"/>
          <w:rtl/>
        </w:rPr>
        <w:t>. רביעית - קיים הפרש בין התמורה בעד הנכס לפי החוזה לבין שווי הנכס ביום ביטולו של החוזה</w:t>
      </w:r>
      <w:r w:rsidR="007A65EC">
        <w:rPr>
          <w:rFonts w:asciiTheme="majorBidi" w:hAnsiTheme="majorBidi" w:cs="David" w:hint="cs"/>
          <w:sz w:val="24"/>
          <w:szCs w:val="24"/>
          <w:rtl/>
        </w:rPr>
        <w:t xml:space="preserve"> (הכוונה למחיר האובייקטיבי הנקבע בשוק</w:t>
      </w:r>
      <w:r w:rsidR="00D23FDC" w:rsidRPr="00D23FDC">
        <w:rPr>
          <w:rStyle w:val="a6"/>
          <w:rFonts w:asciiTheme="majorBidi" w:hAnsiTheme="majorBidi" w:cs="David"/>
          <w:sz w:val="24"/>
          <w:szCs w:val="24"/>
          <w:rtl/>
        </w:rPr>
        <w:footnoteReference w:id="7"/>
      </w:r>
      <w:r w:rsidR="00D23FDC">
        <w:rPr>
          <w:rFonts w:asciiTheme="majorBidi" w:hAnsiTheme="majorBidi" w:cs="David" w:hint="cs"/>
          <w:sz w:val="24"/>
          <w:szCs w:val="24"/>
          <w:rtl/>
        </w:rPr>
        <w:t>)</w:t>
      </w:r>
      <w:r>
        <w:rPr>
          <w:rFonts w:asciiTheme="majorBidi" w:hAnsiTheme="majorBidi" w:cs="David" w:hint="cs"/>
          <w:sz w:val="24"/>
          <w:szCs w:val="24"/>
          <w:rtl/>
        </w:rPr>
        <w:t xml:space="preserve">. </w:t>
      </w:r>
      <w:r w:rsidR="00B6785B">
        <w:rPr>
          <w:rFonts w:asciiTheme="majorBidi" w:hAnsiTheme="majorBidi" w:cs="David" w:hint="cs"/>
          <w:sz w:val="24"/>
          <w:szCs w:val="24"/>
          <w:rtl/>
        </w:rPr>
        <w:t>לפי החוק</w:t>
      </w:r>
      <w:r w:rsidR="00C575FD">
        <w:rPr>
          <w:rFonts w:asciiTheme="majorBidi" w:hAnsiTheme="majorBidi" w:cs="David" w:hint="cs"/>
          <w:sz w:val="24"/>
          <w:szCs w:val="24"/>
          <w:rtl/>
        </w:rPr>
        <w:t>,</w:t>
      </w:r>
      <w:r w:rsidR="00B6785B">
        <w:rPr>
          <w:rFonts w:asciiTheme="majorBidi" w:hAnsiTheme="majorBidi" w:cs="David" w:hint="cs"/>
          <w:sz w:val="24"/>
          <w:szCs w:val="24"/>
          <w:rtl/>
        </w:rPr>
        <w:t xml:space="preserve"> </w:t>
      </w:r>
      <w:r w:rsidR="00C11E1F">
        <w:rPr>
          <w:rFonts w:asciiTheme="majorBidi" w:hAnsiTheme="majorBidi" w:cs="David" w:hint="cs"/>
          <w:sz w:val="24"/>
          <w:szCs w:val="24"/>
          <w:rtl/>
        </w:rPr>
        <w:t>את</w:t>
      </w:r>
      <w:r w:rsidR="007A65EC">
        <w:rPr>
          <w:rFonts w:asciiTheme="majorBidi" w:hAnsiTheme="majorBidi" w:cs="David" w:hint="cs"/>
          <w:sz w:val="24"/>
          <w:szCs w:val="24"/>
          <w:rtl/>
        </w:rPr>
        <w:t xml:space="preserve"> </w:t>
      </w:r>
      <w:r w:rsidR="00B43425">
        <w:rPr>
          <w:rFonts w:asciiTheme="majorBidi" w:hAnsiTheme="majorBidi" w:cs="David" w:hint="cs"/>
          <w:sz w:val="24"/>
          <w:szCs w:val="24"/>
          <w:rtl/>
        </w:rPr>
        <w:t xml:space="preserve">ההפרש בין המחירים </w:t>
      </w:r>
      <w:r w:rsidR="00C11E1F">
        <w:rPr>
          <w:rFonts w:asciiTheme="majorBidi" w:hAnsiTheme="majorBidi" w:cs="David" w:hint="cs"/>
          <w:sz w:val="24"/>
          <w:szCs w:val="24"/>
          <w:rtl/>
        </w:rPr>
        <w:t>יש ל</w:t>
      </w:r>
      <w:r w:rsidR="00B43425">
        <w:rPr>
          <w:rFonts w:asciiTheme="majorBidi" w:hAnsiTheme="majorBidi" w:cs="David" w:hint="cs"/>
          <w:sz w:val="24"/>
          <w:szCs w:val="24"/>
          <w:rtl/>
        </w:rPr>
        <w:t>מד</w:t>
      </w:r>
      <w:r w:rsidR="00C11E1F">
        <w:rPr>
          <w:rFonts w:asciiTheme="majorBidi" w:hAnsiTheme="majorBidi" w:cs="David" w:hint="cs"/>
          <w:sz w:val="24"/>
          <w:szCs w:val="24"/>
          <w:rtl/>
        </w:rPr>
        <w:t>ו</w:t>
      </w:r>
      <w:r w:rsidR="00B43425">
        <w:rPr>
          <w:rFonts w:asciiTheme="majorBidi" w:hAnsiTheme="majorBidi" w:cs="David" w:hint="cs"/>
          <w:sz w:val="24"/>
          <w:szCs w:val="24"/>
          <w:rtl/>
        </w:rPr>
        <w:t xml:space="preserve">ד לפי </w:t>
      </w:r>
      <w:r w:rsidR="00B43425" w:rsidRPr="00B43425">
        <w:rPr>
          <w:rFonts w:asciiTheme="majorBidi" w:hAnsiTheme="majorBidi" w:cs="David" w:hint="cs"/>
          <w:sz w:val="24"/>
          <w:szCs w:val="24"/>
          <w:u w:val="single"/>
          <w:rtl/>
        </w:rPr>
        <w:t>יום ביטול החוזה</w:t>
      </w:r>
      <w:r w:rsidR="00B43425">
        <w:rPr>
          <w:rFonts w:asciiTheme="majorBidi" w:hAnsiTheme="majorBidi" w:cs="David" w:hint="cs"/>
          <w:sz w:val="24"/>
          <w:szCs w:val="24"/>
          <w:rtl/>
        </w:rPr>
        <w:t>. במקרה זה נראה כי כל התנאים מתקיימים על כן תוכל חברת הבונה לדרוש 70 אלף ₪ (קרי ההפרש בין 320 אלף ₪ ביום הביטול למחיר החוזי 250 אלף</w:t>
      </w:r>
      <w:r w:rsidR="00F15A61">
        <w:rPr>
          <w:rFonts w:asciiTheme="majorBidi" w:hAnsiTheme="majorBidi" w:cs="David" w:hint="cs"/>
          <w:sz w:val="24"/>
          <w:szCs w:val="24"/>
          <w:rtl/>
        </w:rPr>
        <w:t xml:space="preserve"> ₪</w:t>
      </w:r>
      <w:r w:rsidR="00B43425">
        <w:rPr>
          <w:rFonts w:asciiTheme="majorBidi" w:hAnsiTheme="majorBidi" w:cs="David" w:hint="cs"/>
          <w:sz w:val="24"/>
          <w:szCs w:val="24"/>
          <w:rtl/>
        </w:rPr>
        <w:t>).</w:t>
      </w:r>
      <w:r w:rsidR="007A65EC">
        <w:rPr>
          <w:rFonts w:asciiTheme="majorBidi" w:hAnsiTheme="majorBidi" w:cs="David" w:hint="cs"/>
          <w:sz w:val="24"/>
          <w:szCs w:val="24"/>
          <w:rtl/>
        </w:rPr>
        <w:t xml:space="preserve"> </w:t>
      </w:r>
      <w:r w:rsidR="005853EF">
        <w:rPr>
          <w:rFonts w:asciiTheme="majorBidi" w:hAnsiTheme="majorBidi" w:cs="David" w:hint="cs"/>
          <w:sz w:val="24"/>
          <w:szCs w:val="24"/>
          <w:rtl/>
        </w:rPr>
        <w:t>גם במקרה זה תוכל לטעון חברת הברזל, כי חברת הבונה מפעילה את סעיף 11(א) בניגוד לחובת תום הלב, כיוון שהמתינה שבוע בין יום ההפרה ועד למועד הביטול</w:t>
      </w:r>
      <w:r w:rsidR="00731060">
        <w:rPr>
          <w:rFonts w:asciiTheme="majorBidi" w:hAnsiTheme="majorBidi" w:cs="David" w:hint="cs"/>
          <w:sz w:val="24"/>
          <w:szCs w:val="24"/>
          <w:rtl/>
        </w:rPr>
        <w:t xml:space="preserve"> וזאת למרות שברור שמחירי הברזל יאמירו בזמן זה לאור המגמה</w:t>
      </w:r>
      <w:r w:rsidR="005853EF">
        <w:rPr>
          <w:rFonts w:asciiTheme="majorBidi" w:hAnsiTheme="majorBidi" w:cs="David" w:hint="cs"/>
          <w:sz w:val="24"/>
          <w:szCs w:val="24"/>
          <w:rtl/>
        </w:rPr>
        <w:t xml:space="preserve">. </w:t>
      </w:r>
      <w:r w:rsidR="00BC741A">
        <w:rPr>
          <w:rFonts w:asciiTheme="majorBidi" w:hAnsiTheme="majorBidi" w:cs="David" w:hint="cs"/>
          <w:sz w:val="24"/>
          <w:szCs w:val="24"/>
          <w:rtl/>
        </w:rPr>
        <w:t xml:space="preserve">הברזל תטען לדעתו של </w:t>
      </w:r>
      <w:r w:rsidR="00FB3592">
        <w:rPr>
          <w:rFonts w:asciiTheme="majorBidi" w:hAnsiTheme="majorBidi" w:cs="David" w:hint="cs"/>
          <w:sz w:val="24"/>
          <w:szCs w:val="24"/>
          <w:rtl/>
        </w:rPr>
        <w:t>השופט ריבלין ב</w:t>
      </w:r>
      <w:r w:rsidR="00BC741A">
        <w:rPr>
          <w:rFonts w:asciiTheme="majorBidi" w:hAnsiTheme="majorBidi" w:cs="David" w:hint="cs"/>
          <w:sz w:val="24"/>
          <w:szCs w:val="24"/>
          <w:rtl/>
        </w:rPr>
        <w:t xml:space="preserve">פסד </w:t>
      </w:r>
      <w:proofErr w:type="spellStart"/>
      <w:r w:rsidR="001F30FA">
        <w:rPr>
          <w:rFonts w:asciiTheme="majorBidi" w:hAnsiTheme="majorBidi" w:cs="David" w:hint="cs"/>
          <w:sz w:val="24"/>
          <w:szCs w:val="24"/>
          <w:rtl/>
        </w:rPr>
        <w:t>אינשטיין</w:t>
      </w:r>
      <w:proofErr w:type="spellEnd"/>
      <w:r w:rsidR="00BC741A">
        <w:rPr>
          <w:rFonts w:asciiTheme="majorBidi" w:hAnsiTheme="majorBidi" w:cs="David" w:hint="cs"/>
          <w:sz w:val="24"/>
          <w:szCs w:val="24"/>
          <w:rtl/>
        </w:rPr>
        <w:t xml:space="preserve"> כי</w:t>
      </w:r>
      <w:r w:rsidR="00D33305">
        <w:rPr>
          <w:rFonts w:asciiTheme="majorBidi" w:hAnsiTheme="majorBidi" w:cs="David" w:hint="cs"/>
          <w:sz w:val="24"/>
          <w:szCs w:val="24"/>
          <w:rtl/>
        </w:rPr>
        <w:t xml:space="preserve"> </w:t>
      </w:r>
      <w:r w:rsidR="00CA2A9F">
        <w:rPr>
          <w:rFonts w:asciiTheme="majorBidi" w:hAnsiTheme="majorBidi" w:cs="David" w:hint="cs"/>
          <w:sz w:val="24"/>
          <w:szCs w:val="24"/>
          <w:rtl/>
        </w:rPr>
        <w:t xml:space="preserve">יש </w:t>
      </w:r>
      <w:r w:rsidR="00BC741A">
        <w:rPr>
          <w:rFonts w:asciiTheme="majorBidi" w:hAnsiTheme="majorBidi" w:cs="David" w:hint="cs"/>
          <w:sz w:val="24"/>
          <w:szCs w:val="24"/>
          <w:rtl/>
        </w:rPr>
        <w:t>להפעיל את סעיף 11(א)</w:t>
      </w:r>
      <w:r w:rsidR="00AF5756">
        <w:rPr>
          <w:rFonts w:asciiTheme="majorBidi" w:hAnsiTheme="majorBidi" w:cs="David" w:hint="cs"/>
          <w:sz w:val="24"/>
          <w:szCs w:val="24"/>
          <w:rtl/>
        </w:rPr>
        <w:t xml:space="preserve"> לפי שווי השוק בעת בה</w:t>
      </w:r>
      <w:r w:rsidR="00FB3592">
        <w:rPr>
          <w:rFonts w:asciiTheme="majorBidi" w:hAnsiTheme="majorBidi" w:cs="David" w:hint="cs"/>
          <w:sz w:val="24"/>
          <w:szCs w:val="24"/>
          <w:rtl/>
        </w:rPr>
        <w:t xml:space="preserve"> </w:t>
      </w:r>
      <w:r w:rsidR="00FB3592" w:rsidRPr="00CA2A9F">
        <w:rPr>
          <w:rFonts w:asciiTheme="majorBidi" w:hAnsiTheme="majorBidi" w:cs="David" w:hint="cs"/>
          <w:sz w:val="24"/>
          <w:szCs w:val="24"/>
          <w:u w:val="single"/>
          <w:rtl/>
        </w:rPr>
        <w:t>היה ראוי לבטל</w:t>
      </w:r>
      <w:r w:rsidR="00FB3592">
        <w:rPr>
          <w:rFonts w:asciiTheme="majorBidi" w:hAnsiTheme="majorBidi" w:cs="David" w:hint="cs"/>
          <w:sz w:val="24"/>
          <w:szCs w:val="24"/>
          <w:rtl/>
        </w:rPr>
        <w:t xml:space="preserve"> את החוזה ולא בעת בה בוטל בפועל</w:t>
      </w:r>
      <w:r w:rsidR="001F30FA">
        <w:rPr>
          <w:rStyle w:val="a6"/>
          <w:rFonts w:asciiTheme="majorBidi" w:hAnsiTheme="majorBidi" w:cs="David"/>
          <w:sz w:val="24"/>
          <w:szCs w:val="24"/>
          <w:rtl/>
        </w:rPr>
        <w:footnoteReference w:id="8"/>
      </w:r>
      <w:r w:rsidR="00BC741A">
        <w:rPr>
          <w:rFonts w:asciiTheme="majorBidi" w:hAnsiTheme="majorBidi" w:cs="David" w:hint="cs"/>
          <w:sz w:val="24"/>
          <w:szCs w:val="24"/>
          <w:rtl/>
        </w:rPr>
        <w:t xml:space="preserve">. </w:t>
      </w:r>
      <w:r w:rsidR="005853EF">
        <w:rPr>
          <w:rFonts w:asciiTheme="majorBidi" w:hAnsiTheme="majorBidi" w:cs="David" w:hint="cs"/>
          <w:sz w:val="24"/>
          <w:szCs w:val="24"/>
          <w:rtl/>
        </w:rPr>
        <w:t xml:space="preserve">בשבוע </w:t>
      </w:r>
      <w:r w:rsidR="00FB3592">
        <w:rPr>
          <w:rFonts w:asciiTheme="majorBidi" w:hAnsiTheme="majorBidi" w:cs="David" w:hint="cs"/>
          <w:sz w:val="24"/>
          <w:szCs w:val="24"/>
          <w:rtl/>
        </w:rPr>
        <w:t>ההמתנה</w:t>
      </w:r>
      <w:r w:rsidR="005853EF">
        <w:rPr>
          <w:rFonts w:asciiTheme="majorBidi" w:hAnsiTheme="majorBidi" w:cs="David" w:hint="cs"/>
          <w:sz w:val="24"/>
          <w:szCs w:val="24"/>
          <w:rtl/>
        </w:rPr>
        <w:t xml:space="preserve"> עלה מחיר הברזל בכ-10 אלף ₪, על כן </w:t>
      </w:r>
      <w:r w:rsidR="0060024C">
        <w:rPr>
          <w:rFonts w:asciiTheme="majorBidi" w:hAnsiTheme="majorBidi" w:cs="David" w:hint="cs"/>
          <w:sz w:val="24"/>
          <w:szCs w:val="24"/>
          <w:rtl/>
        </w:rPr>
        <w:t xml:space="preserve">יש </w:t>
      </w:r>
      <w:r w:rsidR="005853EF">
        <w:rPr>
          <w:rFonts w:asciiTheme="majorBidi" w:hAnsiTheme="majorBidi" w:cs="David" w:hint="cs"/>
          <w:sz w:val="24"/>
          <w:szCs w:val="24"/>
          <w:rtl/>
        </w:rPr>
        <w:t xml:space="preserve">לקזז אותם </w:t>
      </w:r>
      <w:r w:rsidR="00CA3E45">
        <w:rPr>
          <w:rFonts w:asciiTheme="majorBidi" w:hAnsiTheme="majorBidi" w:cs="David" w:hint="cs"/>
          <w:sz w:val="24"/>
          <w:szCs w:val="24"/>
          <w:rtl/>
        </w:rPr>
        <w:t>מ</w:t>
      </w:r>
      <w:r w:rsidR="005853EF">
        <w:rPr>
          <w:rFonts w:asciiTheme="majorBidi" w:hAnsiTheme="majorBidi" w:cs="David" w:hint="cs"/>
          <w:sz w:val="24"/>
          <w:szCs w:val="24"/>
          <w:rtl/>
        </w:rPr>
        <w:t xml:space="preserve">הפיצויים. תטען הבונה כי </w:t>
      </w:r>
      <w:r w:rsidR="003C3AA1">
        <w:rPr>
          <w:rFonts w:asciiTheme="majorBidi" w:hAnsiTheme="majorBidi" w:cs="David" w:hint="cs"/>
          <w:sz w:val="24"/>
          <w:szCs w:val="24"/>
          <w:rtl/>
        </w:rPr>
        <w:t>השיהוי בשבוע היה</w:t>
      </w:r>
      <w:r w:rsidR="000D28A7">
        <w:rPr>
          <w:rFonts w:asciiTheme="majorBidi" w:hAnsiTheme="majorBidi" w:cs="David" w:hint="cs"/>
          <w:sz w:val="24"/>
          <w:szCs w:val="24"/>
          <w:rtl/>
        </w:rPr>
        <w:t xml:space="preserve"> </w:t>
      </w:r>
      <w:r w:rsidR="005853EF">
        <w:rPr>
          <w:rFonts w:asciiTheme="majorBidi" w:hAnsiTheme="majorBidi" w:cs="David" w:hint="cs"/>
          <w:sz w:val="24"/>
          <w:szCs w:val="24"/>
          <w:rtl/>
        </w:rPr>
        <w:t xml:space="preserve">כדי לתת לחברת הברזל זמן </w:t>
      </w:r>
      <w:r w:rsidR="000D28A7">
        <w:rPr>
          <w:rFonts w:asciiTheme="majorBidi" w:hAnsiTheme="majorBidi" w:cs="David" w:hint="cs"/>
          <w:sz w:val="24"/>
          <w:szCs w:val="24"/>
          <w:rtl/>
        </w:rPr>
        <w:t xml:space="preserve">להתחרט על הפרת </w:t>
      </w:r>
      <w:r w:rsidR="00FB3592">
        <w:rPr>
          <w:rFonts w:asciiTheme="majorBidi" w:hAnsiTheme="majorBidi" w:cs="David" w:hint="cs"/>
          <w:sz w:val="24"/>
          <w:szCs w:val="24"/>
          <w:rtl/>
        </w:rPr>
        <w:t xml:space="preserve">החוזה או לנסות להגיע </w:t>
      </w:r>
      <w:r w:rsidR="00FB3592">
        <w:rPr>
          <w:rFonts w:asciiTheme="majorBidi" w:hAnsiTheme="majorBidi" w:cs="David" w:hint="cs"/>
          <w:sz w:val="24"/>
          <w:szCs w:val="24"/>
          <w:rtl/>
        </w:rPr>
        <w:lastRenderedPageBreak/>
        <w:t>לפשרה.</w:t>
      </w:r>
      <w:r w:rsidR="005853EF">
        <w:rPr>
          <w:rFonts w:asciiTheme="majorBidi" w:hAnsiTheme="majorBidi" w:cs="David" w:hint="cs"/>
          <w:sz w:val="24"/>
          <w:szCs w:val="24"/>
          <w:rtl/>
        </w:rPr>
        <w:t xml:space="preserve"> </w:t>
      </w:r>
      <w:r w:rsidR="00BC741A">
        <w:rPr>
          <w:rFonts w:asciiTheme="majorBidi" w:hAnsiTheme="majorBidi" w:cs="David" w:hint="cs"/>
          <w:sz w:val="24"/>
          <w:szCs w:val="24"/>
          <w:rtl/>
        </w:rPr>
        <w:t>כמו כן</w:t>
      </w:r>
      <w:r w:rsidR="001745C4">
        <w:rPr>
          <w:rFonts w:asciiTheme="majorBidi" w:hAnsiTheme="majorBidi" w:cs="David" w:hint="cs"/>
          <w:sz w:val="24"/>
          <w:szCs w:val="24"/>
          <w:rtl/>
        </w:rPr>
        <w:t xml:space="preserve"> תטען </w:t>
      </w:r>
      <w:r w:rsidR="00335313">
        <w:rPr>
          <w:rFonts w:asciiTheme="majorBidi" w:hAnsiTheme="majorBidi" w:cs="David" w:hint="cs"/>
          <w:sz w:val="24"/>
          <w:szCs w:val="24"/>
          <w:rtl/>
        </w:rPr>
        <w:t>לכך</w:t>
      </w:r>
      <w:r w:rsidR="001745C4">
        <w:rPr>
          <w:rFonts w:asciiTheme="majorBidi" w:hAnsiTheme="majorBidi" w:cs="David" w:hint="cs"/>
          <w:sz w:val="24"/>
          <w:szCs w:val="24"/>
          <w:rtl/>
        </w:rPr>
        <w:t xml:space="preserve"> </w:t>
      </w:r>
      <w:r w:rsidR="00335313">
        <w:rPr>
          <w:rFonts w:asciiTheme="majorBidi" w:hAnsiTheme="majorBidi" w:cs="David" w:hint="cs"/>
          <w:sz w:val="24"/>
          <w:szCs w:val="24"/>
          <w:rtl/>
        </w:rPr>
        <w:t>שמפסק דינו של</w:t>
      </w:r>
      <w:r w:rsidR="001745C4">
        <w:rPr>
          <w:rFonts w:asciiTheme="majorBidi" w:hAnsiTheme="majorBidi" w:cs="David" w:hint="cs"/>
          <w:sz w:val="24"/>
          <w:szCs w:val="24"/>
          <w:rtl/>
        </w:rPr>
        <w:t xml:space="preserve"> השופט ברק </w:t>
      </w:r>
      <w:r w:rsidR="00335313">
        <w:rPr>
          <w:rFonts w:asciiTheme="majorBidi" w:hAnsiTheme="majorBidi" w:cs="David" w:hint="cs"/>
          <w:sz w:val="24"/>
          <w:szCs w:val="24"/>
          <w:rtl/>
        </w:rPr>
        <w:t xml:space="preserve">בפרשת </w:t>
      </w:r>
      <w:proofErr w:type="spellStart"/>
      <w:r w:rsidR="001745C4">
        <w:rPr>
          <w:rFonts w:asciiTheme="majorBidi" w:hAnsiTheme="majorBidi" w:cs="David" w:hint="cs"/>
          <w:sz w:val="24"/>
          <w:szCs w:val="24"/>
          <w:rtl/>
        </w:rPr>
        <w:t>אינשטיין</w:t>
      </w:r>
      <w:proofErr w:type="spellEnd"/>
      <w:r w:rsidR="00BC741A">
        <w:rPr>
          <w:rFonts w:asciiTheme="majorBidi" w:hAnsiTheme="majorBidi" w:cs="David" w:hint="cs"/>
          <w:sz w:val="24"/>
          <w:szCs w:val="24"/>
          <w:rtl/>
        </w:rPr>
        <w:t xml:space="preserve"> </w:t>
      </w:r>
      <w:r w:rsidR="00335313">
        <w:rPr>
          <w:rFonts w:asciiTheme="majorBidi" w:hAnsiTheme="majorBidi" w:cs="David" w:hint="cs"/>
          <w:sz w:val="24"/>
          <w:szCs w:val="24"/>
          <w:rtl/>
        </w:rPr>
        <w:t xml:space="preserve">משתמע כי </w:t>
      </w:r>
      <w:r w:rsidR="00BC741A">
        <w:rPr>
          <w:rFonts w:asciiTheme="majorBidi" w:hAnsiTheme="majorBidi" w:cs="David" w:hint="cs"/>
          <w:sz w:val="24"/>
          <w:szCs w:val="24"/>
          <w:rtl/>
        </w:rPr>
        <w:t>התחשבות במחיר בעת בה "היה ראוי לבטל" תיצור נטל משמעותי על החישוב הפשוט של סעיף 11(א)</w:t>
      </w:r>
      <w:r w:rsidR="008659B9">
        <w:rPr>
          <w:rStyle w:val="a6"/>
          <w:rFonts w:asciiTheme="majorBidi" w:hAnsiTheme="majorBidi" w:cs="David"/>
          <w:sz w:val="24"/>
          <w:szCs w:val="24"/>
          <w:rtl/>
        </w:rPr>
        <w:footnoteReference w:id="9"/>
      </w:r>
      <w:r w:rsidR="00BC741A">
        <w:rPr>
          <w:rFonts w:asciiTheme="majorBidi" w:hAnsiTheme="majorBidi" w:cs="David" w:hint="cs"/>
          <w:sz w:val="24"/>
          <w:szCs w:val="24"/>
          <w:rtl/>
        </w:rPr>
        <w:t>.</w:t>
      </w:r>
      <w:r w:rsidR="0039128A">
        <w:rPr>
          <w:rFonts w:asciiTheme="majorBidi" w:hAnsiTheme="majorBidi" w:cs="David" w:hint="cs"/>
          <w:sz w:val="24"/>
          <w:szCs w:val="24"/>
          <w:rtl/>
        </w:rPr>
        <w:t xml:space="preserve"> </w:t>
      </w:r>
    </w:p>
    <w:p w:rsidR="00C36D63" w:rsidRDefault="00244E1F" w:rsidP="0070077E">
      <w:pPr>
        <w:spacing w:line="480" w:lineRule="auto"/>
        <w:jc w:val="both"/>
        <w:rPr>
          <w:rFonts w:asciiTheme="majorBidi" w:hAnsiTheme="majorBidi" w:cs="David"/>
          <w:sz w:val="24"/>
          <w:szCs w:val="24"/>
          <w:rtl/>
        </w:rPr>
      </w:pPr>
      <w:r>
        <w:rPr>
          <w:rFonts w:asciiTheme="majorBidi" w:hAnsiTheme="majorBidi" w:cs="David" w:hint="cs"/>
          <w:sz w:val="24"/>
          <w:szCs w:val="24"/>
          <w:rtl/>
        </w:rPr>
        <w:t>לחילופין, תוכל חבר</w:t>
      </w:r>
      <w:r w:rsidR="00AB6642">
        <w:rPr>
          <w:rFonts w:asciiTheme="majorBidi" w:hAnsiTheme="majorBidi" w:cs="David" w:hint="cs"/>
          <w:sz w:val="24"/>
          <w:szCs w:val="24"/>
          <w:rtl/>
        </w:rPr>
        <w:t>ת הבונה לדרוש את הפיצויים המוסכמ</w:t>
      </w:r>
      <w:r>
        <w:rPr>
          <w:rFonts w:asciiTheme="majorBidi" w:hAnsiTheme="majorBidi" w:cs="David" w:hint="cs"/>
          <w:sz w:val="24"/>
          <w:szCs w:val="24"/>
          <w:rtl/>
        </w:rPr>
        <w:t xml:space="preserve">ים </w:t>
      </w:r>
      <w:r w:rsidR="00AB6642">
        <w:rPr>
          <w:rFonts w:asciiTheme="majorBidi" w:hAnsiTheme="majorBidi" w:cs="David" w:hint="cs"/>
          <w:sz w:val="24"/>
          <w:szCs w:val="24"/>
          <w:rtl/>
        </w:rPr>
        <w:t xml:space="preserve">שמופיעים </w:t>
      </w:r>
      <w:r w:rsidR="003C3AA1">
        <w:rPr>
          <w:rFonts w:asciiTheme="majorBidi" w:hAnsiTheme="majorBidi" w:cs="David" w:hint="cs"/>
          <w:sz w:val="24"/>
          <w:szCs w:val="24"/>
          <w:rtl/>
        </w:rPr>
        <w:t>בחוזה</w:t>
      </w:r>
      <w:r w:rsidR="00AB6642">
        <w:rPr>
          <w:rFonts w:asciiTheme="majorBidi" w:hAnsiTheme="majorBidi" w:cs="David" w:hint="cs"/>
          <w:sz w:val="24"/>
          <w:szCs w:val="24"/>
          <w:rtl/>
        </w:rPr>
        <w:t xml:space="preserve"> קרי 75 אלף ₪ מכוח סעיף 15(א) </w:t>
      </w:r>
      <w:proofErr w:type="spellStart"/>
      <w:r w:rsidR="00AB6642">
        <w:rPr>
          <w:rFonts w:asciiTheme="majorBidi" w:hAnsiTheme="majorBidi" w:cs="David" w:hint="cs"/>
          <w:sz w:val="24"/>
          <w:szCs w:val="24"/>
          <w:rtl/>
        </w:rPr>
        <w:t>ל</w:t>
      </w:r>
      <w:r w:rsidR="002E73E0">
        <w:rPr>
          <w:rFonts w:asciiTheme="majorBidi" w:hAnsiTheme="majorBidi" w:cs="David" w:hint="cs"/>
          <w:sz w:val="24"/>
          <w:szCs w:val="24"/>
          <w:rtl/>
        </w:rPr>
        <w:t>חו"ת</w:t>
      </w:r>
      <w:proofErr w:type="spellEnd"/>
      <w:r w:rsidR="00BC741A">
        <w:rPr>
          <w:rFonts w:asciiTheme="majorBidi" w:hAnsiTheme="majorBidi" w:cs="David" w:hint="cs"/>
          <w:sz w:val="24"/>
          <w:szCs w:val="24"/>
          <w:rtl/>
        </w:rPr>
        <w:t xml:space="preserve">. </w:t>
      </w:r>
      <w:r w:rsidR="005733A7">
        <w:rPr>
          <w:rFonts w:asciiTheme="majorBidi" w:hAnsiTheme="majorBidi" w:cs="David" w:hint="cs"/>
          <w:sz w:val="24"/>
          <w:szCs w:val="24"/>
          <w:rtl/>
        </w:rPr>
        <w:t xml:space="preserve">דרישת פיצויים מוסכמים </w:t>
      </w:r>
      <w:r w:rsidR="005733A7" w:rsidRPr="00480B47">
        <w:rPr>
          <w:rFonts w:asciiTheme="majorBidi" w:hAnsiTheme="majorBidi" w:cs="David" w:hint="cs"/>
          <w:sz w:val="24"/>
          <w:szCs w:val="24"/>
          <w:u w:val="single"/>
          <w:rtl/>
        </w:rPr>
        <w:t>לא כרוכה בהוכחת נזק</w:t>
      </w:r>
      <w:r w:rsidR="00A77139">
        <w:rPr>
          <w:rFonts w:asciiTheme="majorBidi" w:hAnsiTheme="majorBidi" w:cs="David" w:hint="cs"/>
          <w:sz w:val="24"/>
          <w:szCs w:val="24"/>
          <w:rtl/>
        </w:rPr>
        <w:t>.</w:t>
      </w:r>
      <w:r w:rsidR="00AB6642">
        <w:rPr>
          <w:rFonts w:asciiTheme="majorBidi" w:hAnsiTheme="majorBidi" w:cs="David" w:hint="cs"/>
          <w:sz w:val="24"/>
          <w:szCs w:val="24"/>
          <w:rtl/>
        </w:rPr>
        <w:t xml:space="preserve"> </w:t>
      </w:r>
      <w:r w:rsidR="00374BA2">
        <w:rPr>
          <w:rFonts w:asciiTheme="majorBidi" w:hAnsiTheme="majorBidi" w:cs="David" w:hint="cs"/>
          <w:sz w:val="24"/>
          <w:szCs w:val="24"/>
          <w:rtl/>
        </w:rPr>
        <w:t>במקרה זה עולות שאלות פרשנו</w:t>
      </w:r>
      <w:r w:rsidR="000E689D">
        <w:rPr>
          <w:rFonts w:asciiTheme="majorBidi" w:hAnsiTheme="majorBidi" w:cs="David" w:hint="cs"/>
          <w:sz w:val="24"/>
          <w:szCs w:val="24"/>
          <w:rtl/>
        </w:rPr>
        <w:t xml:space="preserve">ת </w:t>
      </w:r>
      <w:r w:rsidR="00D73D22">
        <w:rPr>
          <w:rFonts w:asciiTheme="majorBidi" w:hAnsiTheme="majorBidi" w:cs="David" w:hint="cs"/>
          <w:sz w:val="24"/>
          <w:szCs w:val="24"/>
          <w:rtl/>
        </w:rPr>
        <w:t>-</w:t>
      </w:r>
      <w:r w:rsidR="000E689D">
        <w:rPr>
          <w:rFonts w:asciiTheme="majorBidi" w:hAnsiTheme="majorBidi" w:cs="David" w:hint="cs"/>
          <w:sz w:val="24"/>
          <w:szCs w:val="24"/>
          <w:rtl/>
        </w:rPr>
        <w:t xml:space="preserve"> האם הפיצויים המוסכמים מתייחסים לכל הפרה של החוזה</w:t>
      </w:r>
      <w:r w:rsidR="00D73D22">
        <w:rPr>
          <w:rFonts w:asciiTheme="majorBidi" w:hAnsiTheme="majorBidi" w:cs="David" w:hint="cs"/>
          <w:sz w:val="24"/>
          <w:szCs w:val="24"/>
          <w:rtl/>
        </w:rPr>
        <w:t xml:space="preserve"> ? </w:t>
      </w:r>
      <w:r w:rsidR="00374BA2">
        <w:rPr>
          <w:rFonts w:asciiTheme="majorBidi" w:hAnsiTheme="majorBidi" w:cs="David" w:hint="cs"/>
          <w:sz w:val="24"/>
          <w:szCs w:val="24"/>
          <w:rtl/>
        </w:rPr>
        <w:t xml:space="preserve">כמו כן, האם ניתן במקרה זה להפעיל </w:t>
      </w:r>
      <w:r w:rsidR="00374BA2" w:rsidRPr="00A77139">
        <w:rPr>
          <w:rFonts w:asciiTheme="majorBidi" w:hAnsiTheme="majorBidi" w:cs="David" w:hint="cs"/>
          <w:sz w:val="24"/>
          <w:szCs w:val="24"/>
          <w:u w:val="single"/>
          <w:rtl/>
        </w:rPr>
        <w:t>במקביל</w:t>
      </w:r>
      <w:r w:rsidR="00374BA2">
        <w:rPr>
          <w:rFonts w:asciiTheme="majorBidi" w:hAnsiTheme="majorBidi" w:cs="David" w:hint="cs"/>
          <w:sz w:val="24"/>
          <w:szCs w:val="24"/>
          <w:rtl/>
        </w:rPr>
        <w:t xml:space="preserve"> גם פיצויים מכוח סעיפים אחרים</w:t>
      </w:r>
      <w:r w:rsidR="0084570C">
        <w:rPr>
          <w:rFonts w:asciiTheme="majorBidi" w:hAnsiTheme="majorBidi" w:cs="David" w:hint="cs"/>
          <w:sz w:val="24"/>
          <w:szCs w:val="24"/>
          <w:rtl/>
        </w:rPr>
        <w:t xml:space="preserve"> ?</w:t>
      </w:r>
      <w:r w:rsidR="00374BA2">
        <w:rPr>
          <w:rFonts w:asciiTheme="majorBidi" w:hAnsiTheme="majorBidi" w:cs="David" w:hint="cs"/>
          <w:sz w:val="24"/>
          <w:szCs w:val="24"/>
          <w:rtl/>
        </w:rPr>
        <w:t xml:space="preserve"> </w:t>
      </w:r>
      <w:r w:rsidR="00D73D22">
        <w:rPr>
          <w:rFonts w:asciiTheme="majorBidi" w:hAnsiTheme="majorBidi" w:cs="David" w:hint="cs"/>
          <w:sz w:val="24"/>
          <w:szCs w:val="24"/>
          <w:rtl/>
        </w:rPr>
        <w:t xml:space="preserve">תטען חברת הבונה </w:t>
      </w:r>
      <w:r w:rsidR="0058149A">
        <w:rPr>
          <w:rFonts w:asciiTheme="majorBidi" w:hAnsiTheme="majorBidi" w:cs="David" w:hint="cs"/>
          <w:sz w:val="24"/>
          <w:szCs w:val="24"/>
          <w:rtl/>
        </w:rPr>
        <w:t xml:space="preserve">כי </w:t>
      </w:r>
      <w:r w:rsidR="00A77139">
        <w:rPr>
          <w:rFonts w:asciiTheme="majorBidi" w:hAnsiTheme="majorBidi" w:cs="David" w:hint="cs"/>
          <w:sz w:val="24"/>
          <w:szCs w:val="24"/>
          <w:rtl/>
        </w:rPr>
        <w:t xml:space="preserve">לפי לשון החוזה </w:t>
      </w:r>
      <w:r w:rsidR="0058149A">
        <w:rPr>
          <w:rFonts w:asciiTheme="majorBidi" w:hAnsiTheme="majorBidi" w:cs="David" w:hint="cs"/>
          <w:sz w:val="24"/>
          <w:szCs w:val="24"/>
          <w:rtl/>
        </w:rPr>
        <w:t xml:space="preserve">הפיצויים </w:t>
      </w:r>
      <w:r w:rsidR="00A77139">
        <w:rPr>
          <w:rFonts w:asciiTheme="majorBidi" w:hAnsiTheme="majorBidi" w:cs="David" w:hint="cs"/>
          <w:sz w:val="24"/>
          <w:szCs w:val="24"/>
          <w:rtl/>
        </w:rPr>
        <w:t xml:space="preserve">הם על </w:t>
      </w:r>
      <w:r w:rsidR="00A77139" w:rsidRPr="00A77139">
        <w:rPr>
          <w:rFonts w:asciiTheme="majorBidi" w:hAnsiTheme="majorBidi" w:cs="David" w:hint="cs"/>
          <w:sz w:val="24"/>
          <w:szCs w:val="24"/>
          <w:u w:val="single"/>
          <w:rtl/>
        </w:rPr>
        <w:t>כל</w:t>
      </w:r>
      <w:r w:rsidR="00A77139">
        <w:rPr>
          <w:rFonts w:asciiTheme="majorBidi" w:hAnsiTheme="majorBidi" w:cs="David" w:hint="cs"/>
          <w:sz w:val="24"/>
          <w:szCs w:val="24"/>
          <w:rtl/>
        </w:rPr>
        <w:t xml:space="preserve"> הפרה של החוזה - גישה זו כמובן תמנע ממנה להפעיל במקביל גם סעיפים אחרים, כיוון שלא תוכל להוכיח ראש נזק אחר</w:t>
      </w:r>
      <w:r w:rsidR="00A77139">
        <w:rPr>
          <w:rStyle w:val="a6"/>
          <w:rFonts w:asciiTheme="majorBidi" w:hAnsiTheme="majorBidi" w:cs="David"/>
          <w:sz w:val="24"/>
          <w:szCs w:val="24"/>
          <w:rtl/>
        </w:rPr>
        <w:footnoteReference w:id="10"/>
      </w:r>
      <w:r w:rsidR="0058149A">
        <w:rPr>
          <w:rFonts w:asciiTheme="majorBidi" w:hAnsiTheme="majorBidi" w:cs="David" w:hint="cs"/>
          <w:sz w:val="24"/>
          <w:szCs w:val="24"/>
          <w:rtl/>
        </w:rPr>
        <w:t xml:space="preserve">. </w:t>
      </w:r>
      <w:r w:rsidR="007F43F1">
        <w:rPr>
          <w:rFonts w:asciiTheme="majorBidi" w:hAnsiTheme="majorBidi" w:cs="David" w:hint="cs"/>
          <w:sz w:val="24"/>
          <w:szCs w:val="24"/>
          <w:rtl/>
        </w:rPr>
        <w:t>חברת הברזל תטען</w:t>
      </w:r>
      <w:r w:rsidR="00581EE5">
        <w:rPr>
          <w:rFonts w:asciiTheme="majorBidi" w:hAnsiTheme="majorBidi" w:cs="David" w:hint="cs"/>
          <w:sz w:val="24"/>
          <w:szCs w:val="24"/>
          <w:rtl/>
        </w:rPr>
        <w:t xml:space="preserve"> (ונטל ההוכחה עליה)</w:t>
      </w:r>
      <w:r w:rsidR="007F43F1">
        <w:rPr>
          <w:rFonts w:asciiTheme="majorBidi" w:hAnsiTheme="majorBidi" w:cs="David" w:hint="cs"/>
          <w:sz w:val="24"/>
          <w:szCs w:val="24"/>
          <w:rtl/>
        </w:rPr>
        <w:t xml:space="preserve"> כי יש לצמצם את הפיצויים </w:t>
      </w:r>
      <w:r w:rsidR="000E689D">
        <w:rPr>
          <w:rFonts w:asciiTheme="majorBidi" w:hAnsiTheme="majorBidi" w:cs="David" w:hint="cs"/>
          <w:sz w:val="24"/>
          <w:szCs w:val="24"/>
          <w:rtl/>
        </w:rPr>
        <w:t xml:space="preserve">המוסכמים </w:t>
      </w:r>
      <w:r w:rsidR="007F43F1">
        <w:rPr>
          <w:rFonts w:asciiTheme="majorBidi" w:hAnsiTheme="majorBidi" w:cs="David" w:hint="cs"/>
          <w:sz w:val="24"/>
          <w:szCs w:val="24"/>
          <w:rtl/>
        </w:rPr>
        <w:t xml:space="preserve">מהסיבות הבאות: </w:t>
      </w:r>
      <w:r w:rsidR="00BE793D">
        <w:rPr>
          <w:rFonts w:asciiTheme="majorBidi" w:hAnsiTheme="majorBidi" w:cs="David" w:hint="cs"/>
          <w:sz w:val="24"/>
          <w:szCs w:val="24"/>
          <w:rtl/>
        </w:rPr>
        <w:t xml:space="preserve">ראשית, </w:t>
      </w:r>
      <w:r w:rsidR="00BE793D" w:rsidRPr="00956C68">
        <w:rPr>
          <w:rFonts w:asciiTheme="majorBidi" w:hAnsiTheme="majorBidi" w:cs="David" w:hint="cs"/>
          <w:sz w:val="24"/>
          <w:szCs w:val="24"/>
          <w:u w:val="single"/>
          <w:rtl/>
        </w:rPr>
        <w:t>בחוזה אין פירוט לגבי מתי יופעלו בפיצויים</w:t>
      </w:r>
      <w:r w:rsidR="00BE793D">
        <w:rPr>
          <w:rFonts w:asciiTheme="majorBidi" w:hAnsiTheme="majorBidi" w:cs="David" w:hint="cs"/>
          <w:sz w:val="24"/>
          <w:szCs w:val="24"/>
          <w:rtl/>
        </w:rPr>
        <w:t xml:space="preserve"> ועל כן מדובר בתניה גורפת שאיננה סבירה, תוכל אף להרחיק לכת ולטעון כי הפיצויים המוסכמים הם רק על איחור באספקת </w:t>
      </w:r>
      <w:r w:rsidR="00425C7D">
        <w:rPr>
          <w:rFonts w:asciiTheme="majorBidi" w:hAnsiTheme="majorBidi" w:cs="David" w:hint="cs"/>
          <w:sz w:val="24"/>
          <w:szCs w:val="24"/>
          <w:rtl/>
        </w:rPr>
        <w:t xml:space="preserve">הברזל אך לא על אי מסירתו </w:t>
      </w:r>
      <w:r w:rsidR="00BE793D">
        <w:rPr>
          <w:rFonts w:asciiTheme="majorBidi" w:hAnsiTheme="majorBidi" w:cs="David" w:hint="cs"/>
          <w:sz w:val="24"/>
          <w:szCs w:val="24"/>
          <w:rtl/>
        </w:rPr>
        <w:t>שכן במקרה זה הבונה יכולה לרכוש תחליף ואין נזק. שנית,</w:t>
      </w:r>
      <w:r w:rsidR="007F43F1">
        <w:rPr>
          <w:rFonts w:asciiTheme="majorBidi" w:hAnsiTheme="majorBidi" w:cs="David" w:hint="cs"/>
          <w:sz w:val="24"/>
          <w:szCs w:val="24"/>
          <w:rtl/>
        </w:rPr>
        <w:t xml:space="preserve"> לא מתקיים </w:t>
      </w:r>
      <w:r w:rsidR="007F43F1" w:rsidRPr="00095E27">
        <w:rPr>
          <w:rFonts w:asciiTheme="majorBidi" w:hAnsiTheme="majorBidi" w:cs="David" w:hint="cs"/>
          <w:sz w:val="24"/>
          <w:szCs w:val="24"/>
          <w:u w:val="single"/>
          <w:rtl/>
        </w:rPr>
        <w:t>יחס סביר בין גובה הפיצויים לנזק הצפוי</w:t>
      </w:r>
      <w:r w:rsidR="002656B1">
        <w:rPr>
          <w:rFonts w:asciiTheme="majorBidi" w:hAnsiTheme="majorBidi" w:cs="David" w:hint="cs"/>
          <w:sz w:val="24"/>
          <w:szCs w:val="24"/>
          <w:u w:val="single"/>
          <w:rtl/>
        </w:rPr>
        <w:t xml:space="preserve"> (מבחן אובייקטיבי)</w:t>
      </w:r>
      <w:r w:rsidR="007C71EF">
        <w:rPr>
          <w:rStyle w:val="a6"/>
          <w:rFonts w:asciiTheme="majorBidi" w:hAnsiTheme="majorBidi" w:cs="David"/>
          <w:sz w:val="24"/>
          <w:szCs w:val="24"/>
          <w:rtl/>
        </w:rPr>
        <w:footnoteReference w:id="11"/>
      </w:r>
      <w:r w:rsidR="0058149A">
        <w:rPr>
          <w:rFonts w:asciiTheme="majorBidi" w:hAnsiTheme="majorBidi" w:cs="David" w:hint="cs"/>
          <w:sz w:val="24"/>
          <w:szCs w:val="24"/>
          <w:rtl/>
        </w:rPr>
        <w:t>:</w:t>
      </w:r>
      <w:r w:rsidR="007F43F1">
        <w:rPr>
          <w:rFonts w:asciiTheme="majorBidi" w:hAnsiTheme="majorBidi" w:cs="David" w:hint="cs"/>
          <w:sz w:val="24"/>
          <w:szCs w:val="24"/>
          <w:rtl/>
        </w:rPr>
        <w:t xml:space="preserve"> בעת כריתת החוזה, </w:t>
      </w:r>
      <w:r w:rsidR="00095E27">
        <w:rPr>
          <w:rFonts w:asciiTheme="majorBidi" w:hAnsiTheme="majorBidi" w:cs="David" w:hint="cs"/>
          <w:sz w:val="24"/>
          <w:szCs w:val="24"/>
          <w:rtl/>
        </w:rPr>
        <w:t xml:space="preserve">לא </w:t>
      </w:r>
      <w:r w:rsidR="00E60920">
        <w:rPr>
          <w:rFonts w:asciiTheme="majorBidi" w:hAnsiTheme="majorBidi" w:cs="David" w:hint="cs"/>
          <w:sz w:val="24"/>
          <w:szCs w:val="24"/>
          <w:rtl/>
        </w:rPr>
        <w:t>ניתן היה</w:t>
      </w:r>
      <w:r w:rsidR="00095E27">
        <w:rPr>
          <w:rFonts w:asciiTheme="majorBidi" w:hAnsiTheme="majorBidi" w:cs="David" w:hint="cs"/>
          <w:sz w:val="24"/>
          <w:szCs w:val="24"/>
          <w:rtl/>
        </w:rPr>
        <w:t xml:space="preserve"> לצפות שהפרה</w:t>
      </w:r>
      <w:r w:rsidR="000711F4">
        <w:rPr>
          <w:rFonts w:asciiTheme="majorBidi" w:hAnsiTheme="majorBidi" w:cs="David" w:hint="cs"/>
          <w:sz w:val="24"/>
          <w:szCs w:val="24"/>
          <w:rtl/>
        </w:rPr>
        <w:t xml:space="preserve"> </w:t>
      </w:r>
      <w:r w:rsidR="00095E27">
        <w:rPr>
          <w:rFonts w:asciiTheme="majorBidi" w:hAnsiTheme="majorBidi" w:cs="David" w:hint="cs"/>
          <w:sz w:val="24"/>
          <w:szCs w:val="24"/>
          <w:rtl/>
        </w:rPr>
        <w:t>תביא לנזק הנקוב בפיצויים</w:t>
      </w:r>
      <w:r w:rsidR="002F4C4C">
        <w:rPr>
          <w:rFonts w:asciiTheme="majorBidi" w:hAnsiTheme="majorBidi" w:cs="David" w:hint="cs"/>
          <w:sz w:val="24"/>
          <w:szCs w:val="24"/>
          <w:rtl/>
        </w:rPr>
        <w:t xml:space="preserve"> </w:t>
      </w:r>
      <w:r w:rsidR="00E60920">
        <w:rPr>
          <w:rFonts w:asciiTheme="majorBidi" w:hAnsiTheme="majorBidi" w:cs="David" w:hint="cs"/>
          <w:sz w:val="24"/>
          <w:szCs w:val="24"/>
          <w:rtl/>
        </w:rPr>
        <w:t>-</w:t>
      </w:r>
      <w:r w:rsidR="000711F4">
        <w:rPr>
          <w:rFonts w:asciiTheme="majorBidi" w:hAnsiTheme="majorBidi" w:cs="David" w:hint="cs"/>
          <w:sz w:val="24"/>
          <w:szCs w:val="24"/>
          <w:rtl/>
        </w:rPr>
        <w:t xml:space="preserve"> </w:t>
      </w:r>
      <w:r w:rsidR="00E60920">
        <w:rPr>
          <w:rFonts w:asciiTheme="majorBidi" w:hAnsiTheme="majorBidi" w:cs="David" w:hint="cs"/>
          <w:sz w:val="24"/>
          <w:szCs w:val="24"/>
          <w:rtl/>
        </w:rPr>
        <w:t xml:space="preserve">לא </w:t>
      </w:r>
      <w:r w:rsidR="000711F4">
        <w:rPr>
          <w:rFonts w:asciiTheme="majorBidi" w:hAnsiTheme="majorBidi" w:cs="David" w:hint="cs"/>
          <w:sz w:val="24"/>
          <w:szCs w:val="24"/>
          <w:rtl/>
        </w:rPr>
        <w:t>ניתן לצפות</w:t>
      </w:r>
      <w:r w:rsidR="002F4C4C">
        <w:rPr>
          <w:rFonts w:asciiTheme="majorBidi" w:hAnsiTheme="majorBidi" w:cs="David" w:hint="cs"/>
          <w:sz w:val="24"/>
          <w:szCs w:val="24"/>
          <w:rtl/>
        </w:rPr>
        <w:t xml:space="preserve"> </w:t>
      </w:r>
      <w:r w:rsidR="000711F4">
        <w:rPr>
          <w:rFonts w:asciiTheme="majorBidi" w:hAnsiTheme="majorBidi" w:cs="David" w:hint="cs"/>
          <w:sz w:val="24"/>
          <w:szCs w:val="24"/>
          <w:rtl/>
        </w:rPr>
        <w:t>את ה</w:t>
      </w:r>
      <w:r w:rsidR="002F4C4C">
        <w:rPr>
          <w:rFonts w:asciiTheme="majorBidi" w:hAnsiTheme="majorBidi" w:cs="David" w:hint="cs"/>
          <w:sz w:val="24"/>
          <w:szCs w:val="24"/>
          <w:rtl/>
        </w:rPr>
        <w:t xml:space="preserve">תנודות </w:t>
      </w:r>
      <w:r w:rsidR="000711F4">
        <w:rPr>
          <w:rFonts w:asciiTheme="majorBidi" w:hAnsiTheme="majorBidi" w:cs="David" w:hint="cs"/>
          <w:sz w:val="24"/>
          <w:szCs w:val="24"/>
          <w:rtl/>
        </w:rPr>
        <w:t>ה</w:t>
      </w:r>
      <w:r w:rsidR="002F4C4C">
        <w:rPr>
          <w:rFonts w:asciiTheme="majorBidi" w:hAnsiTheme="majorBidi" w:cs="David" w:hint="cs"/>
          <w:sz w:val="24"/>
          <w:szCs w:val="24"/>
          <w:rtl/>
        </w:rPr>
        <w:t xml:space="preserve">מחיר הברזל </w:t>
      </w:r>
      <w:r w:rsidR="0070077E">
        <w:rPr>
          <w:rFonts w:asciiTheme="majorBidi" w:hAnsiTheme="majorBidi" w:cs="David" w:hint="cs"/>
          <w:sz w:val="24"/>
          <w:szCs w:val="24"/>
          <w:rtl/>
        </w:rPr>
        <w:t>וכן את עיקוב הבונה</w:t>
      </w:r>
      <w:r w:rsidR="00BC741A">
        <w:rPr>
          <w:rFonts w:asciiTheme="majorBidi" w:hAnsiTheme="majorBidi" w:cs="David" w:hint="cs"/>
          <w:sz w:val="24"/>
          <w:szCs w:val="24"/>
          <w:rtl/>
        </w:rPr>
        <w:t xml:space="preserve"> ברכישת התחליף</w:t>
      </w:r>
      <w:r w:rsidR="00095E27">
        <w:rPr>
          <w:rFonts w:asciiTheme="majorBidi" w:hAnsiTheme="majorBidi" w:cs="David" w:hint="cs"/>
          <w:sz w:val="24"/>
          <w:szCs w:val="24"/>
          <w:rtl/>
        </w:rPr>
        <w:t>. שלישי</w:t>
      </w:r>
      <w:r w:rsidR="00264B33">
        <w:rPr>
          <w:rFonts w:asciiTheme="majorBidi" w:hAnsiTheme="majorBidi" w:cs="David" w:hint="cs"/>
          <w:sz w:val="24"/>
          <w:szCs w:val="24"/>
          <w:rtl/>
        </w:rPr>
        <w:t xml:space="preserve">ת, הפעלת סעיף הפיצויים המוסכמים לאחר השיהוי הארוך </w:t>
      </w:r>
      <w:r w:rsidR="00095E27">
        <w:rPr>
          <w:rFonts w:asciiTheme="majorBidi" w:hAnsiTheme="majorBidi" w:cs="David" w:hint="cs"/>
          <w:sz w:val="24"/>
          <w:szCs w:val="24"/>
          <w:rtl/>
        </w:rPr>
        <w:t xml:space="preserve">מהווה </w:t>
      </w:r>
      <w:r w:rsidR="00095E27" w:rsidRPr="00956C68">
        <w:rPr>
          <w:rFonts w:asciiTheme="majorBidi" w:hAnsiTheme="majorBidi" w:cs="David" w:hint="cs"/>
          <w:sz w:val="24"/>
          <w:szCs w:val="24"/>
          <w:u w:val="single"/>
          <w:rtl/>
        </w:rPr>
        <w:t>הפרה של חובת תום הלב</w:t>
      </w:r>
      <w:r w:rsidR="00095E27">
        <w:rPr>
          <w:rFonts w:asciiTheme="majorBidi" w:hAnsiTheme="majorBidi" w:cs="David" w:hint="cs"/>
          <w:sz w:val="24"/>
          <w:szCs w:val="24"/>
          <w:rtl/>
        </w:rPr>
        <w:t xml:space="preserve"> לפי סעיף 39. מנגד תטען חברת הבונה כי </w:t>
      </w:r>
      <w:r w:rsidR="00C220E3">
        <w:rPr>
          <w:rFonts w:asciiTheme="majorBidi" w:hAnsiTheme="majorBidi" w:cs="David" w:hint="cs"/>
          <w:sz w:val="24"/>
          <w:szCs w:val="24"/>
          <w:rtl/>
        </w:rPr>
        <w:t xml:space="preserve">הברזל נדרש לבניה. אי עמידה </w:t>
      </w:r>
      <w:proofErr w:type="spellStart"/>
      <w:r w:rsidR="00C220E3">
        <w:rPr>
          <w:rFonts w:asciiTheme="majorBidi" w:hAnsiTheme="majorBidi" w:cs="David" w:hint="cs"/>
          <w:sz w:val="24"/>
          <w:szCs w:val="24"/>
          <w:rtl/>
        </w:rPr>
        <w:t>בלו"זים</w:t>
      </w:r>
      <w:proofErr w:type="spellEnd"/>
      <w:r w:rsidR="00C220E3">
        <w:rPr>
          <w:rFonts w:asciiTheme="majorBidi" w:hAnsiTheme="majorBidi" w:cs="David" w:hint="cs"/>
          <w:sz w:val="24"/>
          <w:szCs w:val="24"/>
          <w:rtl/>
        </w:rPr>
        <w:t xml:space="preserve"> של בנייה</w:t>
      </w:r>
      <w:r w:rsidR="000E58E4">
        <w:rPr>
          <w:rFonts w:asciiTheme="majorBidi" w:hAnsiTheme="majorBidi" w:cs="David" w:hint="cs"/>
          <w:sz w:val="24"/>
          <w:szCs w:val="24"/>
          <w:rtl/>
        </w:rPr>
        <w:t xml:space="preserve"> עקב אי אספקת הברזל</w:t>
      </w:r>
      <w:r w:rsidR="00C220E3">
        <w:rPr>
          <w:rFonts w:asciiTheme="majorBidi" w:hAnsiTheme="majorBidi" w:cs="David" w:hint="cs"/>
          <w:sz w:val="24"/>
          <w:szCs w:val="24"/>
          <w:rtl/>
        </w:rPr>
        <w:t xml:space="preserve"> יכולה להביא לנזקים גבוהים ביותר לקבלן על כן הפיצויים סבירים</w:t>
      </w:r>
      <w:r w:rsidR="00095E27">
        <w:rPr>
          <w:rFonts w:asciiTheme="majorBidi" w:hAnsiTheme="majorBidi" w:cs="David" w:hint="cs"/>
          <w:sz w:val="24"/>
          <w:szCs w:val="24"/>
          <w:rtl/>
        </w:rPr>
        <w:t>. כמו כן, תטען לדעת השופ</w:t>
      </w:r>
      <w:r w:rsidR="00E50F4C">
        <w:rPr>
          <w:rFonts w:asciiTheme="majorBidi" w:hAnsiTheme="majorBidi" w:cs="David" w:hint="cs"/>
          <w:sz w:val="24"/>
          <w:szCs w:val="24"/>
          <w:rtl/>
        </w:rPr>
        <w:t>ט</w:t>
      </w:r>
      <w:r w:rsidR="00095E27">
        <w:rPr>
          <w:rFonts w:asciiTheme="majorBidi" w:hAnsiTheme="majorBidi" w:cs="David" w:hint="cs"/>
          <w:sz w:val="24"/>
          <w:szCs w:val="24"/>
          <w:rtl/>
        </w:rPr>
        <w:t xml:space="preserve"> שמגר בפס"ד חשל כי יש להפחית פיצוים מוסכמים </w:t>
      </w:r>
      <w:r w:rsidR="00264B33">
        <w:rPr>
          <w:rFonts w:asciiTheme="majorBidi" w:hAnsiTheme="majorBidi" w:cs="David" w:hint="cs"/>
          <w:sz w:val="24"/>
          <w:szCs w:val="24"/>
          <w:rtl/>
        </w:rPr>
        <w:t xml:space="preserve">רק במקרים חריגים </w:t>
      </w:r>
      <w:r w:rsidR="00095E27">
        <w:rPr>
          <w:rFonts w:asciiTheme="majorBidi" w:hAnsiTheme="majorBidi" w:cs="David" w:hint="cs"/>
          <w:sz w:val="24"/>
          <w:szCs w:val="24"/>
          <w:rtl/>
        </w:rPr>
        <w:t>ואין המקרה כזה</w:t>
      </w:r>
      <w:r w:rsidR="00F12A2A">
        <w:rPr>
          <w:rStyle w:val="a6"/>
          <w:rFonts w:asciiTheme="majorBidi" w:hAnsiTheme="majorBidi" w:cs="David"/>
          <w:sz w:val="24"/>
          <w:szCs w:val="24"/>
          <w:rtl/>
        </w:rPr>
        <w:footnoteReference w:id="12"/>
      </w:r>
      <w:r w:rsidR="00095E27">
        <w:rPr>
          <w:rFonts w:asciiTheme="majorBidi" w:hAnsiTheme="majorBidi" w:cs="David" w:hint="cs"/>
          <w:sz w:val="24"/>
          <w:szCs w:val="24"/>
          <w:rtl/>
        </w:rPr>
        <w:t xml:space="preserve">. בפס"ד חשל נקבע גם כי עצם העמידה על זכות </w:t>
      </w:r>
      <w:r w:rsidR="00FE343B">
        <w:rPr>
          <w:rFonts w:asciiTheme="majorBidi" w:hAnsiTheme="majorBidi" w:cs="David" w:hint="cs"/>
          <w:sz w:val="24"/>
          <w:szCs w:val="24"/>
          <w:rtl/>
        </w:rPr>
        <w:t>לפיצויים מוסכמים</w:t>
      </w:r>
      <w:r w:rsidR="00095E27">
        <w:rPr>
          <w:rFonts w:asciiTheme="majorBidi" w:hAnsiTheme="majorBidi" w:cs="David" w:hint="cs"/>
          <w:sz w:val="24"/>
          <w:szCs w:val="24"/>
          <w:rtl/>
        </w:rPr>
        <w:t xml:space="preserve"> לא מהווה הפרת חובת תום לב, אלא אם נתלווה אליה הכשלת </w:t>
      </w:r>
      <w:r w:rsidR="00CA2A9F">
        <w:rPr>
          <w:rFonts w:asciiTheme="majorBidi" w:hAnsiTheme="majorBidi" w:cs="David" w:hint="cs"/>
          <w:sz w:val="24"/>
          <w:szCs w:val="24"/>
          <w:rtl/>
        </w:rPr>
        <w:t xml:space="preserve">הצד </w:t>
      </w:r>
      <w:r w:rsidR="00264B33">
        <w:rPr>
          <w:rFonts w:asciiTheme="majorBidi" w:hAnsiTheme="majorBidi" w:cs="David" w:hint="cs"/>
          <w:sz w:val="24"/>
          <w:szCs w:val="24"/>
          <w:rtl/>
        </w:rPr>
        <w:t>שכנגד</w:t>
      </w:r>
      <w:r w:rsidR="00180A6D">
        <w:rPr>
          <w:rFonts w:asciiTheme="majorBidi" w:hAnsiTheme="majorBidi" w:cs="David" w:hint="cs"/>
          <w:sz w:val="24"/>
          <w:szCs w:val="24"/>
          <w:rtl/>
        </w:rPr>
        <w:t xml:space="preserve">. </w:t>
      </w:r>
    </w:p>
    <w:p w:rsidR="00BF7533" w:rsidRDefault="002F4C4C" w:rsidP="0026001F">
      <w:pPr>
        <w:spacing w:line="480" w:lineRule="auto"/>
        <w:jc w:val="both"/>
        <w:rPr>
          <w:rFonts w:asciiTheme="majorBidi" w:hAnsiTheme="majorBidi" w:cs="David"/>
          <w:sz w:val="24"/>
          <w:szCs w:val="24"/>
          <w:rtl/>
        </w:rPr>
      </w:pPr>
      <w:r w:rsidRPr="00180A6D">
        <w:rPr>
          <w:rFonts w:asciiTheme="majorBidi" w:hAnsiTheme="majorBidi" w:cs="David" w:hint="cs"/>
          <w:b/>
          <w:bCs/>
          <w:sz w:val="24"/>
          <w:szCs w:val="24"/>
          <w:rtl/>
        </w:rPr>
        <w:t>סעיף ב</w:t>
      </w:r>
      <w:r>
        <w:rPr>
          <w:rFonts w:asciiTheme="majorBidi" w:hAnsiTheme="majorBidi" w:cs="David" w:hint="cs"/>
          <w:sz w:val="24"/>
          <w:szCs w:val="24"/>
          <w:rtl/>
        </w:rPr>
        <w:t>:</w:t>
      </w:r>
      <w:r w:rsidR="00F22465">
        <w:rPr>
          <w:rFonts w:asciiTheme="majorBidi" w:hAnsiTheme="majorBidi" w:cs="David" w:hint="cs"/>
          <w:sz w:val="24"/>
          <w:szCs w:val="24"/>
          <w:rtl/>
        </w:rPr>
        <w:t xml:space="preserve"> </w:t>
      </w:r>
      <w:r w:rsidR="00CF378F">
        <w:rPr>
          <w:rFonts w:asciiTheme="majorBidi" w:hAnsiTheme="majorBidi" w:cs="David" w:hint="cs"/>
          <w:sz w:val="24"/>
          <w:szCs w:val="24"/>
          <w:rtl/>
        </w:rPr>
        <w:t xml:space="preserve">נראה כי יהיה קושי לדרוש פיצויי קיום לפי סעיף 10 </w:t>
      </w:r>
      <w:proofErr w:type="spellStart"/>
      <w:r w:rsidR="002E73E0">
        <w:rPr>
          <w:rFonts w:asciiTheme="majorBidi" w:hAnsiTheme="majorBidi" w:cs="David" w:hint="cs"/>
          <w:sz w:val="24"/>
          <w:szCs w:val="24"/>
          <w:rtl/>
        </w:rPr>
        <w:t>לחו"ת</w:t>
      </w:r>
      <w:proofErr w:type="spellEnd"/>
      <w:r w:rsidR="00CF378F">
        <w:rPr>
          <w:rFonts w:asciiTheme="majorBidi" w:hAnsiTheme="majorBidi" w:cs="David" w:hint="cs"/>
          <w:sz w:val="24"/>
          <w:szCs w:val="24"/>
          <w:rtl/>
        </w:rPr>
        <w:t xml:space="preserve">, כיוון שחברת הבונה </w:t>
      </w:r>
      <w:r w:rsidR="00CF378F" w:rsidRPr="008B69E8">
        <w:rPr>
          <w:rFonts w:asciiTheme="majorBidi" w:hAnsiTheme="majorBidi" w:cs="David" w:hint="cs"/>
          <w:sz w:val="24"/>
          <w:szCs w:val="24"/>
          <w:u w:val="single"/>
          <w:rtl/>
        </w:rPr>
        <w:t>תתקשה להוכיח נזק</w:t>
      </w:r>
      <w:r w:rsidR="006F2AE0" w:rsidRPr="006F2AE0">
        <w:rPr>
          <w:rFonts w:asciiTheme="majorBidi" w:hAnsiTheme="majorBidi" w:cs="David" w:hint="cs"/>
          <w:sz w:val="24"/>
          <w:szCs w:val="24"/>
          <w:rtl/>
        </w:rPr>
        <w:t xml:space="preserve"> </w:t>
      </w:r>
      <w:r w:rsidR="00CF378F">
        <w:rPr>
          <w:rFonts w:asciiTheme="majorBidi" w:hAnsiTheme="majorBidi" w:cs="David" w:hint="cs"/>
          <w:sz w:val="24"/>
          <w:szCs w:val="24"/>
          <w:rtl/>
        </w:rPr>
        <w:t>- בפועל רכשה ברזל במחיר זול יותר.</w:t>
      </w:r>
      <w:r w:rsidR="009338CF">
        <w:rPr>
          <w:rFonts w:asciiTheme="majorBidi" w:hAnsiTheme="majorBidi" w:cs="David" w:hint="cs"/>
          <w:sz w:val="24"/>
          <w:szCs w:val="24"/>
          <w:rtl/>
        </w:rPr>
        <w:t xml:space="preserve"> </w:t>
      </w:r>
      <w:r w:rsidR="008B69E8">
        <w:rPr>
          <w:rFonts w:asciiTheme="majorBidi" w:hAnsiTheme="majorBidi" w:cs="David" w:hint="cs"/>
          <w:sz w:val="24"/>
          <w:szCs w:val="24"/>
          <w:rtl/>
        </w:rPr>
        <w:t>החברה תוכל לנסו</w:t>
      </w:r>
      <w:r w:rsidR="003C1013">
        <w:rPr>
          <w:rFonts w:asciiTheme="majorBidi" w:hAnsiTheme="majorBidi" w:cs="David" w:hint="cs"/>
          <w:sz w:val="24"/>
          <w:szCs w:val="24"/>
          <w:rtl/>
        </w:rPr>
        <w:t xml:space="preserve">ת ולהוכיח פיצויי הסתמכות כאמור </w:t>
      </w:r>
      <w:r w:rsidR="008B69E8">
        <w:rPr>
          <w:rFonts w:asciiTheme="majorBidi" w:hAnsiTheme="majorBidi" w:cs="David" w:hint="cs"/>
          <w:sz w:val="24"/>
          <w:szCs w:val="24"/>
          <w:rtl/>
        </w:rPr>
        <w:t xml:space="preserve">בסעיף א. </w:t>
      </w:r>
      <w:r w:rsidR="009338CF">
        <w:rPr>
          <w:rFonts w:asciiTheme="majorBidi" w:hAnsiTheme="majorBidi" w:cs="David" w:hint="cs"/>
          <w:sz w:val="24"/>
          <w:szCs w:val="24"/>
          <w:rtl/>
        </w:rPr>
        <w:t>בעיה דומה תתעורר בנ</w:t>
      </w:r>
      <w:r w:rsidR="00347C6D">
        <w:rPr>
          <w:rFonts w:asciiTheme="majorBidi" w:hAnsiTheme="majorBidi" w:cs="David" w:hint="cs"/>
          <w:sz w:val="24"/>
          <w:szCs w:val="24"/>
          <w:rtl/>
        </w:rPr>
        <w:t>י</w:t>
      </w:r>
      <w:r w:rsidR="009338CF">
        <w:rPr>
          <w:rFonts w:asciiTheme="majorBidi" w:hAnsiTheme="majorBidi" w:cs="David" w:hint="cs"/>
          <w:sz w:val="24"/>
          <w:szCs w:val="24"/>
          <w:rtl/>
        </w:rPr>
        <w:t xml:space="preserve">סיון להפעיל את סעיף 11(א) שהרי </w:t>
      </w:r>
      <w:r w:rsidR="00BF7533">
        <w:rPr>
          <w:rFonts w:asciiTheme="majorBidi" w:hAnsiTheme="majorBidi" w:cs="David" w:hint="cs"/>
          <w:sz w:val="24"/>
          <w:szCs w:val="24"/>
          <w:rtl/>
        </w:rPr>
        <w:t xml:space="preserve">במקרה זה </w:t>
      </w:r>
      <w:r w:rsidR="009338CF">
        <w:rPr>
          <w:rFonts w:asciiTheme="majorBidi" w:hAnsiTheme="majorBidi" w:cs="David" w:hint="cs"/>
          <w:sz w:val="24"/>
          <w:szCs w:val="24"/>
          <w:rtl/>
        </w:rPr>
        <w:t xml:space="preserve">ההפרש </w:t>
      </w:r>
      <w:r w:rsidR="00C803F6">
        <w:rPr>
          <w:rFonts w:asciiTheme="majorBidi" w:hAnsiTheme="majorBidi" w:cs="David" w:hint="cs"/>
          <w:sz w:val="24"/>
          <w:szCs w:val="24"/>
          <w:rtl/>
        </w:rPr>
        <w:t xml:space="preserve">הנדרש </w:t>
      </w:r>
      <w:r w:rsidR="00BF7533">
        <w:rPr>
          <w:rFonts w:asciiTheme="majorBidi" w:hAnsiTheme="majorBidi" w:cs="David" w:hint="cs"/>
          <w:sz w:val="24"/>
          <w:szCs w:val="24"/>
          <w:rtl/>
        </w:rPr>
        <w:t>בסעיף</w:t>
      </w:r>
      <w:r w:rsidR="001F16DD">
        <w:rPr>
          <w:rFonts w:asciiTheme="majorBidi" w:hAnsiTheme="majorBidi" w:cs="David" w:hint="cs"/>
          <w:sz w:val="24"/>
          <w:szCs w:val="24"/>
          <w:rtl/>
        </w:rPr>
        <w:t xml:space="preserve"> הינו שלילי, כלומר לטובת חברת הבונה.</w:t>
      </w:r>
      <w:r w:rsidR="005213EB">
        <w:rPr>
          <w:rFonts w:asciiTheme="majorBidi" w:hAnsiTheme="majorBidi" w:cs="David" w:hint="cs"/>
          <w:sz w:val="24"/>
          <w:szCs w:val="24"/>
          <w:rtl/>
        </w:rPr>
        <w:t xml:space="preserve"> </w:t>
      </w:r>
      <w:r w:rsidR="00BF7533">
        <w:rPr>
          <w:rFonts w:asciiTheme="majorBidi" w:hAnsiTheme="majorBidi" w:cs="David" w:hint="cs"/>
          <w:sz w:val="24"/>
          <w:szCs w:val="24"/>
          <w:rtl/>
        </w:rPr>
        <w:t xml:space="preserve">על כן, </w:t>
      </w:r>
      <w:r w:rsidR="005213EB">
        <w:rPr>
          <w:rFonts w:asciiTheme="majorBidi" w:hAnsiTheme="majorBidi" w:cs="David" w:hint="cs"/>
          <w:sz w:val="24"/>
          <w:szCs w:val="24"/>
          <w:rtl/>
        </w:rPr>
        <w:t>חברת הבונה תדרוש את הפיצויים המוסכמים בחוזה מכוח סעיף 15</w:t>
      </w:r>
      <w:r w:rsidR="003728D9">
        <w:rPr>
          <w:rFonts w:asciiTheme="majorBidi" w:hAnsiTheme="majorBidi" w:cs="David" w:hint="cs"/>
          <w:sz w:val="24"/>
          <w:szCs w:val="24"/>
          <w:rtl/>
        </w:rPr>
        <w:t>(א)</w:t>
      </w:r>
      <w:r w:rsidR="005213EB">
        <w:rPr>
          <w:rFonts w:asciiTheme="majorBidi" w:hAnsiTheme="majorBidi" w:cs="David" w:hint="cs"/>
          <w:sz w:val="24"/>
          <w:szCs w:val="24"/>
          <w:rtl/>
        </w:rPr>
        <w:t xml:space="preserve">. </w:t>
      </w:r>
      <w:r w:rsidR="00BF7533">
        <w:rPr>
          <w:rFonts w:asciiTheme="majorBidi" w:hAnsiTheme="majorBidi" w:cs="David" w:hint="cs"/>
          <w:sz w:val="24"/>
          <w:szCs w:val="24"/>
          <w:rtl/>
        </w:rPr>
        <w:t xml:space="preserve">חברת הברזל תעלה את הטיעונים שהועלו בדיון בסעיף א' כנגד </w:t>
      </w:r>
      <w:r w:rsidR="001F16DD">
        <w:rPr>
          <w:rFonts w:asciiTheme="majorBidi" w:hAnsiTheme="majorBidi" w:cs="David" w:hint="cs"/>
          <w:sz w:val="24"/>
          <w:szCs w:val="24"/>
          <w:rtl/>
        </w:rPr>
        <w:t>הפעלת הפיצויים</w:t>
      </w:r>
      <w:r w:rsidR="00BF7533">
        <w:rPr>
          <w:rFonts w:asciiTheme="majorBidi" w:hAnsiTheme="majorBidi" w:cs="David" w:hint="cs"/>
          <w:sz w:val="24"/>
          <w:szCs w:val="24"/>
          <w:rtl/>
        </w:rPr>
        <w:t xml:space="preserve">. </w:t>
      </w:r>
      <w:r w:rsidR="00C15E72">
        <w:rPr>
          <w:rFonts w:asciiTheme="majorBidi" w:hAnsiTheme="majorBidi" w:cs="David" w:hint="cs"/>
          <w:sz w:val="24"/>
          <w:szCs w:val="24"/>
          <w:rtl/>
        </w:rPr>
        <w:t>במקרה זה תתחזק משמעותית הטענה כי הפיצויים</w:t>
      </w:r>
      <w:r w:rsidR="003D5BC0">
        <w:rPr>
          <w:rFonts w:asciiTheme="majorBidi" w:hAnsiTheme="majorBidi" w:cs="David" w:hint="cs"/>
          <w:sz w:val="24"/>
          <w:szCs w:val="24"/>
          <w:rtl/>
        </w:rPr>
        <w:t xml:space="preserve"> המוסכמים שנרשמו בחוזה אינם מסו</w:t>
      </w:r>
      <w:r w:rsidR="00C15E72">
        <w:rPr>
          <w:rFonts w:asciiTheme="majorBidi" w:hAnsiTheme="majorBidi" w:cs="David" w:hint="cs"/>
          <w:sz w:val="24"/>
          <w:szCs w:val="24"/>
          <w:rtl/>
        </w:rPr>
        <w:t xml:space="preserve">ימים ולא ברור אם יש להכילם במצב בו </w:t>
      </w:r>
      <w:r w:rsidR="00C15E72" w:rsidRPr="002E73E0">
        <w:rPr>
          <w:rFonts w:asciiTheme="majorBidi" w:hAnsiTheme="majorBidi" w:cs="David" w:hint="cs"/>
          <w:sz w:val="24"/>
          <w:szCs w:val="24"/>
          <w:u w:val="single"/>
          <w:rtl/>
        </w:rPr>
        <w:t>כלל לא נגרם נזק</w:t>
      </w:r>
      <w:r w:rsidR="00C15E72">
        <w:rPr>
          <w:rFonts w:asciiTheme="majorBidi" w:hAnsiTheme="majorBidi" w:cs="David" w:hint="cs"/>
          <w:sz w:val="24"/>
          <w:szCs w:val="24"/>
          <w:rtl/>
        </w:rPr>
        <w:t xml:space="preserve">. </w:t>
      </w:r>
      <w:r w:rsidR="00A324B1">
        <w:rPr>
          <w:rFonts w:asciiTheme="majorBidi" w:hAnsiTheme="majorBidi" w:cs="David" w:hint="cs"/>
          <w:sz w:val="24"/>
          <w:szCs w:val="24"/>
          <w:rtl/>
        </w:rPr>
        <w:t xml:space="preserve">כמו כן, </w:t>
      </w:r>
      <w:r w:rsidR="00BB4922">
        <w:rPr>
          <w:rFonts w:asciiTheme="majorBidi" w:hAnsiTheme="majorBidi" w:cs="David" w:hint="cs"/>
          <w:sz w:val="24"/>
          <w:szCs w:val="24"/>
          <w:rtl/>
        </w:rPr>
        <w:t>קבלת</w:t>
      </w:r>
      <w:r w:rsidR="009466D1">
        <w:rPr>
          <w:rFonts w:asciiTheme="majorBidi" w:hAnsiTheme="majorBidi" w:cs="David" w:hint="cs"/>
          <w:sz w:val="24"/>
          <w:szCs w:val="24"/>
          <w:rtl/>
        </w:rPr>
        <w:t xml:space="preserve"> הפיצויים המוסכמים תעמיד את חברת הבונה במצב טוב יותר מאשר לו בוצע החוזה ועולה כדי </w:t>
      </w:r>
      <w:r w:rsidR="00BB4922">
        <w:rPr>
          <w:rFonts w:asciiTheme="majorBidi" w:hAnsiTheme="majorBidi" w:cs="David" w:hint="cs"/>
          <w:sz w:val="24"/>
          <w:szCs w:val="24"/>
          <w:rtl/>
        </w:rPr>
        <w:t xml:space="preserve">מתן </w:t>
      </w:r>
      <w:r w:rsidR="009466D1">
        <w:rPr>
          <w:rFonts w:asciiTheme="majorBidi" w:hAnsiTheme="majorBidi" w:cs="David" w:hint="cs"/>
          <w:sz w:val="24"/>
          <w:szCs w:val="24"/>
          <w:rtl/>
        </w:rPr>
        <w:t xml:space="preserve">עונש לחברת הברזל. </w:t>
      </w:r>
      <w:r w:rsidR="0002057C">
        <w:rPr>
          <w:rFonts w:asciiTheme="majorBidi" w:hAnsiTheme="majorBidi" w:cs="David" w:hint="cs"/>
          <w:sz w:val="24"/>
          <w:szCs w:val="24"/>
          <w:rtl/>
        </w:rPr>
        <w:t xml:space="preserve">מנגד תטען חברת הבונה כי </w:t>
      </w:r>
      <w:r w:rsidR="00A324B1">
        <w:rPr>
          <w:rFonts w:asciiTheme="majorBidi" w:hAnsiTheme="majorBidi" w:cs="David" w:hint="cs"/>
          <w:sz w:val="24"/>
          <w:szCs w:val="24"/>
          <w:rtl/>
        </w:rPr>
        <w:t xml:space="preserve">העובדה שלא נגרם נזק </w:t>
      </w:r>
      <w:r w:rsidR="00BB4922">
        <w:rPr>
          <w:rFonts w:asciiTheme="majorBidi" w:hAnsiTheme="majorBidi" w:cs="David" w:hint="cs"/>
          <w:sz w:val="24"/>
          <w:szCs w:val="24"/>
          <w:rtl/>
        </w:rPr>
        <w:t>אינ</w:t>
      </w:r>
      <w:r w:rsidR="00A324B1">
        <w:rPr>
          <w:rFonts w:asciiTheme="majorBidi" w:hAnsiTheme="majorBidi" w:cs="David" w:hint="cs"/>
          <w:sz w:val="24"/>
          <w:szCs w:val="24"/>
          <w:rtl/>
        </w:rPr>
        <w:t>ה</w:t>
      </w:r>
      <w:r w:rsidR="008D7E1E">
        <w:rPr>
          <w:rFonts w:asciiTheme="majorBidi" w:hAnsiTheme="majorBidi" w:cs="David" w:hint="cs"/>
          <w:sz w:val="24"/>
          <w:szCs w:val="24"/>
          <w:rtl/>
        </w:rPr>
        <w:t xml:space="preserve"> רלו</w:t>
      </w:r>
      <w:r w:rsidR="00A24B50">
        <w:rPr>
          <w:rFonts w:asciiTheme="majorBidi" w:hAnsiTheme="majorBidi" w:cs="David" w:hint="cs"/>
          <w:sz w:val="24"/>
          <w:szCs w:val="24"/>
          <w:rtl/>
        </w:rPr>
        <w:t>ונטי</w:t>
      </w:r>
      <w:r w:rsidR="00BB4922">
        <w:rPr>
          <w:rFonts w:asciiTheme="majorBidi" w:hAnsiTheme="majorBidi" w:cs="David" w:hint="cs"/>
          <w:sz w:val="24"/>
          <w:szCs w:val="24"/>
          <w:rtl/>
        </w:rPr>
        <w:t>ת</w:t>
      </w:r>
      <w:r w:rsidR="00A24B50">
        <w:rPr>
          <w:rFonts w:asciiTheme="majorBidi" w:hAnsiTheme="majorBidi" w:cs="David" w:hint="cs"/>
          <w:sz w:val="24"/>
          <w:szCs w:val="24"/>
          <w:rtl/>
        </w:rPr>
        <w:t xml:space="preserve"> לעניין הפיצויים או הפחתתם ועל בית המשפט לכבד את </w:t>
      </w:r>
      <w:r w:rsidR="00BB4922">
        <w:rPr>
          <w:rFonts w:asciiTheme="majorBidi" w:hAnsiTheme="majorBidi" w:cs="David" w:hint="cs"/>
          <w:sz w:val="24"/>
          <w:szCs w:val="24"/>
          <w:rtl/>
        </w:rPr>
        <w:t xml:space="preserve">קביעת הצדדים בכריתת החוזה. </w:t>
      </w:r>
      <w:r w:rsidR="000848EB">
        <w:rPr>
          <w:rFonts w:asciiTheme="majorBidi" w:hAnsiTheme="majorBidi" w:cs="David" w:hint="cs"/>
          <w:sz w:val="24"/>
          <w:szCs w:val="24"/>
          <w:rtl/>
        </w:rPr>
        <w:t xml:space="preserve">יודגש - </w:t>
      </w:r>
      <w:r w:rsidR="000848EB">
        <w:rPr>
          <w:rFonts w:asciiTheme="majorBidi" w:hAnsiTheme="majorBidi" w:cs="David" w:hint="cs"/>
          <w:sz w:val="24"/>
          <w:szCs w:val="24"/>
          <w:rtl/>
        </w:rPr>
        <w:lastRenderedPageBreak/>
        <w:t xml:space="preserve">העובדה </w:t>
      </w:r>
      <w:r w:rsidR="00B82C1C">
        <w:rPr>
          <w:rFonts w:asciiTheme="majorBidi" w:hAnsiTheme="majorBidi" w:cs="David" w:hint="cs"/>
          <w:sz w:val="24"/>
          <w:szCs w:val="24"/>
          <w:rtl/>
        </w:rPr>
        <w:t>שלא היה נזק</w:t>
      </w:r>
      <w:r w:rsidR="009A3277">
        <w:rPr>
          <w:rFonts w:asciiTheme="majorBidi" w:hAnsiTheme="majorBidi" w:cs="David" w:hint="cs"/>
          <w:sz w:val="24"/>
          <w:szCs w:val="24"/>
          <w:rtl/>
        </w:rPr>
        <w:t xml:space="preserve"> בפועל</w:t>
      </w:r>
      <w:r w:rsidR="00B82C1C">
        <w:rPr>
          <w:rFonts w:asciiTheme="majorBidi" w:hAnsiTheme="majorBidi" w:cs="David" w:hint="cs"/>
          <w:sz w:val="24"/>
          <w:szCs w:val="24"/>
          <w:rtl/>
        </w:rPr>
        <w:t xml:space="preserve"> לא משנה את תוצאות מבחן צפיות הנזק </w:t>
      </w:r>
      <w:r w:rsidR="00B82C1C" w:rsidRPr="005F72CB">
        <w:rPr>
          <w:rFonts w:asciiTheme="majorBidi" w:hAnsiTheme="majorBidi" w:cs="David" w:hint="cs"/>
          <w:sz w:val="24"/>
          <w:szCs w:val="24"/>
          <w:u w:val="single"/>
          <w:rtl/>
        </w:rPr>
        <w:t>בעת כריתת החוזה</w:t>
      </w:r>
      <w:r w:rsidR="0026001F">
        <w:rPr>
          <w:rFonts w:asciiTheme="majorBidi" w:hAnsiTheme="majorBidi" w:cs="David" w:hint="cs"/>
          <w:sz w:val="24"/>
          <w:szCs w:val="24"/>
          <w:rtl/>
        </w:rPr>
        <w:t xml:space="preserve"> כ</w:t>
      </w:r>
      <w:r w:rsidR="00A74E3A">
        <w:rPr>
          <w:rFonts w:asciiTheme="majorBidi" w:hAnsiTheme="majorBidi" w:cs="David" w:hint="cs"/>
          <w:sz w:val="24"/>
          <w:szCs w:val="24"/>
          <w:rtl/>
        </w:rPr>
        <w:t>פ</w:t>
      </w:r>
      <w:r w:rsidR="0026001F">
        <w:rPr>
          <w:rFonts w:asciiTheme="majorBidi" w:hAnsiTheme="majorBidi" w:cs="David" w:hint="cs"/>
          <w:sz w:val="24"/>
          <w:szCs w:val="24"/>
          <w:rtl/>
        </w:rPr>
        <w:t xml:space="preserve">י שיושם בסעיף א. </w:t>
      </w:r>
      <w:r w:rsidR="00C83CC0">
        <w:rPr>
          <w:rFonts w:asciiTheme="majorBidi" w:hAnsiTheme="majorBidi" w:cs="David" w:hint="cs"/>
          <w:sz w:val="24"/>
          <w:szCs w:val="24"/>
          <w:rtl/>
        </w:rPr>
        <w:t>במקרה זה סביר כי בית המשפט יצמצם משמעותית א</w:t>
      </w:r>
      <w:r w:rsidR="000848EB">
        <w:rPr>
          <w:rFonts w:asciiTheme="majorBidi" w:hAnsiTheme="majorBidi" w:cs="David" w:hint="cs"/>
          <w:sz w:val="24"/>
          <w:szCs w:val="24"/>
          <w:rtl/>
        </w:rPr>
        <w:t xml:space="preserve">ו אף יבטל את הפיצויים המוסכמים. </w:t>
      </w:r>
    </w:p>
    <w:sectPr w:rsidR="00BF7533" w:rsidSect="00827938">
      <w:pgSz w:w="11906" w:h="16838" w:code="9"/>
      <w:pgMar w:top="1361" w:right="1361" w:bottom="1361" w:left="1361"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67A" w:rsidRDefault="00E2167A" w:rsidP="00817AAB">
      <w:pPr>
        <w:spacing w:line="240" w:lineRule="auto"/>
      </w:pPr>
      <w:r>
        <w:separator/>
      </w:r>
    </w:p>
  </w:endnote>
  <w:endnote w:type="continuationSeparator" w:id="0">
    <w:p w:rsidR="00E2167A" w:rsidRDefault="00E2167A" w:rsidP="00817A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67A" w:rsidRDefault="00E2167A" w:rsidP="00817AAB">
      <w:pPr>
        <w:spacing w:line="240" w:lineRule="auto"/>
      </w:pPr>
      <w:r>
        <w:separator/>
      </w:r>
    </w:p>
  </w:footnote>
  <w:footnote w:type="continuationSeparator" w:id="0">
    <w:p w:rsidR="00E2167A" w:rsidRDefault="00E2167A" w:rsidP="00817AAB">
      <w:pPr>
        <w:spacing w:line="240" w:lineRule="auto"/>
      </w:pPr>
      <w:r>
        <w:continuationSeparator/>
      </w:r>
    </w:p>
  </w:footnote>
  <w:footnote w:id="1">
    <w:p w:rsidR="00C7264D" w:rsidRDefault="00C7264D" w:rsidP="007F246F">
      <w:pPr>
        <w:pStyle w:val="a4"/>
        <w:rPr>
          <w:rtl/>
        </w:rPr>
      </w:pPr>
      <w:r>
        <w:rPr>
          <w:rStyle w:val="a6"/>
        </w:rPr>
        <w:footnoteRef/>
      </w:r>
      <w:r>
        <w:rPr>
          <w:rtl/>
        </w:rPr>
        <w:t xml:space="preserve"> </w:t>
      </w:r>
      <w:r w:rsidRPr="00C7264D">
        <w:rPr>
          <w:rFonts w:hint="cs"/>
          <w:rtl/>
        </w:rPr>
        <w:t>ע"א 278/78</w:t>
      </w:r>
      <w:r w:rsidRPr="00C7264D">
        <w:rPr>
          <w:rFonts w:hint="cs"/>
          <w:b/>
          <w:bCs/>
          <w:rtl/>
        </w:rPr>
        <w:t>, אמפא נ' רום כרמל</w:t>
      </w:r>
      <w:r w:rsidR="009130DB">
        <w:rPr>
          <w:rFonts w:hint="cs"/>
          <w:rtl/>
        </w:rPr>
        <w:t xml:space="preserve">, פ"ד </w:t>
      </w:r>
      <w:proofErr w:type="spellStart"/>
      <w:r w:rsidR="009130DB">
        <w:rPr>
          <w:rFonts w:hint="cs"/>
          <w:rtl/>
        </w:rPr>
        <w:t>לג</w:t>
      </w:r>
      <w:proofErr w:type="spellEnd"/>
      <w:r w:rsidR="009130DB">
        <w:rPr>
          <w:rFonts w:hint="cs"/>
          <w:rtl/>
        </w:rPr>
        <w:t xml:space="preserve"> (1) 29</w:t>
      </w:r>
    </w:p>
  </w:footnote>
  <w:footnote w:id="2">
    <w:p w:rsidR="00C7264D" w:rsidRDefault="00C7264D" w:rsidP="00C7264D">
      <w:pPr>
        <w:pStyle w:val="a4"/>
      </w:pPr>
      <w:r>
        <w:rPr>
          <w:rStyle w:val="a6"/>
        </w:rPr>
        <w:footnoteRef/>
      </w:r>
      <w:r>
        <w:rPr>
          <w:rtl/>
        </w:rPr>
        <w:t xml:space="preserve"> </w:t>
      </w:r>
      <w:r w:rsidRPr="0028161D">
        <w:rPr>
          <w:rFonts w:hint="cs"/>
          <w:rtl/>
        </w:rPr>
        <w:t>סעיף 6 לחוק התרופות (תרופות בשל הפרת חוזה) תשל"א-1970 להלן:</w:t>
      </w:r>
      <w:proofErr w:type="spellStart"/>
      <w:r w:rsidRPr="0028161D">
        <w:rPr>
          <w:rFonts w:hint="cs"/>
          <w:rtl/>
        </w:rPr>
        <w:t>חו"ת</w:t>
      </w:r>
      <w:proofErr w:type="spellEnd"/>
    </w:p>
  </w:footnote>
  <w:footnote w:id="3">
    <w:p w:rsidR="00CC6221" w:rsidRDefault="00CC6221" w:rsidP="00CC6221">
      <w:pPr>
        <w:pStyle w:val="a4"/>
        <w:rPr>
          <w:rtl/>
        </w:rPr>
      </w:pPr>
      <w:r>
        <w:rPr>
          <w:rStyle w:val="a6"/>
        </w:rPr>
        <w:footnoteRef/>
      </w:r>
      <w:r>
        <w:rPr>
          <w:rtl/>
        </w:rPr>
        <w:t xml:space="preserve"> </w:t>
      </w:r>
      <w:r>
        <w:rPr>
          <w:rFonts w:hint="cs"/>
          <w:rtl/>
        </w:rPr>
        <w:t xml:space="preserve">ע"א 355/80, </w:t>
      </w:r>
      <w:proofErr w:type="spellStart"/>
      <w:r w:rsidRPr="00626493">
        <w:rPr>
          <w:rFonts w:hint="cs"/>
          <w:b/>
          <w:bCs/>
          <w:rtl/>
        </w:rPr>
        <w:t>אניסימוב</w:t>
      </w:r>
      <w:proofErr w:type="spellEnd"/>
      <w:r w:rsidRPr="00626493">
        <w:rPr>
          <w:rFonts w:hint="cs"/>
          <w:b/>
          <w:bCs/>
          <w:rtl/>
        </w:rPr>
        <w:t xml:space="preserve"> נ' מלון טירת בת שבע</w:t>
      </w:r>
      <w:r>
        <w:rPr>
          <w:rFonts w:hint="cs"/>
          <w:rtl/>
        </w:rPr>
        <w:t>, פ"ד לה (2) 800, 807</w:t>
      </w:r>
    </w:p>
  </w:footnote>
  <w:footnote w:id="4">
    <w:p w:rsidR="0004259F" w:rsidRDefault="0004259F" w:rsidP="0004259F">
      <w:pPr>
        <w:pStyle w:val="a4"/>
        <w:rPr>
          <w:rtl/>
        </w:rPr>
      </w:pPr>
      <w:r>
        <w:rPr>
          <w:rStyle w:val="a6"/>
        </w:rPr>
        <w:footnoteRef/>
      </w:r>
      <w:r>
        <w:rPr>
          <w:rtl/>
        </w:rPr>
        <w:t xml:space="preserve"> </w:t>
      </w:r>
      <w:r w:rsidRPr="0004259F">
        <w:rPr>
          <w:rFonts w:hint="cs"/>
          <w:rtl/>
        </w:rPr>
        <w:t xml:space="preserve">חוק החוזים (חלק כללי), </w:t>
      </w:r>
      <w:proofErr w:type="spellStart"/>
      <w:r w:rsidRPr="0004259F">
        <w:rPr>
          <w:rFonts w:hint="cs"/>
          <w:rtl/>
        </w:rPr>
        <w:t>התשל"ג</w:t>
      </w:r>
      <w:proofErr w:type="spellEnd"/>
      <w:r w:rsidRPr="0004259F">
        <w:rPr>
          <w:rFonts w:hint="cs"/>
          <w:rtl/>
        </w:rPr>
        <w:t>-1973</w:t>
      </w:r>
      <w:r>
        <w:rPr>
          <w:rFonts w:hint="cs"/>
          <w:rtl/>
        </w:rPr>
        <w:t>,</w:t>
      </w:r>
      <w:r w:rsidRPr="0004259F">
        <w:rPr>
          <w:rFonts w:hint="cs"/>
          <w:rtl/>
        </w:rPr>
        <w:t>להלן חוק החוזים</w:t>
      </w:r>
    </w:p>
  </w:footnote>
  <w:footnote w:id="5">
    <w:p w:rsidR="005471E2" w:rsidRDefault="005471E2" w:rsidP="00BC6A64">
      <w:pPr>
        <w:pStyle w:val="a4"/>
        <w:rPr>
          <w:rtl/>
        </w:rPr>
      </w:pPr>
      <w:r>
        <w:rPr>
          <w:rStyle w:val="a6"/>
        </w:rPr>
        <w:footnoteRef/>
      </w:r>
      <w:r>
        <w:rPr>
          <w:rtl/>
        </w:rPr>
        <w:t xml:space="preserve"> </w:t>
      </w:r>
      <w:r>
        <w:rPr>
          <w:rFonts w:hint="cs"/>
          <w:rtl/>
        </w:rPr>
        <w:t xml:space="preserve">ע"א 3912/90 </w:t>
      </w:r>
      <w:r w:rsidRPr="00443A42">
        <w:rPr>
          <w:b/>
          <w:bCs/>
        </w:rPr>
        <w:t xml:space="preserve">EXIMIN </w:t>
      </w:r>
      <w:r w:rsidRPr="00443A42">
        <w:rPr>
          <w:rFonts w:hint="cs"/>
          <w:b/>
          <w:bCs/>
          <w:rtl/>
        </w:rPr>
        <w:t xml:space="preserve"> נ' טקסטיל</w:t>
      </w:r>
      <w:r w:rsidR="00D23866">
        <w:rPr>
          <w:rFonts w:hint="cs"/>
          <w:rtl/>
        </w:rPr>
        <w:t xml:space="preserve">, פ"ד </w:t>
      </w:r>
      <w:proofErr w:type="spellStart"/>
      <w:r w:rsidR="00D23866">
        <w:rPr>
          <w:rFonts w:hint="cs"/>
          <w:rtl/>
        </w:rPr>
        <w:t>מז</w:t>
      </w:r>
      <w:proofErr w:type="spellEnd"/>
      <w:r w:rsidR="00D23866">
        <w:rPr>
          <w:rFonts w:hint="cs"/>
          <w:rtl/>
        </w:rPr>
        <w:t xml:space="preserve"> (4) 64, ע"מ 80 </w:t>
      </w:r>
    </w:p>
  </w:footnote>
  <w:footnote w:id="6">
    <w:p w:rsidR="005471E2" w:rsidRPr="005471E2" w:rsidRDefault="005471E2" w:rsidP="001F30FA">
      <w:pPr>
        <w:pStyle w:val="a4"/>
        <w:rPr>
          <w:rtl/>
        </w:rPr>
      </w:pPr>
      <w:r>
        <w:rPr>
          <w:rStyle w:val="a6"/>
        </w:rPr>
        <w:footnoteRef/>
      </w:r>
      <w:r>
        <w:rPr>
          <w:rtl/>
        </w:rPr>
        <w:t xml:space="preserve"> </w:t>
      </w:r>
      <w:r>
        <w:rPr>
          <w:rFonts w:hint="cs"/>
          <w:rtl/>
        </w:rPr>
        <w:t xml:space="preserve">רע"א 2371/01 </w:t>
      </w:r>
      <w:proofErr w:type="spellStart"/>
      <w:r>
        <w:rPr>
          <w:rFonts w:hint="cs"/>
          <w:b/>
          <w:bCs/>
          <w:rtl/>
        </w:rPr>
        <w:t>אינשטיין</w:t>
      </w:r>
      <w:proofErr w:type="spellEnd"/>
      <w:r>
        <w:rPr>
          <w:rFonts w:hint="cs"/>
          <w:b/>
          <w:bCs/>
          <w:rtl/>
        </w:rPr>
        <w:t xml:space="preserve"> נ' </w:t>
      </w:r>
      <w:proofErr w:type="spellStart"/>
      <w:r>
        <w:rPr>
          <w:rFonts w:hint="cs"/>
          <w:b/>
          <w:bCs/>
          <w:rtl/>
        </w:rPr>
        <w:t>אוסי</w:t>
      </w:r>
      <w:proofErr w:type="spellEnd"/>
      <w:r>
        <w:rPr>
          <w:rFonts w:hint="cs"/>
          <w:b/>
          <w:bCs/>
          <w:rtl/>
        </w:rPr>
        <w:t xml:space="preserve"> תכנון והקמת מבנים ופתוח בע"מ</w:t>
      </w:r>
      <w:r>
        <w:rPr>
          <w:rFonts w:hint="cs"/>
          <w:rtl/>
        </w:rPr>
        <w:t xml:space="preserve">, פ"ד </w:t>
      </w:r>
      <w:proofErr w:type="spellStart"/>
      <w:r>
        <w:rPr>
          <w:rFonts w:hint="cs"/>
          <w:rtl/>
        </w:rPr>
        <w:t>נז</w:t>
      </w:r>
      <w:proofErr w:type="spellEnd"/>
      <w:r>
        <w:rPr>
          <w:rFonts w:hint="cs"/>
          <w:rtl/>
        </w:rPr>
        <w:t xml:space="preserve">(5) 787, 798 ; להלן: </w:t>
      </w:r>
      <w:r w:rsidRPr="005471E2">
        <w:rPr>
          <w:rFonts w:hint="cs"/>
          <w:rtl/>
        </w:rPr>
        <w:t xml:space="preserve">פס"ד </w:t>
      </w:r>
      <w:proofErr w:type="spellStart"/>
      <w:r w:rsidRPr="005471E2">
        <w:rPr>
          <w:rFonts w:hint="cs"/>
          <w:rtl/>
        </w:rPr>
        <w:t>אינשטיין</w:t>
      </w:r>
      <w:proofErr w:type="spellEnd"/>
    </w:p>
  </w:footnote>
  <w:footnote w:id="7">
    <w:p w:rsidR="00D23FDC" w:rsidRDefault="00D23FDC" w:rsidP="00D313F8">
      <w:pPr>
        <w:pStyle w:val="a4"/>
        <w:rPr>
          <w:rtl/>
        </w:rPr>
      </w:pPr>
      <w:r>
        <w:rPr>
          <w:rStyle w:val="a6"/>
        </w:rPr>
        <w:footnoteRef/>
      </w:r>
      <w:r>
        <w:rPr>
          <w:rtl/>
        </w:rPr>
        <w:t xml:space="preserve"> </w:t>
      </w:r>
      <w:r w:rsidRPr="0060096C">
        <w:rPr>
          <w:rFonts w:cs="Times New Roman"/>
          <w:rtl/>
        </w:rPr>
        <w:t>ג' שלו</w:t>
      </w:r>
      <w:r>
        <w:rPr>
          <w:rFonts w:cs="Times New Roman" w:hint="cs"/>
          <w:rtl/>
        </w:rPr>
        <w:t>,</w:t>
      </w:r>
      <w:r w:rsidRPr="0060096C">
        <w:rPr>
          <w:rFonts w:cs="Times New Roman"/>
          <w:rtl/>
        </w:rPr>
        <w:t xml:space="preserve"> </w:t>
      </w:r>
      <w:r w:rsidRPr="0060096C">
        <w:rPr>
          <w:rFonts w:cs="Times New Roman"/>
          <w:b/>
          <w:bCs/>
          <w:rtl/>
        </w:rPr>
        <w:t>דיני חוזים</w:t>
      </w:r>
      <w:r w:rsidRPr="0060096C">
        <w:rPr>
          <w:rFonts w:cs="Times New Roman"/>
          <w:rtl/>
        </w:rPr>
        <w:t xml:space="preserve"> (מהדורה 2, תשנ"ה) </w:t>
      </w:r>
      <w:proofErr w:type="spellStart"/>
      <w:r w:rsidRPr="0060096C">
        <w:rPr>
          <w:rFonts w:cs="Times New Roman"/>
          <w:rtl/>
        </w:rPr>
        <w:t>עמ</w:t>
      </w:r>
      <w:proofErr w:type="spellEnd"/>
      <w:r w:rsidRPr="0060096C">
        <w:rPr>
          <w:rFonts w:cs="Times New Roman"/>
          <w:rtl/>
        </w:rPr>
        <w:t xml:space="preserve">' </w:t>
      </w:r>
      <w:r w:rsidR="00D313F8">
        <w:rPr>
          <w:rFonts w:cs="Times New Roman" w:hint="cs"/>
          <w:rtl/>
        </w:rPr>
        <w:t>588</w:t>
      </w:r>
    </w:p>
  </w:footnote>
  <w:footnote w:id="8">
    <w:p w:rsidR="00834B7C" w:rsidRPr="005471E2" w:rsidRDefault="001F30FA" w:rsidP="00834B7C">
      <w:pPr>
        <w:pStyle w:val="a4"/>
        <w:rPr>
          <w:rtl/>
        </w:rPr>
      </w:pPr>
      <w:r>
        <w:rPr>
          <w:rStyle w:val="a6"/>
        </w:rPr>
        <w:footnoteRef/>
      </w:r>
      <w:r>
        <w:rPr>
          <w:rtl/>
        </w:rPr>
        <w:t xml:space="preserve"> </w:t>
      </w:r>
      <w:r w:rsidR="00834B7C">
        <w:rPr>
          <w:rFonts w:hint="cs"/>
          <w:rtl/>
        </w:rPr>
        <w:t xml:space="preserve">רע"א 2371/01 </w:t>
      </w:r>
      <w:proofErr w:type="spellStart"/>
      <w:r w:rsidR="00834B7C">
        <w:rPr>
          <w:rFonts w:hint="cs"/>
          <w:b/>
          <w:bCs/>
          <w:rtl/>
        </w:rPr>
        <w:t>אינשטיין</w:t>
      </w:r>
      <w:proofErr w:type="spellEnd"/>
      <w:r w:rsidR="00834B7C">
        <w:rPr>
          <w:rFonts w:hint="cs"/>
          <w:b/>
          <w:bCs/>
          <w:rtl/>
        </w:rPr>
        <w:t xml:space="preserve"> נ' </w:t>
      </w:r>
      <w:proofErr w:type="spellStart"/>
      <w:r w:rsidR="00834B7C">
        <w:rPr>
          <w:rFonts w:hint="cs"/>
          <w:b/>
          <w:bCs/>
          <w:rtl/>
        </w:rPr>
        <w:t>אוסי</w:t>
      </w:r>
      <w:proofErr w:type="spellEnd"/>
      <w:r w:rsidR="00834B7C">
        <w:rPr>
          <w:rFonts w:hint="cs"/>
          <w:b/>
          <w:bCs/>
          <w:rtl/>
        </w:rPr>
        <w:t xml:space="preserve"> תכנון והקמת מבנים ופתוח בע"מ</w:t>
      </w:r>
      <w:r w:rsidR="00834B7C">
        <w:rPr>
          <w:rFonts w:hint="cs"/>
          <w:rtl/>
        </w:rPr>
        <w:t xml:space="preserve">, פ"ד </w:t>
      </w:r>
      <w:proofErr w:type="spellStart"/>
      <w:r w:rsidR="00834B7C">
        <w:rPr>
          <w:rFonts w:hint="cs"/>
          <w:rtl/>
        </w:rPr>
        <w:t>נז</w:t>
      </w:r>
      <w:proofErr w:type="spellEnd"/>
      <w:r w:rsidR="00834B7C">
        <w:rPr>
          <w:rFonts w:hint="cs"/>
          <w:rtl/>
        </w:rPr>
        <w:t xml:space="preserve">(5) 787, 797 </w:t>
      </w:r>
    </w:p>
    <w:p w:rsidR="001F30FA" w:rsidRDefault="001F30FA">
      <w:pPr>
        <w:pStyle w:val="a4"/>
        <w:rPr>
          <w:rtl/>
        </w:rPr>
      </w:pPr>
    </w:p>
  </w:footnote>
  <w:footnote w:id="9">
    <w:p w:rsidR="008659B9" w:rsidRDefault="008659B9" w:rsidP="008659B9">
      <w:pPr>
        <w:pStyle w:val="a4"/>
      </w:pPr>
      <w:r>
        <w:rPr>
          <w:rStyle w:val="a6"/>
        </w:rPr>
        <w:footnoteRef/>
      </w:r>
      <w:r>
        <w:rPr>
          <w:rtl/>
        </w:rPr>
        <w:t xml:space="preserve"> </w:t>
      </w:r>
      <w:r>
        <w:rPr>
          <w:rFonts w:hint="cs"/>
          <w:rtl/>
        </w:rPr>
        <w:t xml:space="preserve">רע"א 2371/01 </w:t>
      </w:r>
      <w:proofErr w:type="spellStart"/>
      <w:r>
        <w:rPr>
          <w:rFonts w:hint="cs"/>
          <w:b/>
          <w:bCs/>
          <w:rtl/>
        </w:rPr>
        <w:t>אינשטיין</w:t>
      </w:r>
      <w:proofErr w:type="spellEnd"/>
      <w:r>
        <w:rPr>
          <w:rFonts w:hint="cs"/>
          <w:b/>
          <w:bCs/>
          <w:rtl/>
        </w:rPr>
        <w:t xml:space="preserve"> נ' </w:t>
      </w:r>
      <w:proofErr w:type="spellStart"/>
      <w:r>
        <w:rPr>
          <w:rFonts w:hint="cs"/>
          <w:b/>
          <w:bCs/>
          <w:rtl/>
        </w:rPr>
        <w:t>אוסי</w:t>
      </w:r>
      <w:proofErr w:type="spellEnd"/>
      <w:r>
        <w:rPr>
          <w:rFonts w:hint="cs"/>
          <w:b/>
          <w:bCs/>
          <w:rtl/>
        </w:rPr>
        <w:t xml:space="preserve"> תכנון והקמת מבנים ופתוח בע"מ</w:t>
      </w:r>
      <w:r>
        <w:rPr>
          <w:rFonts w:hint="cs"/>
          <w:rtl/>
        </w:rPr>
        <w:t xml:space="preserve">, פ"ד </w:t>
      </w:r>
      <w:proofErr w:type="spellStart"/>
      <w:r>
        <w:rPr>
          <w:rFonts w:hint="cs"/>
          <w:rtl/>
        </w:rPr>
        <w:t>נז</w:t>
      </w:r>
      <w:proofErr w:type="spellEnd"/>
      <w:r>
        <w:rPr>
          <w:rFonts w:hint="cs"/>
          <w:rtl/>
        </w:rPr>
        <w:t xml:space="preserve">(5) 787, 795 </w:t>
      </w:r>
    </w:p>
  </w:footnote>
  <w:footnote w:id="10">
    <w:p w:rsidR="00A77139" w:rsidRDefault="00A77139">
      <w:pPr>
        <w:pStyle w:val="a4"/>
        <w:rPr>
          <w:rtl/>
        </w:rPr>
      </w:pPr>
      <w:r>
        <w:rPr>
          <w:rStyle w:val="a6"/>
        </w:rPr>
        <w:footnoteRef/>
      </w:r>
      <w:r>
        <w:rPr>
          <w:rtl/>
        </w:rPr>
        <w:t xml:space="preserve"> </w:t>
      </w:r>
      <w:r w:rsidRPr="00A77139">
        <w:rPr>
          <w:rFonts w:hint="cs"/>
          <w:rtl/>
        </w:rPr>
        <w:t>את סעיף 15א ניתן להפעיל במקביל לסעיפים 14-10 רק אם הוא מופעל על ראש נזק אחר</w:t>
      </w:r>
    </w:p>
  </w:footnote>
  <w:footnote w:id="11">
    <w:p w:rsidR="007C71EF" w:rsidRDefault="007C71EF">
      <w:pPr>
        <w:pStyle w:val="a4"/>
        <w:rPr>
          <w:rtl/>
        </w:rPr>
      </w:pPr>
      <w:r>
        <w:rPr>
          <w:rStyle w:val="a6"/>
        </w:rPr>
        <w:footnoteRef/>
      </w:r>
      <w:r>
        <w:rPr>
          <w:rtl/>
        </w:rPr>
        <w:t xml:space="preserve"> </w:t>
      </w:r>
      <w:r>
        <w:rPr>
          <w:rFonts w:hint="cs"/>
          <w:rtl/>
        </w:rPr>
        <w:t xml:space="preserve">ע"א 18/89, </w:t>
      </w:r>
      <w:r>
        <w:rPr>
          <w:rFonts w:hint="cs"/>
          <w:b/>
          <w:bCs/>
          <w:rtl/>
        </w:rPr>
        <w:t>חשל נ' פרידמן</w:t>
      </w:r>
      <w:r>
        <w:rPr>
          <w:rFonts w:hint="cs"/>
          <w:rtl/>
        </w:rPr>
        <w:t xml:space="preserve">, פ"ד </w:t>
      </w:r>
      <w:proofErr w:type="spellStart"/>
      <w:r>
        <w:rPr>
          <w:rFonts w:hint="cs"/>
          <w:rtl/>
        </w:rPr>
        <w:t>מו</w:t>
      </w:r>
      <w:proofErr w:type="spellEnd"/>
      <w:r>
        <w:rPr>
          <w:rFonts w:hint="cs"/>
          <w:rtl/>
        </w:rPr>
        <w:t xml:space="preserve"> (5) 257, 265</w:t>
      </w:r>
    </w:p>
  </w:footnote>
  <w:footnote w:id="12">
    <w:p w:rsidR="00F12A2A" w:rsidRDefault="00F12A2A" w:rsidP="00F12A2A">
      <w:pPr>
        <w:pStyle w:val="a4"/>
      </w:pPr>
      <w:r>
        <w:rPr>
          <w:rStyle w:val="a6"/>
        </w:rPr>
        <w:footnoteRef/>
      </w:r>
      <w:r>
        <w:rPr>
          <w:rtl/>
        </w:rPr>
        <w:t xml:space="preserve"> </w:t>
      </w:r>
      <w:r>
        <w:rPr>
          <w:rFonts w:hint="cs"/>
          <w:rtl/>
        </w:rPr>
        <w:t xml:space="preserve">ע"א 18/89, </w:t>
      </w:r>
      <w:r>
        <w:rPr>
          <w:rFonts w:hint="cs"/>
          <w:b/>
          <w:bCs/>
          <w:rtl/>
        </w:rPr>
        <w:t>חשל נ' פרידמן</w:t>
      </w:r>
      <w:r>
        <w:rPr>
          <w:rFonts w:hint="cs"/>
          <w:rtl/>
        </w:rPr>
        <w:t xml:space="preserve">, פ"ד </w:t>
      </w:r>
      <w:proofErr w:type="spellStart"/>
      <w:r>
        <w:rPr>
          <w:rFonts w:hint="cs"/>
          <w:rtl/>
        </w:rPr>
        <w:t>מו</w:t>
      </w:r>
      <w:proofErr w:type="spellEnd"/>
      <w:r>
        <w:rPr>
          <w:rFonts w:hint="cs"/>
          <w:rtl/>
        </w:rPr>
        <w:t xml:space="preserve"> (5) 257, 264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690"/>
    <w:multiLevelType w:val="hybridMultilevel"/>
    <w:tmpl w:val="8522F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D07F6"/>
    <w:multiLevelType w:val="hybridMultilevel"/>
    <w:tmpl w:val="CFC696AA"/>
    <w:lvl w:ilvl="0" w:tplc="41247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905C9"/>
    <w:multiLevelType w:val="hybridMultilevel"/>
    <w:tmpl w:val="6C42962C"/>
    <w:lvl w:ilvl="0" w:tplc="39EC84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9923DD"/>
    <w:multiLevelType w:val="hybridMultilevel"/>
    <w:tmpl w:val="E252F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E4817"/>
    <w:multiLevelType w:val="multilevel"/>
    <w:tmpl w:val="078832E4"/>
    <w:lvl w:ilvl="0">
      <w:start w:val="1"/>
      <w:numFmt w:val="bullet"/>
      <w:lvlText w:val=""/>
      <w:lvlJc w:val="right"/>
      <w:pPr>
        <w:tabs>
          <w:tab w:val="num" w:pos="720"/>
        </w:tabs>
        <w:ind w:left="720" w:hanging="360"/>
      </w:pPr>
      <w:rPr>
        <w:rFonts w:ascii="Symbol" w:hint="default"/>
      </w:rPr>
    </w:lvl>
    <w:lvl w:ilvl="1">
      <w:start w:val="1"/>
      <w:numFmt w:val="bullet"/>
      <w:lvlText w:val="o"/>
      <w:lvlJc w:val="right"/>
      <w:pPr>
        <w:tabs>
          <w:tab w:val="num" w:pos="1440"/>
        </w:tabs>
        <w:ind w:left="1440" w:hanging="360"/>
      </w:pPr>
      <w:rPr>
        <w:rFonts w:ascii="Courier New" w:hint="default"/>
      </w:rPr>
    </w:lvl>
    <w:lvl w:ilvl="2">
      <w:start w:val="1"/>
      <w:numFmt w:val="bullet"/>
      <w:lvlText w:val=""/>
      <w:lvlJc w:val="right"/>
      <w:pPr>
        <w:tabs>
          <w:tab w:val="num" w:pos="2160"/>
        </w:tabs>
        <w:ind w:left="2160" w:hanging="360"/>
      </w:pPr>
      <w:rPr>
        <w:rFonts w:ascii="Wingdings" w:hint="default"/>
      </w:rPr>
    </w:lvl>
    <w:lvl w:ilvl="3">
      <w:start w:val="1"/>
      <w:numFmt w:val="bullet"/>
      <w:lvlText w:val=""/>
      <w:lvlJc w:val="right"/>
      <w:pPr>
        <w:tabs>
          <w:tab w:val="num" w:pos="2880"/>
        </w:tabs>
        <w:ind w:left="2880" w:hanging="360"/>
      </w:pPr>
      <w:rPr>
        <w:rFonts w:ascii="Symbol" w:hint="default"/>
      </w:rPr>
    </w:lvl>
    <w:lvl w:ilvl="4">
      <w:start w:val="1"/>
      <w:numFmt w:val="bullet"/>
      <w:lvlText w:val="o"/>
      <w:lvlJc w:val="right"/>
      <w:pPr>
        <w:tabs>
          <w:tab w:val="num" w:pos="3600"/>
        </w:tabs>
        <w:ind w:left="3600" w:hanging="360"/>
      </w:pPr>
      <w:rPr>
        <w:rFonts w:ascii="Courier New" w:hint="default"/>
      </w:rPr>
    </w:lvl>
    <w:lvl w:ilvl="5">
      <w:start w:val="1"/>
      <w:numFmt w:val="bullet"/>
      <w:lvlText w:val=""/>
      <w:lvlJc w:val="right"/>
      <w:pPr>
        <w:tabs>
          <w:tab w:val="num" w:pos="4320"/>
        </w:tabs>
        <w:ind w:left="4320" w:hanging="360"/>
      </w:pPr>
      <w:rPr>
        <w:rFonts w:ascii="Wingdings" w:hint="default"/>
      </w:rPr>
    </w:lvl>
    <w:lvl w:ilvl="6">
      <w:start w:val="1"/>
      <w:numFmt w:val="bullet"/>
      <w:lvlText w:val=""/>
      <w:lvlJc w:val="right"/>
      <w:pPr>
        <w:tabs>
          <w:tab w:val="num" w:pos="5040"/>
        </w:tabs>
        <w:ind w:left="5040" w:hanging="360"/>
      </w:pPr>
      <w:rPr>
        <w:rFonts w:ascii="Symbol" w:hint="default"/>
      </w:rPr>
    </w:lvl>
    <w:lvl w:ilvl="7">
      <w:start w:val="1"/>
      <w:numFmt w:val="bullet"/>
      <w:lvlText w:val="o"/>
      <w:lvlJc w:val="right"/>
      <w:pPr>
        <w:tabs>
          <w:tab w:val="num" w:pos="5760"/>
        </w:tabs>
        <w:ind w:left="5760" w:hanging="360"/>
      </w:pPr>
      <w:rPr>
        <w:rFonts w:ascii="Courier New" w:hint="default"/>
      </w:rPr>
    </w:lvl>
    <w:lvl w:ilvl="8">
      <w:start w:val="1"/>
      <w:numFmt w:val="bullet"/>
      <w:lvlText w:val=""/>
      <w:lvlJc w:val="right"/>
      <w:pPr>
        <w:tabs>
          <w:tab w:val="num" w:pos="6480"/>
        </w:tabs>
        <w:ind w:left="6480" w:hanging="360"/>
      </w:pPr>
      <w:rPr>
        <w:rFonts w:ascii="Wingdings" w:hint="default"/>
      </w:rPr>
    </w:lvl>
  </w:abstractNum>
  <w:abstractNum w:abstractNumId="5">
    <w:nsid w:val="0CD15F5F"/>
    <w:multiLevelType w:val="hybridMultilevel"/>
    <w:tmpl w:val="6720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F00CA"/>
    <w:multiLevelType w:val="hybridMultilevel"/>
    <w:tmpl w:val="302A2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5418B"/>
    <w:multiLevelType w:val="hybridMultilevel"/>
    <w:tmpl w:val="CCD00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A0214C"/>
    <w:multiLevelType w:val="hybridMultilevel"/>
    <w:tmpl w:val="31B68AF0"/>
    <w:lvl w:ilvl="0" w:tplc="C3B825A2">
      <w:start w:val="1"/>
      <w:numFmt w:val="hebrew1"/>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A70F6B"/>
    <w:multiLevelType w:val="hybridMultilevel"/>
    <w:tmpl w:val="A00E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7F5264"/>
    <w:multiLevelType w:val="hybridMultilevel"/>
    <w:tmpl w:val="96E0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8A7747"/>
    <w:multiLevelType w:val="hybridMultilevel"/>
    <w:tmpl w:val="674E76D2"/>
    <w:lvl w:ilvl="0" w:tplc="4A2AC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34C82"/>
    <w:multiLevelType w:val="hybridMultilevel"/>
    <w:tmpl w:val="D892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E6C70"/>
    <w:multiLevelType w:val="hybridMultilevel"/>
    <w:tmpl w:val="932A3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753812"/>
    <w:multiLevelType w:val="hybridMultilevel"/>
    <w:tmpl w:val="F64A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462886"/>
    <w:multiLevelType w:val="hybridMultilevel"/>
    <w:tmpl w:val="F322F8C8"/>
    <w:lvl w:ilvl="0" w:tplc="5B728A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9C48F4"/>
    <w:multiLevelType w:val="hybridMultilevel"/>
    <w:tmpl w:val="F0021190"/>
    <w:lvl w:ilvl="0" w:tplc="2A66DC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3E71A9"/>
    <w:multiLevelType w:val="hybridMultilevel"/>
    <w:tmpl w:val="F6720BE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93C0D"/>
    <w:multiLevelType w:val="hybridMultilevel"/>
    <w:tmpl w:val="054A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845EFC"/>
    <w:multiLevelType w:val="hybridMultilevel"/>
    <w:tmpl w:val="96D05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C90C27"/>
    <w:multiLevelType w:val="hybridMultilevel"/>
    <w:tmpl w:val="B3A4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E6C25"/>
    <w:multiLevelType w:val="hybridMultilevel"/>
    <w:tmpl w:val="2A0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0101C8"/>
    <w:multiLevelType w:val="hybridMultilevel"/>
    <w:tmpl w:val="C454707C"/>
    <w:lvl w:ilvl="0" w:tplc="C4300BD8">
      <w:start w:val="1"/>
      <w:numFmt w:val="hebrew1"/>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3">
    <w:nsid w:val="55AC7CD7"/>
    <w:multiLevelType w:val="hybridMultilevel"/>
    <w:tmpl w:val="326A7ED0"/>
    <w:lvl w:ilvl="0" w:tplc="493AC9B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3555A8"/>
    <w:multiLevelType w:val="hybridMultilevel"/>
    <w:tmpl w:val="B2002098"/>
    <w:lvl w:ilvl="0" w:tplc="40AC6DE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9501F1D"/>
    <w:multiLevelType w:val="hybridMultilevel"/>
    <w:tmpl w:val="DBEA4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30F73"/>
    <w:multiLevelType w:val="hybridMultilevel"/>
    <w:tmpl w:val="95A44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9614E7"/>
    <w:multiLevelType w:val="hybridMultilevel"/>
    <w:tmpl w:val="94FE3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1E52D8"/>
    <w:multiLevelType w:val="hybridMultilevel"/>
    <w:tmpl w:val="25A0C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613A1"/>
    <w:multiLevelType w:val="hybridMultilevel"/>
    <w:tmpl w:val="3F18DD18"/>
    <w:lvl w:ilvl="0" w:tplc="5DEA3106">
      <w:start w:val="1"/>
      <w:numFmt w:val="hebrew1"/>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0">
    <w:nsid w:val="6985630A"/>
    <w:multiLevelType w:val="hybridMultilevel"/>
    <w:tmpl w:val="71EC0650"/>
    <w:lvl w:ilvl="0" w:tplc="AFC2247E">
      <w:start w:val="1"/>
      <w:numFmt w:val="hebrew1"/>
      <w:lvlText w:val="%1."/>
      <w:lvlJc w:val="left"/>
      <w:pPr>
        <w:ind w:left="360" w:hanging="360"/>
      </w:pPr>
      <w:rPr>
        <w:rFonts w:ascii="Arial" w:hAnsi="Arial" w:cs="Arial"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ADC5471"/>
    <w:multiLevelType w:val="hybridMultilevel"/>
    <w:tmpl w:val="7EF6082C"/>
    <w:lvl w:ilvl="0" w:tplc="A4249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16095D"/>
    <w:multiLevelType w:val="hybridMultilevel"/>
    <w:tmpl w:val="95764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E62073"/>
    <w:multiLevelType w:val="hybridMultilevel"/>
    <w:tmpl w:val="045210C4"/>
    <w:lvl w:ilvl="0" w:tplc="1CA8B86E">
      <w:start w:val="1"/>
      <w:numFmt w:val="decimal"/>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18"/>
  </w:num>
  <w:num w:numId="3">
    <w:abstractNumId w:val="2"/>
  </w:num>
  <w:num w:numId="4">
    <w:abstractNumId w:val="11"/>
  </w:num>
  <w:num w:numId="5">
    <w:abstractNumId w:val="1"/>
  </w:num>
  <w:num w:numId="6">
    <w:abstractNumId w:val="31"/>
  </w:num>
  <w:num w:numId="7">
    <w:abstractNumId w:val="14"/>
  </w:num>
  <w:num w:numId="8">
    <w:abstractNumId w:val="10"/>
  </w:num>
  <w:num w:numId="9">
    <w:abstractNumId w:val="5"/>
  </w:num>
  <w:num w:numId="10">
    <w:abstractNumId w:val="20"/>
  </w:num>
  <w:num w:numId="11">
    <w:abstractNumId w:val="13"/>
  </w:num>
  <w:num w:numId="12">
    <w:abstractNumId w:val="6"/>
  </w:num>
  <w:num w:numId="13">
    <w:abstractNumId w:val="0"/>
  </w:num>
  <w:num w:numId="14">
    <w:abstractNumId w:val="12"/>
  </w:num>
  <w:num w:numId="15">
    <w:abstractNumId w:val="19"/>
  </w:num>
  <w:num w:numId="16">
    <w:abstractNumId w:val="22"/>
  </w:num>
  <w:num w:numId="17">
    <w:abstractNumId w:val="23"/>
  </w:num>
  <w:num w:numId="18">
    <w:abstractNumId w:val="9"/>
  </w:num>
  <w:num w:numId="19">
    <w:abstractNumId w:val="17"/>
  </w:num>
  <w:num w:numId="20">
    <w:abstractNumId w:val="33"/>
  </w:num>
  <w:num w:numId="21">
    <w:abstractNumId w:val="27"/>
  </w:num>
  <w:num w:numId="22">
    <w:abstractNumId w:val="28"/>
  </w:num>
  <w:num w:numId="23">
    <w:abstractNumId w:val="32"/>
  </w:num>
  <w:num w:numId="24">
    <w:abstractNumId w:val="26"/>
  </w:num>
  <w:num w:numId="25">
    <w:abstractNumId w:val="16"/>
  </w:num>
  <w:num w:numId="26">
    <w:abstractNumId w:val="25"/>
  </w:num>
  <w:num w:numId="27">
    <w:abstractNumId w:val="30"/>
  </w:num>
  <w:num w:numId="28">
    <w:abstractNumId w:val="24"/>
  </w:num>
  <w:num w:numId="29">
    <w:abstractNumId w:val="15"/>
  </w:num>
  <w:num w:numId="30">
    <w:abstractNumId w:val="3"/>
  </w:num>
  <w:num w:numId="31">
    <w:abstractNumId w:val="4"/>
  </w:num>
  <w:num w:numId="32">
    <w:abstractNumId w:val="7"/>
  </w:num>
  <w:num w:numId="33">
    <w:abstractNumId w:val="21"/>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84"/>
  <w:characterSpacingControl w:val="doNotCompress"/>
  <w:footnotePr>
    <w:footnote w:id="-1"/>
    <w:footnote w:id="0"/>
  </w:footnotePr>
  <w:endnotePr>
    <w:endnote w:id="-1"/>
    <w:endnote w:id="0"/>
  </w:endnotePr>
  <w:compat/>
  <w:rsids>
    <w:rsidRoot w:val="00776CFB"/>
    <w:rsid w:val="0000256E"/>
    <w:rsid w:val="000055E7"/>
    <w:rsid w:val="00005B01"/>
    <w:rsid w:val="00005FDF"/>
    <w:rsid w:val="00011C71"/>
    <w:rsid w:val="000137CE"/>
    <w:rsid w:val="000169A6"/>
    <w:rsid w:val="0001730D"/>
    <w:rsid w:val="00020030"/>
    <w:rsid w:val="0002057C"/>
    <w:rsid w:val="00021161"/>
    <w:rsid w:val="00022477"/>
    <w:rsid w:val="00024CD3"/>
    <w:rsid w:val="00024CF4"/>
    <w:rsid w:val="000260D1"/>
    <w:rsid w:val="000264EC"/>
    <w:rsid w:val="000302BE"/>
    <w:rsid w:val="000310BD"/>
    <w:rsid w:val="000313AA"/>
    <w:rsid w:val="00031614"/>
    <w:rsid w:val="00033C1D"/>
    <w:rsid w:val="00041162"/>
    <w:rsid w:val="0004259F"/>
    <w:rsid w:val="00042C6A"/>
    <w:rsid w:val="00042EB1"/>
    <w:rsid w:val="0004376D"/>
    <w:rsid w:val="00044C04"/>
    <w:rsid w:val="00046036"/>
    <w:rsid w:val="0004731D"/>
    <w:rsid w:val="00050197"/>
    <w:rsid w:val="00054D2E"/>
    <w:rsid w:val="000567CE"/>
    <w:rsid w:val="00056CEA"/>
    <w:rsid w:val="00064736"/>
    <w:rsid w:val="00064D87"/>
    <w:rsid w:val="00065045"/>
    <w:rsid w:val="00067A63"/>
    <w:rsid w:val="000711F4"/>
    <w:rsid w:val="00072A61"/>
    <w:rsid w:val="0007491D"/>
    <w:rsid w:val="000749AC"/>
    <w:rsid w:val="00074E86"/>
    <w:rsid w:val="00076B38"/>
    <w:rsid w:val="00077365"/>
    <w:rsid w:val="00077CDA"/>
    <w:rsid w:val="00081042"/>
    <w:rsid w:val="000829C6"/>
    <w:rsid w:val="0008301E"/>
    <w:rsid w:val="00084544"/>
    <w:rsid w:val="000848EB"/>
    <w:rsid w:val="000903AB"/>
    <w:rsid w:val="00092737"/>
    <w:rsid w:val="00092F3E"/>
    <w:rsid w:val="000946F0"/>
    <w:rsid w:val="0009538B"/>
    <w:rsid w:val="00095E27"/>
    <w:rsid w:val="00097276"/>
    <w:rsid w:val="00097BB9"/>
    <w:rsid w:val="00097CD6"/>
    <w:rsid w:val="00097F5C"/>
    <w:rsid w:val="000A04C2"/>
    <w:rsid w:val="000A06EF"/>
    <w:rsid w:val="000A12F0"/>
    <w:rsid w:val="000A3058"/>
    <w:rsid w:val="000A306E"/>
    <w:rsid w:val="000A3D0E"/>
    <w:rsid w:val="000A550D"/>
    <w:rsid w:val="000B4D17"/>
    <w:rsid w:val="000C1311"/>
    <w:rsid w:val="000C2042"/>
    <w:rsid w:val="000C40F6"/>
    <w:rsid w:val="000C64B0"/>
    <w:rsid w:val="000C6A54"/>
    <w:rsid w:val="000C7295"/>
    <w:rsid w:val="000C7E51"/>
    <w:rsid w:val="000D1414"/>
    <w:rsid w:val="000D28A7"/>
    <w:rsid w:val="000D2B15"/>
    <w:rsid w:val="000D426F"/>
    <w:rsid w:val="000D44A3"/>
    <w:rsid w:val="000D5DA5"/>
    <w:rsid w:val="000E1FC2"/>
    <w:rsid w:val="000E58E4"/>
    <w:rsid w:val="000E689D"/>
    <w:rsid w:val="000E77BB"/>
    <w:rsid w:val="000F375E"/>
    <w:rsid w:val="000F3DCB"/>
    <w:rsid w:val="00101C8A"/>
    <w:rsid w:val="001056CB"/>
    <w:rsid w:val="001070F4"/>
    <w:rsid w:val="00107506"/>
    <w:rsid w:val="00107EF6"/>
    <w:rsid w:val="0011036B"/>
    <w:rsid w:val="00110F97"/>
    <w:rsid w:val="0011131A"/>
    <w:rsid w:val="0011278C"/>
    <w:rsid w:val="00112B8D"/>
    <w:rsid w:val="00114771"/>
    <w:rsid w:val="00114924"/>
    <w:rsid w:val="00115477"/>
    <w:rsid w:val="00116507"/>
    <w:rsid w:val="001221F3"/>
    <w:rsid w:val="001236E2"/>
    <w:rsid w:val="00126DD2"/>
    <w:rsid w:val="00130A71"/>
    <w:rsid w:val="00130E9E"/>
    <w:rsid w:val="00130F9A"/>
    <w:rsid w:val="001317A7"/>
    <w:rsid w:val="00132F5E"/>
    <w:rsid w:val="00133BFC"/>
    <w:rsid w:val="0013401C"/>
    <w:rsid w:val="00136A60"/>
    <w:rsid w:val="00137FC6"/>
    <w:rsid w:val="00145550"/>
    <w:rsid w:val="00150440"/>
    <w:rsid w:val="00150777"/>
    <w:rsid w:val="00150A8D"/>
    <w:rsid w:val="00150EF8"/>
    <w:rsid w:val="0015266D"/>
    <w:rsid w:val="00154C08"/>
    <w:rsid w:val="0015564B"/>
    <w:rsid w:val="0015739C"/>
    <w:rsid w:val="00161000"/>
    <w:rsid w:val="0016389E"/>
    <w:rsid w:val="00164457"/>
    <w:rsid w:val="001712DE"/>
    <w:rsid w:val="0017135F"/>
    <w:rsid w:val="00171623"/>
    <w:rsid w:val="001745C4"/>
    <w:rsid w:val="001751EB"/>
    <w:rsid w:val="001754DE"/>
    <w:rsid w:val="001774BE"/>
    <w:rsid w:val="00177619"/>
    <w:rsid w:val="00180376"/>
    <w:rsid w:val="00180A6D"/>
    <w:rsid w:val="001817E3"/>
    <w:rsid w:val="00182124"/>
    <w:rsid w:val="00182C4A"/>
    <w:rsid w:val="00182DB8"/>
    <w:rsid w:val="00183953"/>
    <w:rsid w:val="001842A2"/>
    <w:rsid w:val="001845A0"/>
    <w:rsid w:val="00187502"/>
    <w:rsid w:val="0019103D"/>
    <w:rsid w:val="001924D3"/>
    <w:rsid w:val="00192B08"/>
    <w:rsid w:val="00193395"/>
    <w:rsid w:val="00193D5E"/>
    <w:rsid w:val="00194193"/>
    <w:rsid w:val="001A567A"/>
    <w:rsid w:val="001A719F"/>
    <w:rsid w:val="001B068B"/>
    <w:rsid w:val="001B0AD2"/>
    <w:rsid w:val="001B1187"/>
    <w:rsid w:val="001B14C5"/>
    <w:rsid w:val="001B2285"/>
    <w:rsid w:val="001B2332"/>
    <w:rsid w:val="001B4092"/>
    <w:rsid w:val="001B7557"/>
    <w:rsid w:val="001C0CB5"/>
    <w:rsid w:val="001C1854"/>
    <w:rsid w:val="001C2BAE"/>
    <w:rsid w:val="001C39CA"/>
    <w:rsid w:val="001C3F29"/>
    <w:rsid w:val="001C4376"/>
    <w:rsid w:val="001C755A"/>
    <w:rsid w:val="001D0BE9"/>
    <w:rsid w:val="001D120C"/>
    <w:rsid w:val="001D3599"/>
    <w:rsid w:val="001D4E9B"/>
    <w:rsid w:val="001D5F7C"/>
    <w:rsid w:val="001D6201"/>
    <w:rsid w:val="001D7A7B"/>
    <w:rsid w:val="001E1880"/>
    <w:rsid w:val="001E484D"/>
    <w:rsid w:val="001E58B7"/>
    <w:rsid w:val="001E596F"/>
    <w:rsid w:val="001E7BEF"/>
    <w:rsid w:val="001F07E9"/>
    <w:rsid w:val="001F16DD"/>
    <w:rsid w:val="001F1EF4"/>
    <w:rsid w:val="001F30FA"/>
    <w:rsid w:val="001F492C"/>
    <w:rsid w:val="001F4E42"/>
    <w:rsid w:val="00201C48"/>
    <w:rsid w:val="00202D4C"/>
    <w:rsid w:val="002035E0"/>
    <w:rsid w:val="002044DB"/>
    <w:rsid w:val="00213DEC"/>
    <w:rsid w:val="00214A6D"/>
    <w:rsid w:val="002150C1"/>
    <w:rsid w:val="00216211"/>
    <w:rsid w:val="00216910"/>
    <w:rsid w:val="0021724A"/>
    <w:rsid w:val="00220070"/>
    <w:rsid w:val="0022040A"/>
    <w:rsid w:val="002226F0"/>
    <w:rsid w:val="00222AE9"/>
    <w:rsid w:val="00225C91"/>
    <w:rsid w:val="00226565"/>
    <w:rsid w:val="00226C68"/>
    <w:rsid w:val="00231341"/>
    <w:rsid w:val="00234428"/>
    <w:rsid w:val="00234C64"/>
    <w:rsid w:val="00235658"/>
    <w:rsid w:val="002360CD"/>
    <w:rsid w:val="00236AA7"/>
    <w:rsid w:val="00237D49"/>
    <w:rsid w:val="00240DD8"/>
    <w:rsid w:val="0024104F"/>
    <w:rsid w:val="00243139"/>
    <w:rsid w:val="00244E1F"/>
    <w:rsid w:val="002479DB"/>
    <w:rsid w:val="00247F11"/>
    <w:rsid w:val="00254702"/>
    <w:rsid w:val="00254ADE"/>
    <w:rsid w:val="00255973"/>
    <w:rsid w:val="00255A76"/>
    <w:rsid w:val="0026001F"/>
    <w:rsid w:val="00264B33"/>
    <w:rsid w:val="002656B1"/>
    <w:rsid w:val="00266E5B"/>
    <w:rsid w:val="002715AC"/>
    <w:rsid w:val="002719F2"/>
    <w:rsid w:val="00271B92"/>
    <w:rsid w:val="00273972"/>
    <w:rsid w:val="00273A29"/>
    <w:rsid w:val="002743DF"/>
    <w:rsid w:val="00277717"/>
    <w:rsid w:val="0028161D"/>
    <w:rsid w:val="00284242"/>
    <w:rsid w:val="00285866"/>
    <w:rsid w:val="00286DAC"/>
    <w:rsid w:val="00290D60"/>
    <w:rsid w:val="00291CF4"/>
    <w:rsid w:val="00293A52"/>
    <w:rsid w:val="00293AB6"/>
    <w:rsid w:val="00296749"/>
    <w:rsid w:val="002A0D1D"/>
    <w:rsid w:val="002A478F"/>
    <w:rsid w:val="002A486A"/>
    <w:rsid w:val="002A5BE7"/>
    <w:rsid w:val="002A68E0"/>
    <w:rsid w:val="002B22DD"/>
    <w:rsid w:val="002B2C11"/>
    <w:rsid w:val="002C05B9"/>
    <w:rsid w:val="002C466E"/>
    <w:rsid w:val="002C49F2"/>
    <w:rsid w:val="002C6C43"/>
    <w:rsid w:val="002C7828"/>
    <w:rsid w:val="002D343C"/>
    <w:rsid w:val="002D3BB6"/>
    <w:rsid w:val="002E0C10"/>
    <w:rsid w:val="002E1749"/>
    <w:rsid w:val="002E3FB3"/>
    <w:rsid w:val="002E6A41"/>
    <w:rsid w:val="002E73E0"/>
    <w:rsid w:val="002E781E"/>
    <w:rsid w:val="002E7954"/>
    <w:rsid w:val="002F131D"/>
    <w:rsid w:val="002F23CA"/>
    <w:rsid w:val="002F2BCD"/>
    <w:rsid w:val="002F4C4C"/>
    <w:rsid w:val="002F5073"/>
    <w:rsid w:val="002F6621"/>
    <w:rsid w:val="002F77CD"/>
    <w:rsid w:val="003016F4"/>
    <w:rsid w:val="003027F9"/>
    <w:rsid w:val="00303BAE"/>
    <w:rsid w:val="00305C86"/>
    <w:rsid w:val="003061B1"/>
    <w:rsid w:val="00311FA1"/>
    <w:rsid w:val="003150DF"/>
    <w:rsid w:val="00315959"/>
    <w:rsid w:val="00315E44"/>
    <w:rsid w:val="00316713"/>
    <w:rsid w:val="00320173"/>
    <w:rsid w:val="0032172C"/>
    <w:rsid w:val="00321B05"/>
    <w:rsid w:val="00322735"/>
    <w:rsid w:val="0032603B"/>
    <w:rsid w:val="00335313"/>
    <w:rsid w:val="00335C53"/>
    <w:rsid w:val="0034006B"/>
    <w:rsid w:val="00342377"/>
    <w:rsid w:val="0034292B"/>
    <w:rsid w:val="0034385C"/>
    <w:rsid w:val="00344B79"/>
    <w:rsid w:val="00345D74"/>
    <w:rsid w:val="00347C6D"/>
    <w:rsid w:val="00355C64"/>
    <w:rsid w:val="00356684"/>
    <w:rsid w:val="003567C5"/>
    <w:rsid w:val="00360A0D"/>
    <w:rsid w:val="00360A6D"/>
    <w:rsid w:val="003610C6"/>
    <w:rsid w:val="003615F8"/>
    <w:rsid w:val="00361746"/>
    <w:rsid w:val="003635D9"/>
    <w:rsid w:val="003647B5"/>
    <w:rsid w:val="003650EC"/>
    <w:rsid w:val="003654A8"/>
    <w:rsid w:val="0036566A"/>
    <w:rsid w:val="003657E2"/>
    <w:rsid w:val="0036667E"/>
    <w:rsid w:val="003721B0"/>
    <w:rsid w:val="003728D9"/>
    <w:rsid w:val="00373CD9"/>
    <w:rsid w:val="00374BA2"/>
    <w:rsid w:val="00375555"/>
    <w:rsid w:val="003771DC"/>
    <w:rsid w:val="00380415"/>
    <w:rsid w:val="003841BA"/>
    <w:rsid w:val="0038457E"/>
    <w:rsid w:val="00384E5F"/>
    <w:rsid w:val="003856B3"/>
    <w:rsid w:val="00385DF3"/>
    <w:rsid w:val="00386E2D"/>
    <w:rsid w:val="003900AD"/>
    <w:rsid w:val="0039128A"/>
    <w:rsid w:val="0039283B"/>
    <w:rsid w:val="00394D34"/>
    <w:rsid w:val="00395489"/>
    <w:rsid w:val="0039586A"/>
    <w:rsid w:val="0039631A"/>
    <w:rsid w:val="003972F5"/>
    <w:rsid w:val="003A3D10"/>
    <w:rsid w:val="003A4EF9"/>
    <w:rsid w:val="003A4FE3"/>
    <w:rsid w:val="003A5D26"/>
    <w:rsid w:val="003B0E21"/>
    <w:rsid w:val="003B2316"/>
    <w:rsid w:val="003B304E"/>
    <w:rsid w:val="003B3FB3"/>
    <w:rsid w:val="003C1013"/>
    <w:rsid w:val="003C27E1"/>
    <w:rsid w:val="003C3AA1"/>
    <w:rsid w:val="003C5248"/>
    <w:rsid w:val="003C6098"/>
    <w:rsid w:val="003C68A6"/>
    <w:rsid w:val="003C75C7"/>
    <w:rsid w:val="003D097C"/>
    <w:rsid w:val="003D1947"/>
    <w:rsid w:val="003D23B3"/>
    <w:rsid w:val="003D33CB"/>
    <w:rsid w:val="003D342B"/>
    <w:rsid w:val="003D4D70"/>
    <w:rsid w:val="003D5BC0"/>
    <w:rsid w:val="003D6571"/>
    <w:rsid w:val="003D70E7"/>
    <w:rsid w:val="003E1D7E"/>
    <w:rsid w:val="003E2808"/>
    <w:rsid w:val="003E5707"/>
    <w:rsid w:val="003E6356"/>
    <w:rsid w:val="003E6A3B"/>
    <w:rsid w:val="003F2275"/>
    <w:rsid w:val="003F7EA6"/>
    <w:rsid w:val="004000A6"/>
    <w:rsid w:val="00401193"/>
    <w:rsid w:val="004018E2"/>
    <w:rsid w:val="00404007"/>
    <w:rsid w:val="00407469"/>
    <w:rsid w:val="0041410A"/>
    <w:rsid w:val="004204FC"/>
    <w:rsid w:val="00420992"/>
    <w:rsid w:val="00421BF5"/>
    <w:rsid w:val="00422165"/>
    <w:rsid w:val="00424821"/>
    <w:rsid w:val="00425570"/>
    <w:rsid w:val="00425616"/>
    <w:rsid w:val="00425909"/>
    <w:rsid w:val="00425AF5"/>
    <w:rsid w:val="00425C7D"/>
    <w:rsid w:val="004279FF"/>
    <w:rsid w:val="00432AB8"/>
    <w:rsid w:val="004336E9"/>
    <w:rsid w:val="004349C8"/>
    <w:rsid w:val="00435A39"/>
    <w:rsid w:val="004373F9"/>
    <w:rsid w:val="00440FA9"/>
    <w:rsid w:val="004446B7"/>
    <w:rsid w:val="0044789B"/>
    <w:rsid w:val="00453BDF"/>
    <w:rsid w:val="00455B5E"/>
    <w:rsid w:val="00455D4A"/>
    <w:rsid w:val="00460147"/>
    <w:rsid w:val="0046219B"/>
    <w:rsid w:val="00462642"/>
    <w:rsid w:val="00462820"/>
    <w:rsid w:val="00463A09"/>
    <w:rsid w:val="00463E30"/>
    <w:rsid w:val="00467443"/>
    <w:rsid w:val="00470262"/>
    <w:rsid w:val="004708ED"/>
    <w:rsid w:val="00470A43"/>
    <w:rsid w:val="0047109C"/>
    <w:rsid w:val="00473232"/>
    <w:rsid w:val="0047463C"/>
    <w:rsid w:val="00475DC5"/>
    <w:rsid w:val="004809D4"/>
    <w:rsid w:val="00480B47"/>
    <w:rsid w:val="00483058"/>
    <w:rsid w:val="0048469E"/>
    <w:rsid w:val="00490FA6"/>
    <w:rsid w:val="004A04A6"/>
    <w:rsid w:val="004A2520"/>
    <w:rsid w:val="004A32B3"/>
    <w:rsid w:val="004A3381"/>
    <w:rsid w:val="004B4DCA"/>
    <w:rsid w:val="004B5232"/>
    <w:rsid w:val="004B7EDD"/>
    <w:rsid w:val="004C0074"/>
    <w:rsid w:val="004C0FAE"/>
    <w:rsid w:val="004C20DB"/>
    <w:rsid w:val="004C4D96"/>
    <w:rsid w:val="004C56CA"/>
    <w:rsid w:val="004D0DA3"/>
    <w:rsid w:val="004D1975"/>
    <w:rsid w:val="004D1E47"/>
    <w:rsid w:val="004D23E6"/>
    <w:rsid w:val="004D4C85"/>
    <w:rsid w:val="004D4F41"/>
    <w:rsid w:val="004D5A9A"/>
    <w:rsid w:val="004D60A0"/>
    <w:rsid w:val="004D6A58"/>
    <w:rsid w:val="004D7D1E"/>
    <w:rsid w:val="004E4376"/>
    <w:rsid w:val="004E4F05"/>
    <w:rsid w:val="004E5E7B"/>
    <w:rsid w:val="004E7DE1"/>
    <w:rsid w:val="004F378B"/>
    <w:rsid w:val="004F5E9E"/>
    <w:rsid w:val="004F7FB6"/>
    <w:rsid w:val="00502BE9"/>
    <w:rsid w:val="00511DC8"/>
    <w:rsid w:val="005121EB"/>
    <w:rsid w:val="00513921"/>
    <w:rsid w:val="005154B1"/>
    <w:rsid w:val="005213EB"/>
    <w:rsid w:val="00524DF0"/>
    <w:rsid w:val="005256F1"/>
    <w:rsid w:val="00525B71"/>
    <w:rsid w:val="00526F0F"/>
    <w:rsid w:val="0053008A"/>
    <w:rsid w:val="00530D07"/>
    <w:rsid w:val="00530DB3"/>
    <w:rsid w:val="00531D50"/>
    <w:rsid w:val="00532866"/>
    <w:rsid w:val="00532BC1"/>
    <w:rsid w:val="005338CE"/>
    <w:rsid w:val="0053466C"/>
    <w:rsid w:val="005364B1"/>
    <w:rsid w:val="00541313"/>
    <w:rsid w:val="0054225F"/>
    <w:rsid w:val="005423C2"/>
    <w:rsid w:val="00542E1F"/>
    <w:rsid w:val="0054375C"/>
    <w:rsid w:val="005438DF"/>
    <w:rsid w:val="005471E2"/>
    <w:rsid w:val="00547541"/>
    <w:rsid w:val="00552B51"/>
    <w:rsid w:val="00552F35"/>
    <w:rsid w:val="00560AA2"/>
    <w:rsid w:val="00562EED"/>
    <w:rsid w:val="00567B48"/>
    <w:rsid w:val="00567B4D"/>
    <w:rsid w:val="005704E8"/>
    <w:rsid w:val="005733A7"/>
    <w:rsid w:val="005736B0"/>
    <w:rsid w:val="00577432"/>
    <w:rsid w:val="0058149A"/>
    <w:rsid w:val="00581EE5"/>
    <w:rsid w:val="005826DF"/>
    <w:rsid w:val="0058504E"/>
    <w:rsid w:val="005851CD"/>
    <w:rsid w:val="005853EF"/>
    <w:rsid w:val="005862BD"/>
    <w:rsid w:val="00590663"/>
    <w:rsid w:val="005916F2"/>
    <w:rsid w:val="00596732"/>
    <w:rsid w:val="005A2BB7"/>
    <w:rsid w:val="005B0256"/>
    <w:rsid w:val="005B1054"/>
    <w:rsid w:val="005B441D"/>
    <w:rsid w:val="005B4587"/>
    <w:rsid w:val="005B7E4A"/>
    <w:rsid w:val="005C04F0"/>
    <w:rsid w:val="005C6E4D"/>
    <w:rsid w:val="005C7547"/>
    <w:rsid w:val="005C7FAE"/>
    <w:rsid w:val="005D68E8"/>
    <w:rsid w:val="005D7CC1"/>
    <w:rsid w:val="005E430E"/>
    <w:rsid w:val="005E4E8D"/>
    <w:rsid w:val="005E4FDD"/>
    <w:rsid w:val="005E51E9"/>
    <w:rsid w:val="005E71C8"/>
    <w:rsid w:val="005E7B05"/>
    <w:rsid w:val="005F18CD"/>
    <w:rsid w:val="005F1FD4"/>
    <w:rsid w:val="005F2FFB"/>
    <w:rsid w:val="005F300D"/>
    <w:rsid w:val="005F72CB"/>
    <w:rsid w:val="005F7560"/>
    <w:rsid w:val="005F7C03"/>
    <w:rsid w:val="0060024C"/>
    <w:rsid w:val="00602A1E"/>
    <w:rsid w:val="00603CE0"/>
    <w:rsid w:val="006056CE"/>
    <w:rsid w:val="00605EBC"/>
    <w:rsid w:val="006067D7"/>
    <w:rsid w:val="00606C3D"/>
    <w:rsid w:val="00607B89"/>
    <w:rsid w:val="00613CE2"/>
    <w:rsid w:val="006163C7"/>
    <w:rsid w:val="00621F9A"/>
    <w:rsid w:val="00622420"/>
    <w:rsid w:val="00623A8A"/>
    <w:rsid w:val="00623F6E"/>
    <w:rsid w:val="00624995"/>
    <w:rsid w:val="00625C8A"/>
    <w:rsid w:val="006302E2"/>
    <w:rsid w:val="00634AE4"/>
    <w:rsid w:val="00636DE0"/>
    <w:rsid w:val="006422B4"/>
    <w:rsid w:val="00642D49"/>
    <w:rsid w:val="00651E51"/>
    <w:rsid w:val="00655835"/>
    <w:rsid w:val="006560A7"/>
    <w:rsid w:val="0065658F"/>
    <w:rsid w:val="00657979"/>
    <w:rsid w:val="00660950"/>
    <w:rsid w:val="0066164F"/>
    <w:rsid w:val="00661C74"/>
    <w:rsid w:val="00664DA6"/>
    <w:rsid w:val="0066529D"/>
    <w:rsid w:val="0066678E"/>
    <w:rsid w:val="00667187"/>
    <w:rsid w:val="00667595"/>
    <w:rsid w:val="00670A85"/>
    <w:rsid w:val="006722DF"/>
    <w:rsid w:val="006743C5"/>
    <w:rsid w:val="0067548F"/>
    <w:rsid w:val="00677A0C"/>
    <w:rsid w:val="006803B3"/>
    <w:rsid w:val="00680792"/>
    <w:rsid w:val="0068296E"/>
    <w:rsid w:val="00685284"/>
    <w:rsid w:val="006901B8"/>
    <w:rsid w:val="00691274"/>
    <w:rsid w:val="00691816"/>
    <w:rsid w:val="0069238C"/>
    <w:rsid w:val="00693435"/>
    <w:rsid w:val="0069478A"/>
    <w:rsid w:val="0069528D"/>
    <w:rsid w:val="006A3B7E"/>
    <w:rsid w:val="006A4906"/>
    <w:rsid w:val="006B1EC4"/>
    <w:rsid w:val="006B346D"/>
    <w:rsid w:val="006B54EA"/>
    <w:rsid w:val="006B7112"/>
    <w:rsid w:val="006B78C2"/>
    <w:rsid w:val="006C0261"/>
    <w:rsid w:val="006C1145"/>
    <w:rsid w:val="006C1331"/>
    <w:rsid w:val="006C2B0A"/>
    <w:rsid w:val="006C3D32"/>
    <w:rsid w:val="006C4AFF"/>
    <w:rsid w:val="006C6A83"/>
    <w:rsid w:val="006C6C66"/>
    <w:rsid w:val="006C7D65"/>
    <w:rsid w:val="006D2AE0"/>
    <w:rsid w:val="006D2C74"/>
    <w:rsid w:val="006D3EE9"/>
    <w:rsid w:val="006E4D23"/>
    <w:rsid w:val="006E6434"/>
    <w:rsid w:val="006E76F0"/>
    <w:rsid w:val="006E781F"/>
    <w:rsid w:val="006E7D9E"/>
    <w:rsid w:val="006F161C"/>
    <w:rsid w:val="006F1CDF"/>
    <w:rsid w:val="006F2AE0"/>
    <w:rsid w:val="006F2D4E"/>
    <w:rsid w:val="006F516F"/>
    <w:rsid w:val="006F5978"/>
    <w:rsid w:val="006F68E9"/>
    <w:rsid w:val="006F79D1"/>
    <w:rsid w:val="007001B7"/>
    <w:rsid w:val="0070077E"/>
    <w:rsid w:val="00701CA6"/>
    <w:rsid w:val="00701D1B"/>
    <w:rsid w:val="00702F51"/>
    <w:rsid w:val="00711C20"/>
    <w:rsid w:val="00714199"/>
    <w:rsid w:val="00716C0C"/>
    <w:rsid w:val="007228E9"/>
    <w:rsid w:val="00723DA2"/>
    <w:rsid w:val="00724FE7"/>
    <w:rsid w:val="007253ED"/>
    <w:rsid w:val="007279C5"/>
    <w:rsid w:val="007302EF"/>
    <w:rsid w:val="00731060"/>
    <w:rsid w:val="0073195E"/>
    <w:rsid w:val="00732589"/>
    <w:rsid w:val="00734A45"/>
    <w:rsid w:val="0073740E"/>
    <w:rsid w:val="00737FBF"/>
    <w:rsid w:val="00741549"/>
    <w:rsid w:val="00741717"/>
    <w:rsid w:val="0074182F"/>
    <w:rsid w:val="00747AF7"/>
    <w:rsid w:val="007502F3"/>
    <w:rsid w:val="00752024"/>
    <w:rsid w:val="0075499E"/>
    <w:rsid w:val="00755099"/>
    <w:rsid w:val="00756214"/>
    <w:rsid w:val="0075700F"/>
    <w:rsid w:val="0076283A"/>
    <w:rsid w:val="00763988"/>
    <w:rsid w:val="007653DB"/>
    <w:rsid w:val="00765953"/>
    <w:rsid w:val="007708B7"/>
    <w:rsid w:val="00771481"/>
    <w:rsid w:val="0077380B"/>
    <w:rsid w:val="00774740"/>
    <w:rsid w:val="00775639"/>
    <w:rsid w:val="00776CFB"/>
    <w:rsid w:val="00776F6F"/>
    <w:rsid w:val="00777A31"/>
    <w:rsid w:val="00777F53"/>
    <w:rsid w:val="00780568"/>
    <w:rsid w:val="007806C2"/>
    <w:rsid w:val="0078280F"/>
    <w:rsid w:val="00782FEB"/>
    <w:rsid w:val="00785496"/>
    <w:rsid w:val="00785A5D"/>
    <w:rsid w:val="00795A3E"/>
    <w:rsid w:val="00797DDF"/>
    <w:rsid w:val="007A01C9"/>
    <w:rsid w:val="007A0FC8"/>
    <w:rsid w:val="007A1278"/>
    <w:rsid w:val="007A18F9"/>
    <w:rsid w:val="007A4094"/>
    <w:rsid w:val="007A4B57"/>
    <w:rsid w:val="007A65EC"/>
    <w:rsid w:val="007B0956"/>
    <w:rsid w:val="007B0CBD"/>
    <w:rsid w:val="007B1B0E"/>
    <w:rsid w:val="007B3574"/>
    <w:rsid w:val="007B4833"/>
    <w:rsid w:val="007B4B31"/>
    <w:rsid w:val="007B5933"/>
    <w:rsid w:val="007B6A90"/>
    <w:rsid w:val="007C09CC"/>
    <w:rsid w:val="007C0BA3"/>
    <w:rsid w:val="007C1856"/>
    <w:rsid w:val="007C3C5E"/>
    <w:rsid w:val="007C5435"/>
    <w:rsid w:val="007C71EF"/>
    <w:rsid w:val="007C7CC6"/>
    <w:rsid w:val="007D0C8D"/>
    <w:rsid w:val="007D24D5"/>
    <w:rsid w:val="007D477B"/>
    <w:rsid w:val="007D5AEC"/>
    <w:rsid w:val="007D5C66"/>
    <w:rsid w:val="007D7331"/>
    <w:rsid w:val="007E02FF"/>
    <w:rsid w:val="007E29EE"/>
    <w:rsid w:val="007E42B8"/>
    <w:rsid w:val="007E5EDE"/>
    <w:rsid w:val="007E624C"/>
    <w:rsid w:val="007E6996"/>
    <w:rsid w:val="007E6C4B"/>
    <w:rsid w:val="007E722D"/>
    <w:rsid w:val="007E7C5C"/>
    <w:rsid w:val="007F0D94"/>
    <w:rsid w:val="007F1D32"/>
    <w:rsid w:val="007F246F"/>
    <w:rsid w:val="007F2798"/>
    <w:rsid w:val="007F43F1"/>
    <w:rsid w:val="007F5EE1"/>
    <w:rsid w:val="00801552"/>
    <w:rsid w:val="008015FB"/>
    <w:rsid w:val="00802866"/>
    <w:rsid w:val="00802C43"/>
    <w:rsid w:val="008033FF"/>
    <w:rsid w:val="0080375E"/>
    <w:rsid w:val="00807D85"/>
    <w:rsid w:val="00817AAB"/>
    <w:rsid w:val="00821174"/>
    <w:rsid w:val="00827938"/>
    <w:rsid w:val="00830308"/>
    <w:rsid w:val="00830652"/>
    <w:rsid w:val="00830BF2"/>
    <w:rsid w:val="0083148C"/>
    <w:rsid w:val="00834B7C"/>
    <w:rsid w:val="00834C12"/>
    <w:rsid w:val="00835511"/>
    <w:rsid w:val="008355F2"/>
    <w:rsid w:val="00841B3B"/>
    <w:rsid w:val="00844820"/>
    <w:rsid w:val="00844911"/>
    <w:rsid w:val="0084521F"/>
    <w:rsid w:val="0084570C"/>
    <w:rsid w:val="00847AF2"/>
    <w:rsid w:val="00850D2C"/>
    <w:rsid w:val="00853186"/>
    <w:rsid w:val="00853C2C"/>
    <w:rsid w:val="00854427"/>
    <w:rsid w:val="00856949"/>
    <w:rsid w:val="00856E07"/>
    <w:rsid w:val="008577AE"/>
    <w:rsid w:val="00857BB3"/>
    <w:rsid w:val="008601FE"/>
    <w:rsid w:val="00865062"/>
    <w:rsid w:val="008659B9"/>
    <w:rsid w:val="00866123"/>
    <w:rsid w:val="00870741"/>
    <w:rsid w:val="0087094E"/>
    <w:rsid w:val="008714E3"/>
    <w:rsid w:val="008715C1"/>
    <w:rsid w:val="0087220A"/>
    <w:rsid w:val="0087307A"/>
    <w:rsid w:val="008736D8"/>
    <w:rsid w:val="00873A59"/>
    <w:rsid w:val="00875963"/>
    <w:rsid w:val="00877556"/>
    <w:rsid w:val="00877B48"/>
    <w:rsid w:val="0088019F"/>
    <w:rsid w:val="00883B4F"/>
    <w:rsid w:val="00884B24"/>
    <w:rsid w:val="00885A9F"/>
    <w:rsid w:val="0089471B"/>
    <w:rsid w:val="00897297"/>
    <w:rsid w:val="00897DAD"/>
    <w:rsid w:val="008A0580"/>
    <w:rsid w:val="008A0ABD"/>
    <w:rsid w:val="008A3A0C"/>
    <w:rsid w:val="008A5B5C"/>
    <w:rsid w:val="008B1317"/>
    <w:rsid w:val="008B2D03"/>
    <w:rsid w:val="008B44B6"/>
    <w:rsid w:val="008B4BFC"/>
    <w:rsid w:val="008B5AF2"/>
    <w:rsid w:val="008B69E8"/>
    <w:rsid w:val="008B79B3"/>
    <w:rsid w:val="008C0CC5"/>
    <w:rsid w:val="008C105B"/>
    <w:rsid w:val="008C1158"/>
    <w:rsid w:val="008C12A6"/>
    <w:rsid w:val="008C3217"/>
    <w:rsid w:val="008C3B63"/>
    <w:rsid w:val="008C4D3B"/>
    <w:rsid w:val="008C5225"/>
    <w:rsid w:val="008C65A1"/>
    <w:rsid w:val="008C6B8E"/>
    <w:rsid w:val="008C6B91"/>
    <w:rsid w:val="008C6D38"/>
    <w:rsid w:val="008C72F3"/>
    <w:rsid w:val="008D2BFE"/>
    <w:rsid w:val="008D49F3"/>
    <w:rsid w:val="008D7C63"/>
    <w:rsid w:val="008D7E1E"/>
    <w:rsid w:val="008E2A57"/>
    <w:rsid w:val="008E31C4"/>
    <w:rsid w:val="008E3AD3"/>
    <w:rsid w:val="008E3D15"/>
    <w:rsid w:val="008F05E2"/>
    <w:rsid w:val="008F15DE"/>
    <w:rsid w:val="008F1CDE"/>
    <w:rsid w:val="008F245F"/>
    <w:rsid w:val="008F5635"/>
    <w:rsid w:val="008F5A56"/>
    <w:rsid w:val="0090084F"/>
    <w:rsid w:val="00901086"/>
    <w:rsid w:val="00902671"/>
    <w:rsid w:val="009041D4"/>
    <w:rsid w:val="00904A5C"/>
    <w:rsid w:val="00910CF8"/>
    <w:rsid w:val="00912341"/>
    <w:rsid w:val="0091291A"/>
    <w:rsid w:val="009130DB"/>
    <w:rsid w:val="009172C8"/>
    <w:rsid w:val="0091758F"/>
    <w:rsid w:val="00917F24"/>
    <w:rsid w:val="009202D1"/>
    <w:rsid w:val="0092428C"/>
    <w:rsid w:val="00924678"/>
    <w:rsid w:val="00924879"/>
    <w:rsid w:val="00927E82"/>
    <w:rsid w:val="009304EB"/>
    <w:rsid w:val="00931494"/>
    <w:rsid w:val="0093160B"/>
    <w:rsid w:val="00932FFB"/>
    <w:rsid w:val="009338CF"/>
    <w:rsid w:val="00933B48"/>
    <w:rsid w:val="009351E4"/>
    <w:rsid w:val="00937EEB"/>
    <w:rsid w:val="00941616"/>
    <w:rsid w:val="00943ADC"/>
    <w:rsid w:val="009445D8"/>
    <w:rsid w:val="009466D1"/>
    <w:rsid w:val="00946E7C"/>
    <w:rsid w:val="00947F2F"/>
    <w:rsid w:val="00950EE8"/>
    <w:rsid w:val="009514D8"/>
    <w:rsid w:val="009528A4"/>
    <w:rsid w:val="00953A1C"/>
    <w:rsid w:val="00956C68"/>
    <w:rsid w:val="00956CD6"/>
    <w:rsid w:val="009614E3"/>
    <w:rsid w:val="009616A1"/>
    <w:rsid w:val="009631F5"/>
    <w:rsid w:val="00965478"/>
    <w:rsid w:val="00972227"/>
    <w:rsid w:val="00973364"/>
    <w:rsid w:val="00973F24"/>
    <w:rsid w:val="00974CD6"/>
    <w:rsid w:val="00975871"/>
    <w:rsid w:val="00977491"/>
    <w:rsid w:val="0097786D"/>
    <w:rsid w:val="0098165F"/>
    <w:rsid w:val="00982C89"/>
    <w:rsid w:val="0098411D"/>
    <w:rsid w:val="0098739F"/>
    <w:rsid w:val="009904FD"/>
    <w:rsid w:val="00991B43"/>
    <w:rsid w:val="0099278B"/>
    <w:rsid w:val="00993761"/>
    <w:rsid w:val="009949CA"/>
    <w:rsid w:val="00995E34"/>
    <w:rsid w:val="00995EFD"/>
    <w:rsid w:val="00996F67"/>
    <w:rsid w:val="009A0D72"/>
    <w:rsid w:val="009A0F49"/>
    <w:rsid w:val="009A18D6"/>
    <w:rsid w:val="009A1EAE"/>
    <w:rsid w:val="009A3277"/>
    <w:rsid w:val="009A3957"/>
    <w:rsid w:val="009A3F5B"/>
    <w:rsid w:val="009A43C9"/>
    <w:rsid w:val="009A5439"/>
    <w:rsid w:val="009A64AA"/>
    <w:rsid w:val="009B5ACF"/>
    <w:rsid w:val="009B5C88"/>
    <w:rsid w:val="009B6C41"/>
    <w:rsid w:val="009C0B24"/>
    <w:rsid w:val="009C14BC"/>
    <w:rsid w:val="009C28F8"/>
    <w:rsid w:val="009C5825"/>
    <w:rsid w:val="009C59CD"/>
    <w:rsid w:val="009C7AFD"/>
    <w:rsid w:val="009D0846"/>
    <w:rsid w:val="009D3FBF"/>
    <w:rsid w:val="009E2766"/>
    <w:rsid w:val="009E3EDB"/>
    <w:rsid w:val="009E469F"/>
    <w:rsid w:val="009E579E"/>
    <w:rsid w:val="009E6F78"/>
    <w:rsid w:val="009E7591"/>
    <w:rsid w:val="009F0956"/>
    <w:rsid w:val="009F2BDF"/>
    <w:rsid w:val="009F35D2"/>
    <w:rsid w:val="009F4869"/>
    <w:rsid w:val="009F51FA"/>
    <w:rsid w:val="009F5B19"/>
    <w:rsid w:val="00A01381"/>
    <w:rsid w:val="00A01E01"/>
    <w:rsid w:val="00A03979"/>
    <w:rsid w:val="00A045C6"/>
    <w:rsid w:val="00A0521B"/>
    <w:rsid w:val="00A0568E"/>
    <w:rsid w:val="00A06A4A"/>
    <w:rsid w:val="00A07A7A"/>
    <w:rsid w:val="00A11A30"/>
    <w:rsid w:val="00A12F1F"/>
    <w:rsid w:val="00A13428"/>
    <w:rsid w:val="00A144E8"/>
    <w:rsid w:val="00A15A90"/>
    <w:rsid w:val="00A172DD"/>
    <w:rsid w:val="00A22046"/>
    <w:rsid w:val="00A22870"/>
    <w:rsid w:val="00A24B50"/>
    <w:rsid w:val="00A250A8"/>
    <w:rsid w:val="00A324B1"/>
    <w:rsid w:val="00A34589"/>
    <w:rsid w:val="00A35764"/>
    <w:rsid w:val="00A366DA"/>
    <w:rsid w:val="00A41116"/>
    <w:rsid w:val="00A42EBA"/>
    <w:rsid w:val="00A44104"/>
    <w:rsid w:val="00A446FA"/>
    <w:rsid w:val="00A4547A"/>
    <w:rsid w:val="00A46998"/>
    <w:rsid w:val="00A47311"/>
    <w:rsid w:val="00A5241E"/>
    <w:rsid w:val="00A52A6A"/>
    <w:rsid w:val="00A546FC"/>
    <w:rsid w:val="00A55045"/>
    <w:rsid w:val="00A552AE"/>
    <w:rsid w:val="00A6133F"/>
    <w:rsid w:val="00A61A5F"/>
    <w:rsid w:val="00A61E07"/>
    <w:rsid w:val="00A63955"/>
    <w:rsid w:val="00A63E48"/>
    <w:rsid w:val="00A64D78"/>
    <w:rsid w:val="00A6533B"/>
    <w:rsid w:val="00A65F90"/>
    <w:rsid w:val="00A666D1"/>
    <w:rsid w:val="00A678DA"/>
    <w:rsid w:val="00A67D60"/>
    <w:rsid w:val="00A70DC7"/>
    <w:rsid w:val="00A71203"/>
    <w:rsid w:val="00A718BC"/>
    <w:rsid w:val="00A73288"/>
    <w:rsid w:val="00A7454F"/>
    <w:rsid w:val="00A74A24"/>
    <w:rsid w:val="00A74B59"/>
    <w:rsid w:val="00A74E3A"/>
    <w:rsid w:val="00A77139"/>
    <w:rsid w:val="00A7773E"/>
    <w:rsid w:val="00A8357F"/>
    <w:rsid w:val="00A838CD"/>
    <w:rsid w:val="00A860AF"/>
    <w:rsid w:val="00A86DFA"/>
    <w:rsid w:val="00A90BEA"/>
    <w:rsid w:val="00A929B0"/>
    <w:rsid w:val="00A97CC6"/>
    <w:rsid w:val="00AA0D34"/>
    <w:rsid w:val="00AA32F2"/>
    <w:rsid w:val="00AA66D0"/>
    <w:rsid w:val="00AB22FA"/>
    <w:rsid w:val="00AB28AF"/>
    <w:rsid w:val="00AB3337"/>
    <w:rsid w:val="00AB3CC5"/>
    <w:rsid w:val="00AB3FA0"/>
    <w:rsid w:val="00AB6642"/>
    <w:rsid w:val="00AC0EBD"/>
    <w:rsid w:val="00AC14C7"/>
    <w:rsid w:val="00AC1973"/>
    <w:rsid w:val="00AC1B0C"/>
    <w:rsid w:val="00AC1D09"/>
    <w:rsid w:val="00AC3CED"/>
    <w:rsid w:val="00AC3FA8"/>
    <w:rsid w:val="00AC4006"/>
    <w:rsid w:val="00AC494A"/>
    <w:rsid w:val="00AC664A"/>
    <w:rsid w:val="00AC7600"/>
    <w:rsid w:val="00AC7F92"/>
    <w:rsid w:val="00AD5A4A"/>
    <w:rsid w:val="00AD5B9E"/>
    <w:rsid w:val="00AD6486"/>
    <w:rsid w:val="00AE2201"/>
    <w:rsid w:val="00AE6CA4"/>
    <w:rsid w:val="00AE7231"/>
    <w:rsid w:val="00AE7AA4"/>
    <w:rsid w:val="00AF415D"/>
    <w:rsid w:val="00AF571A"/>
    <w:rsid w:val="00AF5756"/>
    <w:rsid w:val="00AF7C4C"/>
    <w:rsid w:val="00B015B9"/>
    <w:rsid w:val="00B03F78"/>
    <w:rsid w:val="00B04127"/>
    <w:rsid w:val="00B04595"/>
    <w:rsid w:val="00B046B2"/>
    <w:rsid w:val="00B11C5A"/>
    <w:rsid w:val="00B122D0"/>
    <w:rsid w:val="00B12442"/>
    <w:rsid w:val="00B13EE2"/>
    <w:rsid w:val="00B159DF"/>
    <w:rsid w:val="00B15B10"/>
    <w:rsid w:val="00B2096A"/>
    <w:rsid w:val="00B23C1C"/>
    <w:rsid w:val="00B25B39"/>
    <w:rsid w:val="00B302D6"/>
    <w:rsid w:val="00B409D7"/>
    <w:rsid w:val="00B4137F"/>
    <w:rsid w:val="00B43425"/>
    <w:rsid w:val="00B45ED6"/>
    <w:rsid w:val="00B46089"/>
    <w:rsid w:val="00B475E9"/>
    <w:rsid w:val="00B54C60"/>
    <w:rsid w:val="00B5535D"/>
    <w:rsid w:val="00B56C5D"/>
    <w:rsid w:val="00B602DF"/>
    <w:rsid w:val="00B603EC"/>
    <w:rsid w:val="00B62797"/>
    <w:rsid w:val="00B63F2C"/>
    <w:rsid w:val="00B64F0F"/>
    <w:rsid w:val="00B65359"/>
    <w:rsid w:val="00B66B61"/>
    <w:rsid w:val="00B6728B"/>
    <w:rsid w:val="00B6785B"/>
    <w:rsid w:val="00B70261"/>
    <w:rsid w:val="00B7401F"/>
    <w:rsid w:val="00B807EC"/>
    <w:rsid w:val="00B811E2"/>
    <w:rsid w:val="00B81255"/>
    <w:rsid w:val="00B81733"/>
    <w:rsid w:val="00B82C1C"/>
    <w:rsid w:val="00B84049"/>
    <w:rsid w:val="00B84236"/>
    <w:rsid w:val="00B84E12"/>
    <w:rsid w:val="00B85337"/>
    <w:rsid w:val="00B86F32"/>
    <w:rsid w:val="00B8779D"/>
    <w:rsid w:val="00B877AD"/>
    <w:rsid w:val="00B900A4"/>
    <w:rsid w:val="00B90476"/>
    <w:rsid w:val="00B90897"/>
    <w:rsid w:val="00B91231"/>
    <w:rsid w:val="00B91428"/>
    <w:rsid w:val="00B91E90"/>
    <w:rsid w:val="00B922E1"/>
    <w:rsid w:val="00B9346B"/>
    <w:rsid w:val="00B94278"/>
    <w:rsid w:val="00B97E80"/>
    <w:rsid w:val="00BA1B8A"/>
    <w:rsid w:val="00BA1EB1"/>
    <w:rsid w:val="00BA30AF"/>
    <w:rsid w:val="00BA3950"/>
    <w:rsid w:val="00BA4121"/>
    <w:rsid w:val="00BA58B2"/>
    <w:rsid w:val="00BA6AF5"/>
    <w:rsid w:val="00BA7135"/>
    <w:rsid w:val="00BA7FBC"/>
    <w:rsid w:val="00BB002E"/>
    <w:rsid w:val="00BB0EDC"/>
    <w:rsid w:val="00BB32A9"/>
    <w:rsid w:val="00BB3F30"/>
    <w:rsid w:val="00BB4922"/>
    <w:rsid w:val="00BB56A7"/>
    <w:rsid w:val="00BC057F"/>
    <w:rsid w:val="00BC099C"/>
    <w:rsid w:val="00BC2EA7"/>
    <w:rsid w:val="00BC6A64"/>
    <w:rsid w:val="00BC6BEF"/>
    <w:rsid w:val="00BC741A"/>
    <w:rsid w:val="00BD0036"/>
    <w:rsid w:val="00BD18DD"/>
    <w:rsid w:val="00BD3776"/>
    <w:rsid w:val="00BD3C4B"/>
    <w:rsid w:val="00BD4D6B"/>
    <w:rsid w:val="00BE02F2"/>
    <w:rsid w:val="00BE0ACA"/>
    <w:rsid w:val="00BE0BE2"/>
    <w:rsid w:val="00BE187F"/>
    <w:rsid w:val="00BE1941"/>
    <w:rsid w:val="00BE2225"/>
    <w:rsid w:val="00BE60C6"/>
    <w:rsid w:val="00BE793D"/>
    <w:rsid w:val="00BF0A88"/>
    <w:rsid w:val="00BF2529"/>
    <w:rsid w:val="00BF48E8"/>
    <w:rsid w:val="00BF5FA3"/>
    <w:rsid w:val="00BF6F49"/>
    <w:rsid w:val="00BF7533"/>
    <w:rsid w:val="00C01A54"/>
    <w:rsid w:val="00C03A0A"/>
    <w:rsid w:val="00C04F8A"/>
    <w:rsid w:val="00C0557C"/>
    <w:rsid w:val="00C06A03"/>
    <w:rsid w:val="00C077CB"/>
    <w:rsid w:val="00C07FE8"/>
    <w:rsid w:val="00C1024C"/>
    <w:rsid w:val="00C11109"/>
    <w:rsid w:val="00C11E1F"/>
    <w:rsid w:val="00C12722"/>
    <w:rsid w:val="00C14EA7"/>
    <w:rsid w:val="00C15647"/>
    <w:rsid w:val="00C156DB"/>
    <w:rsid w:val="00C15E72"/>
    <w:rsid w:val="00C1647C"/>
    <w:rsid w:val="00C2010A"/>
    <w:rsid w:val="00C205D2"/>
    <w:rsid w:val="00C20B28"/>
    <w:rsid w:val="00C2163A"/>
    <w:rsid w:val="00C220E3"/>
    <w:rsid w:val="00C24062"/>
    <w:rsid w:val="00C2632D"/>
    <w:rsid w:val="00C27463"/>
    <w:rsid w:val="00C31AEA"/>
    <w:rsid w:val="00C369E7"/>
    <w:rsid w:val="00C36D63"/>
    <w:rsid w:val="00C374C7"/>
    <w:rsid w:val="00C4223C"/>
    <w:rsid w:val="00C44730"/>
    <w:rsid w:val="00C4536F"/>
    <w:rsid w:val="00C47AFB"/>
    <w:rsid w:val="00C47C61"/>
    <w:rsid w:val="00C50785"/>
    <w:rsid w:val="00C5546E"/>
    <w:rsid w:val="00C55CD9"/>
    <w:rsid w:val="00C575FD"/>
    <w:rsid w:val="00C57B22"/>
    <w:rsid w:val="00C60EA6"/>
    <w:rsid w:val="00C61801"/>
    <w:rsid w:val="00C61A60"/>
    <w:rsid w:val="00C63B7C"/>
    <w:rsid w:val="00C63D8B"/>
    <w:rsid w:val="00C64062"/>
    <w:rsid w:val="00C64929"/>
    <w:rsid w:val="00C64FCB"/>
    <w:rsid w:val="00C6542A"/>
    <w:rsid w:val="00C654FB"/>
    <w:rsid w:val="00C65B29"/>
    <w:rsid w:val="00C70A83"/>
    <w:rsid w:val="00C70E7E"/>
    <w:rsid w:val="00C7239B"/>
    <w:rsid w:val="00C7264D"/>
    <w:rsid w:val="00C758B1"/>
    <w:rsid w:val="00C77255"/>
    <w:rsid w:val="00C803F6"/>
    <w:rsid w:val="00C80C34"/>
    <w:rsid w:val="00C81CF5"/>
    <w:rsid w:val="00C81D39"/>
    <w:rsid w:val="00C8358D"/>
    <w:rsid w:val="00C83A29"/>
    <w:rsid w:val="00C83CC0"/>
    <w:rsid w:val="00C851A5"/>
    <w:rsid w:val="00C85365"/>
    <w:rsid w:val="00C86DD5"/>
    <w:rsid w:val="00C8733C"/>
    <w:rsid w:val="00C87D6B"/>
    <w:rsid w:val="00C908A8"/>
    <w:rsid w:val="00C94B97"/>
    <w:rsid w:val="00C95B2A"/>
    <w:rsid w:val="00C96621"/>
    <w:rsid w:val="00C97798"/>
    <w:rsid w:val="00CA2A9F"/>
    <w:rsid w:val="00CA3E45"/>
    <w:rsid w:val="00CA4D12"/>
    <w:rsid w:val="00CA6CDC"/>
    <w:rsid w:val="00CA727F"/>
    <w:rsid w:val="00CA79E2"/>
    <w:rsid w:val="00CA7AD9"/>
    <w:rsid w:val="00CB13C2"/>
    <w:rsid w:val="00CB390B"/>
    <w:rsid w:val="00CB4A56"/>
    <w:rsid w:val="00CB6615"/>
    <w:rsid w:val="00CB7532"/>
    <w:rsid w:val="00CC1759"/>
    <w:rsid w:val="00CC325B"/>
    <w:rsid w:val="00CC3278"/>
    <w:rsid w:val="00CC5D75"/>
    <w:rsid w:val="00CC6221"/>
    <w:rsid w:val="00CC793E"/>
    <w:rsid w:val="00CD0293"/>
    <w:rsid w:val="00CD274C"/>
    <w:rsid w:val="00CD3125"/>
    <w:rsid w:val="00CD3387"/>
    <w:rsid w:val="00CD33FF"/>
    <w:rsid w:val="00CD482A"/>
    <w:rsid w:val="00CD4FAC"/>
    <w:rsid w:val="00CD6299"/>
    <w:rsid w:val="00CD682F"/>
    <w:rsid w:val="00CF157D"/>
    <w:rsid w:val="00CF378F"/>
    <w:rsid w:val="00CF71CF"/>
    <w:rsid w:val="00CF750A"/>
    <w:rsid w:val="00D054F3"/>
    <w:rsid w:val="00D05851"/>
    <w:rsid w:val="00D079EB"/>
    <w:rsid w:val="00D07BD1"/>
    <w:rsid w:val="00D1197A"/>
    <w:rsid w:val="00D120D8"/>
    <w:rsid w:val="00D12FBB"/>
    <w:rsid w:val="00D142E2"/>
    <w:rsid w:val="00D14973"/>
    <w:rsid w:val="00D1624B"/>
    <w:rsid w:val="00D16370"/>
    <w:rsid w:val="00D16B7B"/>
    <w:rsid w:val="00D17B46"/>
    <w:rsid w:val="00D207BA"/>
    <w:rsid w:val="00D207D7"/>
    <w:rsid w:val="00D2226A"/>
    <w:rsid w:val="00D228EF"/>
    <w:rsid w:val="00D234AC"/>
    <w:rsid w:val="00D23866"/>
    <w:rsid w:val="00D23FDC"/>
    <w:rsid w:val="00D26A6C"/>
    <w:rsid w:val="00D2731B"/>
    <w:rsid w:val="00D3059A"/>
    <w:rsid w:val="00D313F8"/>
    <w:rsid w:val="00D325DA"/>
    <w:rsid w:val="00D33305"/>
    <w:rsid w:val="00D34388"/>
    <w:rsid w:val="00D3487D"/>
    <w:rsid w:val="00D3597D"/>
    <w:rsid w:val="00D35B07"/>
    <w:rsid w:val="00D375A6"/>
    <w:rsid w:val="00D41A6B"/>
    <w:rsid w:val="00D4588F"/>
    <w:rsid w:val="00D45DC6"/>
    <w:rsid w:val="00D468A9"/>
    <w:rsid w:val="00D475B2"/>
    <w:rsid w:val="00D50AB9"/>
    <w:rsid w:val="00D50B01"/>
    <w:rsid w:val="00D52B0B"/>
    <w:rsid w:val="00D55B82"/>
    <w:rsid w:val="00D55CA0"/>
    <w:rsid w:val="00D56BF0"/>
    <w:rsid w:val="00D56FB7"/>
    <w:rsid w:val="00D6066D"/>
    <w:rsid w:val="00D613D3"/>
    <w:rsid w:val="00D65075"/>
    <w:rsid w:val="00D659B4"/>
    <w:rsid w:val="00D7033F"/>
    <w:rsid w:val="00D71D4A"/>
    <w:rsid w:val="00D737F2"/>
    <w:rsid w:val="00D738BE"/>
    <w:rsid w:val="00D73D22"/>
    <w:rsid w:val="00D76563"/>
    <w:rsid w:val="00D77F75"/>
    <w:rsid w:val="00D82784"/>
    <w:rsid w:val="00D857A3"/>
    <w:rsid w:val="00D87146"/>
    <w:rsid w:val="00D8769E"/>
    <w:rsid w:val="00D91059"/>
    <w:rsid w:val="00D91CC4"/>
    <w:rsid w:val="00D91D76"/>
    <w:rsid w:val="00D9267D"/>
    <w:rsid w:val="00D937D6"/>
    <w:rsid w:val="00D94D37"/>
    <w:rsid w:val="00D958D2"/>
    <w:rsid w:val="00D97A14"/>
    <w:rsid w:val="00D97A84"/>
    <w:rsid w:val="00DA0645"/>
    <w:rsid w:val="00DA1D12"/>
    <w:rsid w:val="00DA2185"/>
    <w:rsid w:val="00DB0CA9"/>
    <w:rsid w:val="00DB14DD"/>
    <w:rsid w:val="00DB5E6B"/>
    <w:rsid w:val="00DB7F3D"/>
    <w:rsid w:val="00DC06BB"/>
    <w:rsid w:val="00DC1074"/>
    <w:rsid w:val="00DC2473"/>
    <w:rsid w:val="00DC2639"/>
    <w:rsid w:val="00DC2DF6"/>
    <w:rsid w:val="00DC30C5"/>
    <w:rsid w:val="00DC337D"/>
    <w:rsid w:val="00DC4EC5"/>
    <w:rsid w:val="00DC6ACD"/>
    <w:rsid w:val="00DD18BE"/>
    <w:rsid w:val="00DD23DD"/>
    <w:rsid w:val="00DD4675"/>
    <w:rsid w:val="00DD5D32"/>
    <w:rsid w:val="00DE0C8E"/>
    <w:rsid w:val="00DE2BD8"/>
    <w:rsid w:val="00DE4107"/>
    <w:rsid w:val="00DE477D"/>
    <w:rsid w:val="00DE57F1"/>
    <w:rsid w:val="00DE63C2"/>
    <w:rsid w:val="00DE6C6F"/>
    <w:rsid w:val="00DE7F01"/>
    <w:rsid w:val="00DF0535"/>
    <w:rsid w:val="00DF2085"/>
    <w:rsid w:val="00DF5219"/>
    <w:rsid w:val="00DF5BD6"/>
    <w:rsid w:val="00DF7EF4"/>
    <w:rsid w:val="00E012EC"/>
    <w:rsid w:val="00E0137B"/>
    <w:rsid w:val="00E0200C"/>
    <w:rsid w:val="00E12282"/>
    <w:rsid w:val="00E1228D"/>
    <w:rsid w:val="00E12FC6"/>
    <w:rsid w:val="00E15CB5"/>
    <w:rsid w:val="00E16AE5"/>
    <w:rsid w:val="00E1728F"/>
    <w:rsid w:val="00E17E94"/>
    <w:rsid w:val="00E20563"/>
    <w:rsid w:val="00E20696"/>
    <w:rsid w:val="00E2167A"/>
    <w:rsid w:val="00E216A5"/>
    <w:rsid w:val="00E21951"/>
    <w:rsid w:val="00E221E8"/>
    <w:rsid w:val="00E223C9"/>
    <w:rsid w:val="00E26B01"/>
    <w:rsid w:val="00E27415"/>
    <w:rsid w:val="00E27BB9"/>
    <w:rsid w:val="00E3023E"/>
    <w:rsid w:val="00E34D70"/>
    <w:rsid w:val="00E35D0B"/>
    <w:rsid w:val="00E35E4E"/>
    <w:rsid w:val="00E360B1"/>
    <w:rsid w:val="00E36F8B"/>
    <w:rsid w:val="00E429B6"/>
    <w:rsid w:val="00E42BF1"/>
    <w:rsid w:val="00E45B5E"/>
    <w:rsid w:val="00E5092A"/>
    <w:rsid w:val="00E50F4C"/>
    <w:rsid w:val="00E559F0"/>
    <w:rsid w:val="00E56188"/>
    <w:rsid w:val="00E56270"/>
    <w:rsid w:val="00E60920"/>
    <w:rsid w:val="00E60ABF"/>
    <w:rsid w:val="00E63892"/>
    <w:rsid w:val="00E64588"/>
    <w:rsid w:val="00E6512C"/>
    <w:rsid w:val="00E65734"/>
    <w:rsid w:val="00E73A8A"/>
    <w:rsid w:val="00E74812"/>
    <w:rsid w:val="00E74F69"/>
    <w:rsid w:val="00E7561E"/>
    <w:rsid w:val="00E816F5"/>
    <w:rsid w:val="00E829C8"/>
    <w:rsid w:val="00E833B8"/>
    <w:rsid w:val="00E8376C"/>
    <w:rsid w:val="00E84D22"/>
    <w:rsid w:val="00E86850"/>
    <w:rsid w:val="00E92226"/>
    <w:rsid w:val="00E92A00"/>
    <w:rsid w:val="00E96FD8"/>
    <w:rsid w:val="00EA0D8B"/>
    <w:rsid w:val="00EA2190"/>
    <w:rsid w:val="00EA2565"/>
    <w:rsid w:val="00EA2618"/>
    <w:rsid w:val="00EB0C79"/>
    <w:rsid w:val="00EB27DF"/>
    <w:rsid w:val="00EB2D83"/>
    <w:rsid w:val="00EB2F1A"/>
    <w:rsid w:val="00EB31E5"/>
    <w:rsid w:val="00EB4E18"/>
    <w:rsid w:val="00EC1494"/>
    <w:rsid w:val="00EC1D4B"/>
    <w:rsid w:val="00EC2DC5"/>
    <w:rsid w:val="00EC3273"/>
    <w:rsid w:val="00EC3E4A"/>
    <w:rsid w:val="00EC50D6"/>
    <w:rsid w:val="00ED116E"/>
    <w:rsid w:val="00ED215F"/>
    <w:rsid w:val="00ED22DE"/>
    <w:rsid w:val="00ED34B3"/>
    <w:rsid w:val="00ED37BB"/>
    <w:rsid w:val="00ED46AC"/>
    <w:rsid w:val="00ED60B0"/>
    <w:rsid w:val="00ED797B"/>
    <w:rsid w:val="00EE071B"/>
    <w:rsid w:val="00EE0873"/>
    <w:rsid w:val="00EE28E8"/>
    <w:rsid w:val="00EE2F16"/>
    <w:rsid w:val="00EE355E"/>
    <w:rsid w:val="00EE4CB9"/>
    <w:rsid w:val="00EE5208"/>
    <w:rsid w:val="00EE5F88"/>
    <w:rsid w:val="00EF0723"/>
    <w:rsid w:val="00EF2D6B"/>
    <w:rsid w:val="00EF3CCB"/>
    <w:rsid w:val="00EF3E1D"/>
    <w:rsid w:val="00EF4294"/>
    <w:rsid w:val="00EF5044"/>
    <w:rsid w:val="00EF61AC"/>
    <w:rsid w:val="00EF7256"/>
    <w:rsid w:val="00EF758B"/>
    <w:rsid w:val="00F01D46"/>
    <w:rsid w:val="00F02601"/>
    <w:rsid w:val="00F031B2"/>
    <w:rsid w:val="00F0380C"/>
    <w:rsid w:val="00F05450"/>
    <w:rsid w:val="00F05544"/>
    <w:rsid w:val="00F0574F"/>
    <w:rsid w:val="00F11029"/>
    <w:rsid w:val="00F11ECA"/>
    <w:rsid w:val="00F12A2A"/>
    <w:rsid w:val="00F1461A"/>
    <w:rsid w:val="00F15A61"/>
    <w:rsid w:val="00F16BF7"/>
    <w:rsid w:val="00F21FC4"/>
    <w:rsid w:val="00F22465"/>
    <w:rsid w:val="00F23523"/>
    <w:rsid w:val="00F2621B"/>
    <w:rsid w:val="00F30BE9"/>
    <w:rsid w:val="00F31000"/>
    <w:rsid w:val="00F31225"/>
    <w:rsid w:val="00F32D41"/>
    <w:rsid w:val="00F33F71"/>
    <w:rsid w:val="00F465B7"/>
    <w:rsid w:val="00F46758"/>
    <w:rsid w:val="00F46886"/>
    <w:rsid w:val="00F469B2"/>
    <w:rsid w:val="00F469FA"/>
    <w:rsid w:val="00F47616"/>
    <w:rsid w:val="00F50FD6"/>
    <w:rsid w:val="00F550BE"/>
    <w:rsid w:val="00F555A8"/>
    <w:rsid w:val="00F60539"/>
    <w:rsid w:val="00F60C23"/>
    <w:rsid w:val="00F6216D"/>
    <w:rsid w:val="00F62886"/>
    <w:rsid w:val="00F62B76"/>
    <w:rsid w:val="00F63113"/>
    <w:rsid w:val="00F634E6"/>
    <w:rsid w:val="00F67538"/>
    <w:rsid w:val="00F74E9E"/>
    <w:rsid w:val="00F771BC"/>
    <w:rsid w:val="00F77389"/>
    <w:rsid w:val="00F77F0D"/>
    <w:rsid w:val="00F77FA2"/>
    <w:rsid w:val="00F813EA"/>
    <w:rsid w:val="00F824E5"/>
    <w:rsid w:val="00F844B7"/>
    <w:rsid w:val="00F84612"/>
    <w:rsid w:val="00F86570"/>
    <w:rsid w:val="00F902D1"/>
    <w:rsid w:val="00F91067"/>
    <w:rsid w:val="00F9330C"/>
    <w:rsid w:val="00F940B9"/>
    <w:rsid w:val="00F96D69"/>
    <w:rsid w:val="00FA09C2"/>
    <w:rsid w:val="00FA4EA6"/>
    <w:rsid w:val="00FA7109"/>
    <w:rsid w:val="00FA782D"/>
    <w:rsid w:val="00FB001A"/>
    <w:rsid w:val="00FB089D"/>
    <w:rsid w:val="00FB1A88"/>
    <w:rsid w:val="00FB3067"/>
    <w:rsid w:val="00FB3592"/>
    <w:rsid w:val="00FB366E"/>
    <w:rsid w:val="00FB4298"/>
    <w:rsid w:val="00FB5FAB"/>
    <w:rsid w:val="00FB6122"/>
    <w:rsid w:val="00FC302F"/>
    <w:rsid w:val="00FC439F"/>
    <w:rsid w:val="00FC54B1"/>
    <w:rsid w:val="00FD1FE1"/>
    <w:rsid w:val="00FD23C9"/>
    <w:rsid w:val="00FD3BCF"/>
    <w:rsid w:val="00FE2351"/>
    <w:rsid w:val="00FE343B"/>
    <w:rsid w:val="00FE3755"/>
    <w:rsid w:val="00FE3C46"/>
    <w:rsid w:val="00FE5A49"/>
    <w:rsid w:val="00FF02EA"/>
    <w:rsid w:val="00FF05C3"/>
    <w:rsid w:val="00FF06C6"/>
    <w:rsid w:val="00FF55C3"/>
    <w:rsid w:val="00FF5B77"/>
    <w:rsid w:val="00FF5E6F"/>
    <w:rsid w:val="00FF60B9"/>
    <w:rsid w:val="00FF763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9D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CFB"/>
    <w:pPr>
      <w:ind w:left="720"/>
      <w:contextualSpacing/>
    </w:pPr>
  </w:style>
  <w:style w:type="character" w:styleId="Hyperlink">
    <w:name w:val="Hyperlink"/>
    <w:basedOn w:val="a0"/>
    <w:uiPriority w:val="99"/>
    <w:unhideWhenUsed/>
    <w:rsid w:val="00C77255"/>
    <w:rPr>
      <w:color w:val="0000FF" w:themeColor="hyperlink"/>
      <w:u w:val="single"/>
    </w:rPr>
  </w:style>
  <w:style w:type="paragraph" w:styleId="a4">
    <w:name w:val="footnote text"/>
    <w:basedOn w:val="a"/>
    <w:link w:val="a5"/>
    <w:semiHidden/>
    <w:unhideWhenUsed/>
    <w:rsid w:val="009304EB"/>
    <w:pPr>
      <w:spacing w:line="240" w:lineRule="auto"/>
    </w:pPr>
    <w:rPr>
      <w:sz w:val="20"/>
      <w:szCs w:val="20"/>
    </w:rPr>
  </w:style>
  <w:style w:type="character" w:customStyle="1" w:styleId="a5">
    <w:name w:val="טקסט הערת שוליים תו"/>
    <w:basedOn w:val="a0"/>
    <w:link w:val="a4"/>
    <w:uiPriority w:val="99"/>
    <w:semiHidden/>
    <w:rsid w:val="009304EB"/>
    <w:rPr>
      <w:sz w:val="20"/>
      <w:szCs w:val="20"/>
    </w:rPr>
  </w:style>
  <w:style w:type="character" w:styleId="a6">
    <w:name w:val="footnote reference"/>
    <w:aliases w:val="Footnote Reference"/>
    <w:basedOn w:val="a0"/>
    <w:semiHidden/>
    <w:unhideWhenUsed/>
    <w:rsid w:val="009304EB"/>
    <w:rPr>
      <w:vertAlign w:val="superscript"/>
    </w:rPr>
  </w:style>
  <w:style w:type="paragraph" w:customStyle="1" w:styleId="p00">
    <w:name w:val="p00"/>
    <w:basedOn w:val="a"/>
    <w:rsid w:val="00701CA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number">
    <w:name w:val="big-number"/>
    <w:basedOn w:val="a0"/>
    <w:rsid w:val="00701CA6"/>
  </w:style>
  <w:style w:type="character" w:customStyle="1" w:styleId="default">
    <w:name w:val="default"/>
    <w:basedOn w:val="a0"/>
    <w:rsid w:val="00701CA6"/>
  </w:style>
  <w:style w:type="paragraph" w:customStyle="1" w:styleId="p22">
    <w:name w:val="p22"/>
    <w:basedOn w:val="a"/>
    <w:rsid w:val="00701CA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unhideWhenUsed/>
    <w:rsid w:val="00EE0873"/>
    <w:pPr>
      <w:bidi w:val="0"/>
      <w:spacing w:line="240" w:lineRule="auto"/>
    </w:pPr>
    <w:rPr>
      <w:rFonts w:ascii="Times New Roman" w:eastAsia="Times New Roman" w:hAnsi="Times New Roman" w:cs="Times New Roman"/>
      <w:sz w:val="24"/>
      <w:szCs w:val="24"/>
    </w:rPr>
  </w:style>
  <w:style w:type="paragraph" w:styleId="a7">
    <w:name w:val="endnote text"/>
    <w:basedOn w:val="a"/>
    <w:link w:val="a8"/>
    <w:uiPriority w:val="99"/>
    <w:unhideWhenUsed/>
    <w:rsid w:val="00924879"/>
    <w:pPr>
      <w:spacing w:line="240" w:lineRule="auto"/>
    </w:pPr>
    <w:rPr>
      <w:sz w:val="20"/>
      <w:szCs w:val="20"/>
    </w:rPr>
  </w:style>
  <w:style w:type="character" w:customStyle="1" w:styleId="a8">
    <w:name w:val="טקסט הערת סיום תו"/>
    <w:basedOn w:val="a0"/>
    <w:link w:val="a7"/>
    <w:uiPriority w:val="99"/>
    <w:rsid w:val="00924879"/>
    <w:rPr>
      <w:sz w:val="20"/>
      <w:szCs w:val="20"/>
    </w:rPr>
  </w:style>
  <w:style w:type="character" w:styleId="a9">
    <w:name w:val="endnote reference"/>
    <w:basedOn w:val="a0"/>
    <w:uiPriority w:val="99"/>
    <w:semiHidden/>
    <w:unhideWhenUsed/>
    <w:rsid w:val="00924879"/>
    <w:rPr>
      <w:vertAlign w:val="superscript"/>
    </w:rPr>
  </w:style>
</w:styles>
</file>

<file path=word/webSettings.xml><?xml version="1.0" encoding="utf-8"?>
<w:webSettings xmlns:r="http://schemas.openxmlformats.org/officeDocument/2006/relationships" xmlns:w="http://schemas.openxmlformats.org/wordprocessingml/2006/main">
  <w:divs>
    <w:div w:id="89898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6D0F9-B6F2-4A99-A33D-A94745FF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3630</TotalTime>
  <Pages>5</Pages>
  <Words>1742</Words>
  <Characters>7791</Characters>
  <Application>Microsoft Office Word</Application>
  <DocSecurity>0</DocSecurity>
  <Lines>169</Lines>
  <Paragraphs>100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shahaf galili</dc:creator>
  <cp:lastModifiedBy>shahaf galili</cp:lastModifiedBy>
  <cp:revision>403</cp:revision>
  <dcterms:created xsi:type="dcterms:W3CDTF">2009-12-17T09:28:00Z</dcterms:created>
  <dcterms:modified xsi:type="dcterms:W3CDTF">2011-01-16T18:33:00Z</dcterms:modified>
</cp:coreProperties>
</file>