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E06" w:rsidRDefault="00652E06" w:rsidP="00EB79B5">
      <w:pPr>
        <w:rPr>
          <w:rFonts w:cs="David" w:hint="cs"/>
          <w:sz w:val="28"/>
          <w:szCs w:val="28"/>
          <w:rtl/>
        </w:rPr>
      </w:pPr>
      <w:r>
        <w:rPr>
          <w:rFonts w:cs="David" w:hint="cs"/>
          <w:sz w:val="28"/>
          <w:szCs w:val="28"/>
          <w:rtl/>
        </w:rPr>
        <w:t>המדינה המודרנית מוגדרת כ</w:t>
      </w:r>
      <w:r w:rsidRPr="00652E06">
        <w:rPr>
          <w:rFonts w:cs="David" w:hint="cs"/>
          <w:b/>
          <w:bCs/>
          <w:sz w:val="28"/>
          <w:szCs w:val="28"/>
          <w:rtl/>
        </w:rPr>
        <w:t xml:space="preserve">יחידה גיאוגרפית </w:t>
      </w:r>
      <w:r>
        <w:rPr>
          <w:rFonts w:cs="David" w:hint="cs"/>
          <w:sz w:val="28"/>
          <w:szCs w:val="28"/>
          <w:rtl/>
        </w:rPr>
        <w:t xml:space="preserve">שיש לה </w:t>
      </w:r>
      <w:r w:rsidRPr="00652E06">
        <w:rPr>
          <w:rFonts w:cs="David" w:hint="cs"/>
          <w:b/>
          <w:bCs/>
          <w:sz w:val="28"/>
          <w:szCs w:val="28"/>
          <w:rtl/>
        </w:rPr>
        <w:t>ייחוד לאומי</w:t>
      </w:r>
      <w:r>
        <w:rPr>
          <w:rFonts w:cs="David" w:hint="cs"/>
          <w:sz w:val="28"/>
          <w:szCs w:val="28"/>
          <w:rtl/>
        </w:rPr>
        <w:t xml:space="preserve">, </w:t>
      </w:r>
      <w:r w:rsidRPr="00652E06">
        <w:rPr>
          <w:rFonts w:cs="David" w:hint="cs"/>
          <w:b/>
          <w:bCs/>
          <w:sz w:val="28"/>
          <w:szCs w:val="28"/>
          <w:rtl/>
        </w:rPr>
        <w:t xml:space="preserve">ממשלה אפקטיבית </w:t>
      </w:r>
      <w:r>
        <w:rPr>
          <w:rFonts w:cs="David" w:hint="cs"/>
          <w:sz w:val="28"/>
          <w:szCs w:val="28"/>
          <w:rtl/>
        </w:rPr>
        <w:t>ו</w:t>
      </w:r>
      <w:r w:rsidRPr="00652E06">
        <w:rPr>
          <w:rFonts w:cs="David" w:hint="cs"/>
          <w:b/>
          <w:bCs/>
          <w:sz w:val="28"/>
          <w:szCs w:val="28"/>
          <w:rtl/>
        </w:rPr>
        <w:t>שטח טריטוריאלי ריבוני</w:t>
      </w:r>
      <w:r>
        <w:rPr>
          <w:rFonts w:cs="David" w:hint="cs"/>
          <w:sz w:val="28"/>
          <w:szCs w:val="28"/>
          <w:rtl/>
        </w:rPr>
        <w:t>. תפקיד המדינה הוא קידום טובת האזרחים, ומטרת המשפט הבינלאומי הוא איזון הכוחות בין המדינות החזקות בתוך האנרכיה (הגישה הריאליסטית), או מימוש הפרט, אושרו וקיום זכויותיו (הגישה האידיאליסטית)</w:t>
      </w:r>
      <w:r w:rsidR="00EB79B5">
        <w:rPr>
          <w:rFonts w:cs="David" w:hint="cs"/>
          <w:sz w:val="28"/>
          <w:szCs w:val="28"/>
          <w:rtl/>
        </w:rPr>
        <w:t xml:space="preserve">. </w:t>
      </w:r>
      <w:r w:rsidR="009F78AC">
        <w:rPr>
          <w:rFonts w:cs="David" w:hint="cs"/>
          <w:sz w:val="28"/>
          <w:szCs w:val="28"/>
          <w:rtl/>
        </w:rPr>
        <w:t xml:space="preserve"> על מנת שמדינה תיחשב אישיות משפטית בדין הבינלאומי, עליה לענות על התנאים הבאים: </w:t>
      </w:r>
      <w:r w:rsidR="009F78AC" w:rsidRPr="009F78AC">
        <w:rPr>
          <w:rFonts w:cs="David" w:hint="cs"/>
          <w:b/>
          <w:bCs/>
          <w:sz w:val="28"/>
          <w:szCs w:val="28"/>
          <w:rtl/>
        </w:rPr>
        <w:t>אוכלוסייה קבועה</w:t>
      </w:r>
      <w:r w:rsidR="009F78AC">
        <w:rPr>
          <w:rFonts w:cs="David" w:hint="cs"/>
          <w:sz w:val="28"/>
          <w:szCs w:val="28"/>
          <w:rtl/>
        </w:rPr>
        <w:t xml:space="preserve">, </w:t>
      </w:r>
      <w:r w:rsidR="009F78AC" w:rsidRPr="009F78AC">
        <w:rPr>
          <w:rFonts w:cs="David" w:hint="cs"/>
          <w:b/>
          <w:bCs/>
          <w:sz w:val="28"/>
          <w:szCs w:val="28"/>
          <w:rtl/>
        </w:rPr>
        <w:t>טריטוריה מוגדרת</w:t>
      </w:r>
      <w:r w:rsidR="009F78AC">
        <w:rPr>
          <w:rFonts w:cs="David" w:hint="cs"/>
          <w:sz w:val="28"/>
          <w:szCs w:val="28"/>
          <w:rtl/>
        </w:rPr>
        <w:t xml:space="preserve">, </w:t>
      </w:r>
      <w:r w:rsidR="009F78AC" w:rsidRPr="009F78AC">
        <w:rPr>
          <w:rFonts w:cs="David" w:hint="cs"/>
          <w:b/>
          <w:bCs/>
          <w:sz w:val="28"/>
          <w:szCs w:val="28"/>
          <w:rtl/>
        </w:rPr>
        <w:t>ממשלה וריבונות</w:t>
      </w:r>
      <w:r w:rsidR="009F78AC">
        <w:rPr>
          <w:rFonts w:cs="David" w:hint="cs"/>
          <w:sz w:val="28"/>
          <w:szCs w:val="28"/>
          <w:rtl/>
        </w:rPr>
        <w:t xml:space="preserve">. </w:t>
      </w:r>
      <w:r w:rsidR="009F78AC" w:rsidRPr="009F78AC">
        <w:rPr>
          <w:rFonts w:cs="David" w:hint="cs"/>
          <w:sz w:val="24"/>
          <w:szCs w:val="24"/>
          <w:rtl/>
        </w:rPr>
        <w:t>(</w:t>
      </w:r>
      <w:r w:rsidR="009F78AC" w:rsidRPr="009F78AC">
        <w:rPr>
          <w:rFonts w:cs="David" w:hint="cs"/>
          <w:sz w:val="24"/>
          <w:szCs w:val="24"/>
          <w:highlight w:val="yellow"/>
          <w:rtl/>
        </w:rPr>
        <w:t>אמנת מונטביאו</w:t>
      </w:r>
      <w:r w:rsidR="009F78AC" w:rsidRPr="009F78AC">
        <w:rPr>
          <w:rFonts w:cs="David" w:hint="cs"/>
          <w:sz w:val="24"/>
          <w:szCs w:val="24"/>
          <w:rtl/>
        </w:rPr>
        <w:t>)</w:t>
      </w:r>
      <w:r w:rsidR="00F24763">
        <w:rPr>
          <w:rFonts w:cs="David" w:hint="cs"/>
          <w:sz w:val="28"/>
          <w:szCs w:val="28"/>
          <w:rtl/>
        </w:rPr>
        <w:t xml:space="preserve"> בנוסף </w:t>
      </w:r>
      <w:r w:rsidR="00F24763">
        <w:rPr>
          <w:rFonts w:cs="David"/>
          <w:sz w:val="28"/>
          <w:szCs w:val="28"/>
          <w:rtl/>
        </w:rPr>
        <w:t>–</w:t>
      </w:r>
      <w:r w:rsidR="00F24763">
        <w:rPr>
          <w:rFonts w:cs="David" w:hint="cs"/>
          <w:sz w:val="28"/>
          <w:szCs w:val="28"/>
          <w:rtl/>
        </w:rPr>
        <w:t xml:space="preserve"> השגת העצמאות של המדינה הייתה בהתאם לעיקרון ההגדרה העצמית, ללא קידום מדיניות גזענית. </w:t>
      </w:r>
    </w:p>
    <w:p w:rsidR="00E53D39" w:rsidRDefault="00E53D39" w:rsidP="00EB79B5">
      <w:pPr>
        <w:rPr>
          <w:rFonts w:cs="David" w:hint="cs"/>
          <w:sz w:val="28"/>
          <w:szCs w:val="28"/>
          <w:rtl/>
        </w:rPr>
      </w:pPr>
      <w:r w:rsidRPr="00EB79B5">
        <w:rPr>
          <w:rFonts w:cs="David" w:hint="cs"/>
          <w:b/>
          <w:bCs/>
          <w:sz w:val="28"/>
          <w:szCs w:val="28"/>
          <w:rtl/>
        </w:rPr>
        <w:t>ריבונות</w:t>
      </w:r>
      <w:r>
        <w:rPr>
          <w:rFonts w:cs="David" w:hint="cs"/>
          <w:b/>
          <w:bCs/>
          <w:sz w:val="28"/>
          <w:szCs w:val="28"/>
          <w:rtl/>
        </w:rPr>
        <w:t xml:space="preserve"> </w:t>
      </w:r>
      <w:r w:rsidRPr="007858EC">
        <w:rPr>
          <w:rFonts w:cs="David" w:hint="cs"/>
          <w:b/>
          <w:bCs/>
          <w:sz w:val="24"/>
          <w:szCs w:val="24"/>
          <w:rtl/>
        </w:rPr>
        <w:t>(סמכות, שליטה)</w:t>
      </w:r>
      <w:r w:rsidRPr="00EB79B5">
        <w:rPr>
          <w:rFonts w:cs="David" w:hint="cs"/>
          <w:b/>
          <w:bCs/>
          <w:sz w:val="28"/>
          <w:szCs w:val="28"/>
          <w:rtl/>
        </w:rPr>
        <w:t xml:space="preserve"> המדינה</w:t>
      </w:r>
      <w:r>
        <w:rPr>
          <w:rFonts w:cs="David" w:hint="cs"/>
          <w:sz w:val="28"/>
          <w:szCs w:val="28"/>
          <w:rtl/>
        </w:rPr>
        <w:t xml:space="preserve"> הינו הערך החשוב והמרכזי ביותר בדיני המשפט הבינלאומי הפומבי. ללא ריבונות ו</w:t>
      </w:r>
      <w:r w:rsidR="00456A77">
        <w:rPr>
          <w:rFonts w:cs="David" w:hint="cs"/>
          <w:sz w:val="28"/>
          <w:szCs w:val="28"/>
          <w:rtl/>
        </w:rPr>
        <w:t>ה</w:t>
      </w:r>
      <w:r>
        <w:rPr>
          <w:rFonts w:cs="David" w:hint="cs"/>
          <w:sz w:val="28"/>
          <w:szCs w:val="28"/>
          <w:rtl/>
        </w:rPr>
        <w:t>כרה הדדית בסמכות הפנימית הבלעדית של כל אחת ממדינות אלו, המשפט הבינלאומי איננו אפשרי.</w:t>
      </w:r>
    </w:p>
    <w:p w:rsidR="00EB79B5" w:rsidRDefault="00EB79B5" w:rsidP="00EB79B5">
      <w:pPr>
        <w:rPr>
          <w:rFonts w:cs="David" w:hint="cs"/>
          <w:sz w:val="28"/>
          <w:szCs w:val="28"/>
          <w:rtl/>
        </w:rPr>
      </w:pPr>
      <w:r w:rsidRPr="00EB79B5">
        <w:rPr>
          <w:rFonts w:cs="David" w:hint="cs"/>
          <w:b/>
          <w:bCs/>
          <w:sz w:val="28"/>
          <w:szCs w:val="28"/>
          <w:rtl/>
        </w:rPr>
        <w:t>מדינת הלאום הטריטוריאלית</w:t>
      </w:r>
      <w:r>
        <w:rPr>
          <w:rFonts w:cs="David" w:hint="cs"/>
          <w:sz w:val="28"/>
          <w:szCs w:val="28"/>
          <w:rtl/>
        </w:rPr>
        <w:t xml:space="preserve"> </w:t>
      </w:r>
      <w:r w:rsidRPr="00EB79B5">
        <w:rPr>
          <w:rFonts w:asciiTheme="majorBidi" w:hAnsiTheme="majorBidi" w:cstheme="majorBidi"/>
          <w:i/>
          <w:iCs/>
          <w:sz w:val="28"/>
          <w:szCs w:val="28"/>
        </w:rPr>
        <w:t>Nation State</w:t>
      </w:r>
      <w:r>
        <w:rPr>
          <w:rFonts w:cs="David" w:hint="cs"/>
          <w:sz w:val="28"/>
          <w:szCs w:val="28"/>
          <w:rtl/>
        </w:rPr>
        <w:t xml:space="preserve"> מכילה שלושה מרכיבים:</w:t>
      </w:r>
    </w:p>
    <w:p w:rsidR="00EB79B5" w:rsidRDefault="00EB79B5" w:rsidP="00EB79B5">
      <w:pPr>
        <w:pStyle w:val="a3"/>
        <w:numPr>
          <w:ilvl w:val="0"/>
          <w:numId w:val="1"/>
        </w:numPr>
        <w:rPr>
          <w:rFonts w:cs="David" w:hint="cs"/>
          <w:sz w:val="28"/>
          <w:szCs w:val="28"/>
        </w:rPr>
      </w:pPr>
      <w:r w:rsidRPr="00EB79B5">
        <w:rPr>
          <w:rFonts w:cs="David" w:hint="cs"/>
          <w:b/>
          <w:bCs/>
          <w:sz w:val="28"/>
          <w:szCs w:val="28"/>
          <w:highlight w:val="lightGray"/>
          <w:rtl/>
        </w:rPr>
        <w:t>לאום</w:t>
      </w:r>
      <w:r w:rsidRPr="00EB79B5">
        <w:rPr>
          <w:rFonts w:cs="David" w:hint="cs"/>
          <w:b/>
          <w:bCs/>
          <w:sz w:val="28"/>
          <w:szCs w:val="28"/>
          <w:rtl/>
        </w:rPr>
        <w:t xml:space="preserve"> </w:t>
      </w:r>
      <w:r>
        <w:rPr>
          <w:rFonts w:cs="David"/>
          <w:sz w:val="28"/>
          <w:szCs w:val="28"/>
          <w:rtl/>
        </w:rPr>
        <w:t>–</w:t>
      </w:r>
      <w:r>
        <w:rPr>
          <w:rFonts w:cs="David" w:hint="cs"/>
          <w:sz w:val="28"/>
          <w:szCs w:val="28"/>
          <w:rtl/>
        </w:rPr>
        <w:t xml:space="preserve"> קבוצה חברתית הנבדלת לרוב בתרבותה, בלשון בהיסטוריה וכד'.</w:t>
      </w:r>
    </w:p>
    <w:p w:rsidR="00EB79B5" w:rsidRDefault="00EB79B5" w:rsidP="00EB79B5">
      <w:pPr>
        <w:pStyle w:val="a3"/>
        <w:numPr>
          <w:ilvl w:val="0"/>
          <w:numId w:val="1"/>
        </w:numPr>
        <w:rPr>
          <w:rFonts w:cs="David" w:hint="cs"/>
          <w:sz w:val="28"/>
          <w:szCs w:val="28"/>
        </w:rPr>
      </w:pPr>
      <w:r w:rsidRPr="00EB79B5">
        <w:rPr>
          <w:rFonts w:cs="David" w:hint="cs"/>
          <w:b/>
          <w:bCs/>
          <w:sz w:val="28"/>
          <w:szCs w:val="28"/>
          <w:highlight w:val="lightGray"/>
          <w:rtl/>
        </w:rPr>
        <w:t>מדינה</w:t>
      </w:r>
      <w:r>
        <w:rPr>
          <w:rFonts w:cs="David" w:hint="cs"/>
          <w:sz w:val="28"/>
          <w:szCs w:val="28"/>
          <w:rtl/>
        </w:rPr>
        <w:t xml:space="preserve"> </w:t>
      </w:r>
      <w:r>
        <w:rPr>
          <w:rFonts w:cs="David"/>
          <w:sz w:val="28"/>
          <w:szCs w:val="28"/>
          <w:rtl/>
        </w:rPr>
        <w:t>–</w:t>
      </w:r>
      <w:r>
        <w:rPr>
          <w:rFonts w:cs="David" w:hint="cs"/>
          <w:sz w:val="28"/>
          <w:szCs w:val="28"/>
          <w:rtl/>
        </w:rPr>
        <w:t xml:space="preserve"> יחידה פוליטית חברתית בעלת שלטון עצמאי.</w:t>
      </w:r>
    </w:p>
    <w:p w:rsidR="00EB79B5" w:rsidRDefault="00EB79B5" w:rsidP="00EB79B5">
      <w:pPr>
        <w:pStyle w:val="a3"/>
        <w:numPr>
          <w:ilvl w:val="0"/>
          <w:numId w:val="1"/>
        </w:numPr>
        <w:rPr>
          <w:rFonts w:cs="David" w:hint="cs"/>
          <w:sz w:val="28"/>
          <w:szCs w:val="28"/>
        </w:rPr>
      </w:pPr>
      <w:r w:rsidRPr="00EB79B5">
        <w:rPr>
          <w:rFonts w:cs="David" w:hint="cs"/>
          <w:b/>
          <w:bCs/>
          <w:sz w:val="28"/>
          <w:szCs w:val="28"/>
          <w:highlight w:val="lightGray"/>
          <w:rtl/>
        </w:rPr>
        <w:t>טריטוריה</w:t>
      </w:r>
      <w:r>
        <w:rPr>
          <w:rFonts w:cs="David" w:hint="cs"/>
          <w:sz w:val="28"/>
          <w:szCs w:val="28"/>
          <w:rtl/>
        </w:rPr>
        <w:t xml:space="preserve"> </w:t>
      </w:r>
      <w:r>
        <w:rPr>
          <w:rFonts w:cs="David"/>
          <w:sz w:val="28"/>
          <w:szCs w:val="28"/>
          <w:rtl/>
        </w:rPr>
        <w:t>–</w:t>
      </w:r>
      <w:r>
        <w:rPr>
          <w:rFonts w:cs="David" w:hint="cs"/>
          <w:sz w:val="28"/>
          <w:szCs w:val="28"/>
          <w:rtl/>
        </w:rPr>
        <w:t xml:space="preserve"> הימצאות ושליטה על שטח גיאוגרפי נתון.</w:t>
      </w:r>
    </w:p>
    <w:p w:rsidR="009E2EF4" w:rsidRDefault="00456A77" w:rsidP="009E2EF4">
      <w:pPr>
        <w:rPr>
          <w:rFonts w:cs="David" w:hint="cs"/>
          <w:sz w:val="28"/>
          <w:szCs w:val="28"/>
          <w:rtl/>
        </w:rPr>
      </w:pPr>
      <w:bookmarkStart w:id="0" w:name="_GoBack"/>
      <w:bookmarkEnd w:id="0"/>
      <w:r w:rsidRPr="00456A77">
        <w:rPr>
          <w:rFonts w:cs="David" w:hint="cs"/>
          <w:b/>
          <w:bCs/>
          <w:sz w:val="28"/>
          <w:szCs w:val="28"/>
          <w:rtl/>
        </w:rPr>
        <w:t>מדינה</w:t>
      </w:r>
      <w:r>
        <w:rPr>
          <w:rFonts w:cs="David" w:hint="cs"/>
          <w:sz w:val="28"/>
          <w:szCs w:val="28"/>
          <w:rtl/>
        </w:rPr>
        <w:t xml:space="preserve"> </w:t>
      </w:r>
      <w:r>
        <w:rPr>
          <w:rFonts w:cs="David"/>
          <w:sz w:val="28"/>
          <w:szCs w:val="28"/>
          <w:rtl/>
        </w:rPr>
        <w:t>–</w:t>
      </w:r>
      <w:r>
        <w:rPr>
          <w:rFonts w:cs="David" w:hint="cs"/>
          <w:sz w:val="28"/>
          <w:szCs w:val="28"/>
          <w:rtl/>
        </w:rPr>
        <w:t xml:space="preserve"> </w:t>
      </w:r>
      <w:r w:rsidR="00F24763">
        <w:rPr>
          <w:rFonts w:cs="David" w:hint="cs"/>
          <w:sz w:val="28"/>
          <w:szCs w:val="28"/>
          <w:rtl/>
        </w:rPr>
        <w:t xml:space="preserve">ממשלה </w:t>
      </w:r>
      <w:r w:rsidR="00F24763" w:rsidRPr="00F24763">
        <w:rPr>
          <w:rFonts w:cs="David" w:hint="cs"/>
          <w:b/>
          <w:bCs/>
          <w:sz w:val="28"/>
          <w:szCs w:val="28"/>
          <w:rtl/>
        </w:rPr>
        <w:t>יציבה ומתפקדת</w:t>
      </w:r>
      <w:r w:rsidR="00F24763">
        <w:rPr>
          <w:rFonts w:cs="David" w:hint="cs"/>
          <w:sz w:val="28"/>
          <w:szCs w:val="28"/>
          <w:rtl/>
        </w:rPr>
        <w:t xml:space="preserve">, שמקיימת </w:t>
      </w:r>
      <w:r w:rsidR="00F24763" w:rsidRPr="00F24763">
        <w:rPr>
          <w:rFonts w:cs="David" w:hint="cs"/>
          <w:b/>
          <w:bCs/>
          <w:sz w:val="28"/>
          <w:szCs w:val="28"/>
          <w:rtl/>
        </w:rPr>
        <w:t>שליטה אפקטיבית</w:t>
      </w:r>
      <w:r w:rsidR="00F24763">
        <w:rPr>
          <w:rFonts w:cs="David" w:hint="cs"/>
          <w:sz w:val="28"/>
          <w:szCs w:val="28"/>
          <w:rtl/>
        </w:rPr>
        <w:t xml:space="preserve"> ביחס לטריטוריה וביחס לאוכלוסייה. </w:t>
      </w:r>
      <w:r w:rsidR="00F24763" w:rsidRPr="00F24763">
        <w:rPr>
          <w:rFonts w:cs="David" w:hint="cs"/>
          <w:sz w:val="28"/>
          <w:szCs w:val="28"/>
          <w:u w:val="single"/>
          <w:rtl/>
        </w:rPr>
        <w:t>עיקרון ההגדרה עצמית</w:t>
      </w:r>
      <w:r w:rsidR="00F24763">
        <w:rPr>
          <w:rFonts w:cs="David" w:hint="cs"/>
          <w:sz w:val="28"/>
          <w:szCs w:val="28"/>
          <w:rtl/>
        </w:rPr>
        <w:t xml:space="preserve"> של מדינה זוכה למעמד של כלל מנהגי, מאחוריו עומד העיקרון: העתיד הפוליטי של טריטוריה קולוניאלית או שטח בלתי עצמאי מקביל אחר צריך להיקבע בהתאם לשאיפות של תושבי השטח, לכן יש לאפשר מתן זכות להגדרה עצמית לכל העמים, אך בתוך גבולות קיימים (יש רצון לשמר גבולות טריטוריאליים קיימים גם שעה שמושגת עצמאות).  </w:t>
      </w:r>
      <w:r w:rsidR="009E2EF4">
        <w:rPr>
          <w:rFonts w:cs="David" w:hint="cs"/>
          <w:sz w:val="28"/>
          <w:szCs w:val="28"/>
          <w:rtl/>
        </w:rPr>
        <w:t>יש הטוענים של</w:t>
      </w:r>
      <w:r w:rsidR="009E2EF4" w:rsidRPr="009E2EF4">
        <w:rPr>
          <w:rFonts w:cs="David" w:hint="cs"/>
          <w:b/>
          <w:bCs/>
          <w:sz w:val="28"/>
          <w:szCs w:val="28"/>
          <w:rtl/>
        </w:rPr>
        <w:t xml:space="preserve">אקט ההכרה במדינה </w:t>
      </w:r>
      <w:r w:rsidR="009E2EF4">
        <w:rPr>
          <w:rFonts w:cs="David" w:hint="cs"/>
          <w:sz w:val="28"/>
          <w:szCs w:val="28"/>
          <w:rtl/>
        </w:rPr>
        <w:t>יש מרות משפטית מכוננת (הגישה ה</w:t>
      </w:r>
      <w:r w:rsidR="009E2EF4" w:rsidRPr="009E2EF4">
        <w:rPr>
          <w:rFonts w:cs="David" w:hint="cs"/>
          <w:sz w:val="28"/>
          <w:szCs w:val="28"/>
          <w:u w:val="single"/>
          <w:rtl/>
        </w:rPr>
        <w:t>קונסטיטוטיבית</w:t>
      </w:r>
      <w:r w:rsidR="009E2EF4">
        <w:rPr>
          <w:rFonts w:cs="David" w:hint="cs"/>
          <w:sz w:val="28"/>
          <w:szCs w:val="28"/>
          <w:rtl/>
        </w:rPr>
        <w:t xml:space="preserve">) ויש הטוענים שהוא אך ורק בעל משמעות ראייתית הצהרתית ולא משפטית (הגישה </w:t>
      </w:r>
      <w:r w:rsidR="009E2EF4" w:rsidRPr="009E2EF4">
        <w:rPr>
          <w:rFonts w:cs="David" w:hint="cs"/>
          <w:sz w:val="28"/>
          <w:szCs w:val="28"/>
          <w:u w:val="single"/>
          <w:rtl/>
        </w:rPr>
        <w:t>הדקלרטיבית</w:t>
      </w:r>
      <w:r w:rsidR="009E2EF4">
        <w:rPr>
          <w:rFonts w:cs="David" w:hint="cs"/>
          <w:sz w:val="28"/>
          <w:szCs w:val="28"/>
          <w:rtl/>
        </w:rPr>
        <w:t>) וזו גם הגישה הרווחת.</w:t>
      </w:r>
    </w:p>
    <w:p w:rsidR="00456A77" w:rsidRDefault="00456A77" w:rsidP="00EB79B5">
      <w:pPr>
        <w:rPr>
          <w:rFonts w:cs="David" w:hint="cs"/>
          <w:sz w:val="28"/>
          <w:szCs w:val="28"/>
          <w:rtl/>
        </w:rPr>
      </w:pPr>
      <w:r w:rsidRPr="00456A77">
        <w:rPr>
          <w:rFonts w:cs="David" w:hint="cs"/>
          <w:b/>
          <w:bCs/>
          <w:sz w:val="28"/>
          <w:szCs w:val="28"/>
          <w:rtl/>
        </w:rPr>
        <w:t>טריטוריה</w:t>
      </w:r>
      <w:r>
        <w:rPr>
          <w:rFonts w:cs="David" w:hint="cs"/>
          <w:sz w:val="28"/>
          <w:szCs w:val="28"/>
          <w:rtl/>
        </w:rPr>
        <w:t xml:space="preserve"> </w:t>
      </w:r>
      <w:r>
        <w:rPr>
          <w:rFonts w:cs="David"/>
          <w:sz w:val="28"/>
          <w:szCs w:val="28"/>
          <w:rtl/>
        </w:rPr>
        <w:t>–</w:t>
      </w:r>
      <w:r>
        <w:rPr>
          <w:rFonts w:cs="David" w:hint="cs"/>
          <w:sz w:val="28"/>
          <w:szCs w:val="28"/>
          <w:rtl/>
        </w:rPr>
        <w:t xml:space="preserve"> ללא טריטוריה, הישות לא תוכל להיות מדינה. על הקשר בין הממשלה לטריטוריה להיות </w:t>
      </w:r>
      <w:r w:rsidRPr="00456A77">
        <w:rPr>
          <w:rFonts w:cs="David" w:hint="cs"/>
          <w:b/>
          <w:bCs/>
          <w:sz w:val="28"/>
          <w:szCs w:val="28"/>
          <w:rtl/>
        </w:rPr>
        <w:t>אפקטיבי</w:t>
      </w:r>
      <w:r>
        <w:rPr>
          <w:rFonts w:cs="David" w:hint="cs"/>
          <w:sz w:val="28"/>
          <w:szCs w:val="28"/>
          <w:rtl/>
        </w:rPr>
        <w:t>.</w:t>
      </w:r>
      <w:r w:rsidR="00F24763">
        <w:rPr>
          <w:rFonts w:cs="David" w:hint="cs"/>
          <w:sz w:val="28"/>
          <w:szCs w:val="28"/>
          <w:rtl/>
        </w:rPr>
        <w:t xml:space="preserve"> אין גבול תחתון ואין צורך בגודל של טריטוריה מסוימת, אך יש צורך ברציפות טריטוריאלית.</w:t>
      </w:r>
      <w:r>
        <w:rPr>
          <w:rFonts w:cs="David" w:hint="cs"/>
          <w:sz w:val="28"/>
          <w:szCs w:val="28"/>
          <w:rtl/>
        </w:rPr>
        <w:t xml:space="preserve"> הריבונית חייבת לשלב </w:t>
      </w:r>
      <w:r w:rsidRPr="007D4A46">
        <w:rPr>
          <w:rFonts w:cs="David" w:hint="cs"/>
          <w:b/>
          <w:bCs/>
          <w:sz w:val="28"/>
          <w:szCs w:val="28"/>
          <w:rtl/>
        </w:rPr>
        <w:t>היבטים אנושיים</w:t>
      </w:r>
      <w:r>
        <w:rPr>
          <w:rFonts w:cs="David" w:hint="cs"/>
          <w:sz w:val="28"/>
          <w:szCs w:val="28"/>
          <w:rtl/>
        </w:rPr>
        <w:t xml:space="preserve"> ו</w:t>
      </w:r>
      <w:r w:rsidRPr="007D4A46">
        <w:rPr>
          <w:rFonts w:cs="David" w:hint="cs"/>
          <w:b/>
          <w:bCs/>
          <w:sz w:val="28"/>
          <w:szCs w:val="28"/>
          <w:rtl/>
        </w:rPr>
        <w:t>קשר לקרקע</w:t>
      </w:r>
      <w:r>
        <w:rPr>
          <w:rFonts w:cs="David" w:hint="cs"/>
          <w:sz w:val="28"/>
          <w:szCs w:val="28"/>
          <w:rtl/>
        </w:rPr>
        <w:t xml:space="preserve">, הריבונות היחידה המוכרת היא ריבונות טריטוריאלית ולא ניתן לבססה על טענה של קשר עם אנשים בלבד </w:t>
      </w:r>
      <w:r w:rsidRPr="00456A77">
        <w:rPr>
          <w:rFonts w:cs="David" w:hint="cs"/>
          <w:sz w:val="24"/>
          <w:szCs w:val="24"/>
          <w:rtl/>
        </w:rPr>
        <w:t>(</w:t>
      </w:r>
      <w:r w:rsidRPr="00456A77">
        <w:rPr>
          <w:rFonts w:cs="David" w:hint="cs"/>
          <w:sz w:val="24"/>
          <w:szCs w:val="24"/>
          <w:highlight w:val="yellow"/>
          <w:rtl/>
        </w:rPr>
        <w:t>מלזיה נ' סינגפור</w:t>
      </w:r>
      <w:r w:rsidRPr="00456A77">
        <w:rPr>
          <w:rFonts w:cs="David" w:hint="cs"/>
          <w:sz w:val="24"/>
          <w:szCs w:val="24"/>
          <w:rtl/>
        </w:rPr>
        <w:t>)</w:t>
      </w:r>
      <w:r>
        <w:rPr>
          <w:rFonts w:cs="David" w:hint="cs"/>
          <w:sz w:val="28"/>
          <w:szCs w:val="28"/>
          <w:rtl/>
        </w:rPr>
        <w:t xml:space="preserve">. סכסוך בנוגע לשטח יכול להיות על </w:t>
      </w:r>
      <w:r w:rsidRPr="007D4A46">
        <w:rPr>
          <w:rFonts w:cs="David" w:hint="cs"/>
          <w:sz w:val="28"/>
          <w:szCs w:val="28"/>
          <w:u w:val="single"/>
          <w:rtl/>
        </w:rPr>
        <w:t>כל</w:t>
      </w:r>
      <w:r>
        <w:rPr>
          <w:rFonts w:cs="David" w:hint="cs"/>
          <w:sz w:val="28"/>
          <w:szCs w:val="28"/>
          <w:rtl/>
        </w:rPr>
        <w:t xml:space="preserve"> השטח עצמו, או על </w:t>
      </w:r>
      <w:r w:rsidRPr="007D4A46">
        <w:rPr>
          <w:rFonts w:cs="David" w:hint="cs"/>
          <w:sz w:val="28"/>
          <w:szCs w:val="28"/>
          <w:u w:val="single"/>
          <w:rtl/>
        </w:rPr>
        <w:t>חלק</w:t>
      </w:r>
      <w:r>
        <w:rPr>
          <w:rFonts w:cs="David" w:hint="cs"/>
          <w:sz w:val="28"/>
          <w:szCs w:val="28"/>
          <w:rtl/>
        </w:rPr>
        <w:t xml:space="preserve"> ממנו, דרך ההוכחה הראייתית לבעלות בזכות גם כן יכולה לעמוד במחלוקת (רציפות טריטוריאלית או סמיכות לאזור מסוים, תביעות היסטוריות שונות המהוות ראיות, זיקות כלכליות, כל אלה </w:t>
      </w:r>
      <w:r w:rsidRPr="00456A77">
        <w:rPr>
          <w:rFonts w:cs="David" w:hint="cs"/>
          <w:sz w:val="28"/>
          <w:szCs w:val="28"/>
          <w:u w:val="single"/>
          <w:rtl/>
        </w:rPr>
        <w:t>ראייתיות</w:t>
      </w:r>
      <w:r>
        <w:rPr>
          <w:rFonts w:cs="David" w:hint="cs"/>
          <w:sz w:val="28"/>
          <w:szCs w:val="28"/>
          <w:rtl/>
        </w:rPr>
        <w:t xml:space="preserve"> בלבד).  </w:t>
      </w:r>
    </w:p>
    <w:p w:rsidR="00E2250E" w:rsidRPr="00E2250E" w:rsidRDefault="00E2250E" w:rsidP="00EB79B5">
      <w:pPr>
        <w:rPr>
          <w:rFonts w:cs="David" w:hint="cs"/>
          <w:b/>
          <w:bCs/>
          <w:sz w:val="28"/>
          <w:szCs w:val="28"/>
          <w:rtl/>
        </w:rPr>
      </w:pPr>
      <w:r w:rsidRPr="00E2250E">
        <w:rPr>
          <w:rFonts w:cs="David" w:hint="cs"/>
          <w:b/>
          <w:bCs/>
          <w:sz w:val="28"/>
          <w:szCs w:val="28"/>
          <w:rtl/>
        </w:rPr>
        <w:t xml:space="preserve">הדרכים לקניית טריטוריה </w:t>
      </w:r>
    </w:p>
    <w:p w:rsidR="008B0EA6" w:rsidRPr="008B0EA6" w:rsidRDefault="00E2250E" w:rsidP="00E2250E">
      <w:pPr>
        <w:pStyle w:val="a3"/>
        <w:numPr>
          <w:ilvl w:val="0"/>
          <w:numId w:val="2"/>
        </w:numPr>
        <w:rPr>
          <w:rFonts w:cs="David" w:hint="cs"/>
          <w:b/>
          <w:bCs/>
          <w:sz w:val="28"/>
          <w:szCs w:val="28"/>
        </w:rPr>
      </w:pPr>
      <w:r>
        <w:rPr>
          <w:rFonts w:cs="David" w:hint="cs"/>
          <w:b/>
          <w:bCs/>
          <w:sz w:val="28"/>
          <w:szCs w:val="28"/>
          <w:rtl/>
        </w:rPr>
        <w:t xml:space="preserve">כיבוש </w:t>
      </w:r>
      <w:r w:rsidRPr="00E2250E">
        <w:rPr>
          <w:rFonts w:asciiTheme="majorBidi" w:hAnsiTheme="majorBidi" w:cstheme="majorBidi"/>
          <w:i/>
          <w:iCs/>
          <w:sz w:val="28"/>
          <w:szCs w:val="28"/>
        </w:rPr>
        <w:t>Occupation</w:t>
      </w:r>
      <w:r>
        <w:rPr>
          <w:rFonts w:cs="David"/>
          <w:b/>
          <w:bCs/>
          <w:sz w:val="28"/>
          <w:szCs w:val="28"/>
        </w:rPr>
        <w:t xml:space="preserve"> </w:t>
      </w:r>
      <w:r>
        <w:rPr>
          <w:rFonts w:cs="David"/>
          <w:b/>
          <w:bCs/>
          <w:sz w:val="28"/>
          <w:szCs w:val="28"/>
          <w:rtl/>
        </w:rPr>
        <w:t>–</w:t>
      </w:r>
      <w:r>
        <w:rPr>
          <w:rFonts w:cs="David" w:hint="cs"/>
          <w:b/>
          <w:bCs/>
          <w:sz w:val="28"/>
          <w:szCs w:val="28"/>
          <w:rtl/>
        </w:rPr>
        <w:t xml:space="preserve"> </w:t>
      </w:r>
      <w:r>
        <w:rPr>
          <w:rFonts w:cs="David" w:hint="cs"/>
          <w:sz w:val="28"/>
          <w:szCs w:val="28"/>
          <w:rtl/>
        </w:rPr>
        <w:t xml:space="preserve">השתלטות </w:t>
      </w:r>
      <w:r w:rsidR="008B0EA6">
        <w:rPr>
          <w:rFonts w:cs="David" w:hint="cs"/>
          <w:sz w:val="28"/>
          <w:szCs w:val="28"/>
          <w:rtl/>
        </w:rPr>
        <w:t xml:space="preserve">אפקטיבית </w:t>
      </w:r>
      <w:r>
        <w:rPr>
          <w:rFonts w:cs="David" w:hint="cs"/>
          <w:sz w:val="28"/>
          <w:szCs w:val="28"/>
          <w:rtl/>
        </w:rPr>
        <w:t xml:space="preserve">של מדינה על שטח שלא היה תחת אף ריבונות קודמת </w:t>
      </w:r>
      <w:r w:rsidRPr="00E2250E">
        <w:rPr>
          <w:rFonts w:asciiTheme="majorBidi" w:hAnsiTheme="majorBidi" w:cstheme="majorBidi"/>
          <w:i/>
          <w:iCs/>
          <w:sz w:val="24"/>
          <w:szCs w:val="24"/>
        </w:rPr>
        <w:t>Terra Nullius</w:t>
      </w:r>
      <w:r>
        <w:rPr>
          <w:rFonts w:cs="David" w:hint="cs"/>
          <w:sz w:val="28"/>
          <w:szCs w:val="28"/>
          <w:rtl/>
        </w:rPr>
        <w:t>, מתוך כוונה לקנות ריבונות בו</w:t>
      </w:r>
      <w:r w:rsidR="008B0EA6">
        <w:rPr>
          <w:rFonts w:cs="David" w:hint="cs"/>
          <w:sz w:val="28"/>
          <w:szCs w:val="28"/>
          <w:rtl/>
        </w:rPr>
        <w:t>.</w:t>
      </w:r>
    </w:p>
    <w:p w:rsidR="00E2250E" w:rsidRDefault="008B0EA6" w:rsidP="00E2250E">
      <w:pPr>
        <w:pStyle w:val="a3"/>
        <w:numPr>
          <w:ilvl w:val="0"/>
          <w:numId w:val="2"/>
        </w:numPr>
        <w:rPr>
          <w:rFonts w:cs="David" w:hint="cs"/>
          <w:b/>
          <w:bCs/>
          <w:sz w:val="28"/>
          <w:szCs w:val="28"/>
        </w:rPr>
      </w:pPr>
      <w:r w:rsidRPr="008B0EA6">
        <w:rPr>
          <w:rFonts w:cs="David" w:hint="cs"/>
          <w:b/>
          <w:bCs/>
          <w:sz w:val="28"/>
          <w:szCs w:val="28"/>
          <w:rtl/>
        </w:rPr>
        <w:t>רישום</w:t>
      </w:r>
      <w:r>
        <w:rPr>
          <w:rFonts w:cs="David" w:hint="cs"/>
          <w:sz w:val="28"/>
          <w:szCs w:val="28"/>
          <w:rtl/>
        </w:rPr>
        <w:t xml:space="preserve"> </w:t>
      </w:r>
      <w:r w:rsidRPr="008B0EA6">
        <w:rPr>
          <w:rFonts w:asciiTheme="majorBidi" w:hAnsiTheme="majorBidi" w:cstheme="majorBidi"/>
          <w:i/>
          <w:iCs/>
          <w:sz w:val="28"/>
          <w:szCs w:val="28"/>
        </w:rPr>
        <w:t>Prescription</w:t>
      </w:r>
      <w:r>
        <w:rPr>
          <w:rFonts w:cs="David" w:hint="cs"/>
          <w:sz w:val="28"/>
          <w:szCs w:val="28"/>
          <w:rtl/>
        </w:rPr>
        <w:t xml:space="preserve"> - </w:t>
      </w:r>
      <w:r w:rsidR="00E2250E">
        <w:rPr>
          <w:rFonts w:cs="David" w:hint="cs"/>
          <w:sz w:val="28"/>
          <w:szCs w:val="28"/>
          <w:rtl/>
        </w:rPr>
        <w:t xml:space="preserve"> </w:t>
      </w:r>
      <w:r w:rsidR="00D8569D">
        <w:rPr>
          <w:rFonts w:cs="David" w:hint="cs"/>
          <w:sz w:val="28"/>
          <w:szCs w:val="28"/>
          <w:rtl/>
        </w:rPr>
        <w:t>עיגון והכשרת זכות לטריטוריה שנקנתה בעבר בדרכים לא חוקיות, או שקיימות נסיבות שאינן ניתנות להוכחה.</w:t>
      </w:r>
    </w:p>
    <w:p w:rsidR="00D8569D" w:rsidRDefault="00D8569D" w:rsidP="00E2250E">
      <w:pPr>
        <w:pStyle w:val="a3"/>
        <w:numPr>
          <w:ilvl w:val="0"/>
          <w:numId w:val="2"/>
        </w:numPr>
        <w:rPr>
          <w:rFonts w:cs="David" w:hint="cs"/>
          <w:b/>
          <w:bCs/>
          <w:sz w:val="28"/>
          <w:szCs w:val="28"/>
        </w:rPr>
      </w:pPr>
      <w:r w:rsidRPr="00714251">
        <w:rPr>
          <w:rFonts w:asciiTheme="majorBidi" w:hAnsiTheme="majorBidi" w:cstheme="majorBidi"/>
          <w:i/>
          <w:iCs/>
          <w:sz w:val="28"/>
          <w:szCs w:val="28"/>
        </w:rPr>
        <w:lastRenderedPageBreak/>
        <w:t>Cession</w:t>
      </w:r>
      <w:r>
        <w:rPr>
          <w:rFonts w:cs="David" w:hint="cs"/>
          <w:b/>
          <w:bCs/>
          <w:sz w:val="28"/>
          <w:szCs w:val="28"/>
          <w:rtl/>
        </w:rPr>
        <w:t xml:space="preserve"> </w:t>
      </w:r>
      <w:r w:rsidRPr="00714251">
        <w:rPr>
          <w:rFonts w:cs="David"/>
          <w:sz w:val="28"/>
          <w:szCs w:val="28"/>
          <w:rtl/>
        </w:rPr>
        <w:t>–</w:t>
      </w:r>
      <w:r w:rsidRPr="00714251">
        <w:rPr>
          <w:rFonts w:cs="David" w:hint="cs"/>
          <w:sz w:val="28"/>
          <w:szCs w:val="28"/>
          <w:rtl/>
        </w:rPr>
        <w:t xml:space="preserve"> העברת ריבונות בצורה ברורה ומפורשת בדרכי שלום ובמסגרת הסכם, מתן עצמאות לקולניות.</w:t>
      </w:r>
    </w:p>
    <w:p w:rsidR="00D8569D" w:rsidRDefault="00D8569D" w:rsidP="00E2250E">
      <w:pPr>
        <w:pStyle w:val="a3"/>
        <w:numPr>
          <w:ilvl w:val="0"/>
          <w:numId w:val="2"/>
        </w:numPr>
        <w:rPr>
          <w:rFonts w:cs="David" w:hint="cs"/>
          <w:b/>
          <w:bCs/>
          <w:sz w:val="28"/>
          <w:szCs w:val="28"/>
        </w:rPr>
      </w:pPr>
      <w:r w:rsidRPr="00714251">
        <w:rPr>
          <w:rFonts w:asciiTheme="majorBidi" w:hAnsiTheme="majorBidi" w:cstheme="majorBidi"/>
          <w:i/>
          <w:iCs/>
          <w:sz w:val="28"/>
          <w:szCs w:val="28"/>
        </w:rPr>
        <w:t>Accretion</w:t>
      </w:r>
      <w:r>
        <w:rPr>
          <w:rFonts w:cs="David" w:hint="cs"/>
          <w:b/>
          <w:bCs/>
          <w:sz w:val="28"/>
          <w:szCs w:val="28"/>
          <w:rtl/>
        </w:rPr>
        <w:t xml:space="preserve"> </w:t>
      </w:r>
      <w:r w:rsidRPr="00714251">
        <w:rPr>
          <w:rFonts w:cs="David"/>
          <w:sz w:val="28"/>
          <w:szCs w:val="28"/>
          <w:rtl/>
        </w:rPr>
        <w:t>–</w:t>
      </w:r>
      <w:r w:rsidRPr="00714251">
        <w:rPr>
          <w:rFonts w:cs="David" w:hint="cs"/>
          <w:sz w:val="28"/>
          <w:szCs w:val="28"/>
          <w:rtl/>
        </w:rPr>
        <w:t xml:space="preserve"> צירוף טריטוריה באופן טבעי לטריטוריה קיימת.</w:t>
      </w:r>
    </w:p>
    <w:p w:rsidR="00D8569D" w:rsidRDefault="00714251" w:rsidP="00E2250E">
      <w:pPr>
        <w:pStyle w:val="a3"/>
        <w:numPr>
          <w:ilvl w:val="0"/>
          <w:numId w:val="2"/>
        </w:numPr>
        <w:rPr>
          <w:rFonts w:cs="David" w:hint="cs"/>
          <w:b/>
          <w:bCs/>
          <w:sz w:val="28"/>
          <w:szCs w:val="28"/>
        </w:rPr>
      </w:pPr>
      <w:r>
        <w:rPr>
          <w:rFonts w:cs="David" w:hint="cs"/>
          <w:b/>
          <w:bCs/>
          <w:sz w:val="28"/>
          <w:szCs w:val="28"/>
          <w:rtl/>
        </w:rPr>
        <w:t xml:space="preserve">כיבוש </w:t>
      </w:r>
      <w:r w:rsidR="00D8569D" w:rsidRPr="00714251">
        <w:rPr>
          <w:rFonts w:asciiTheme="majorBidi" w:hAnsiTheme="majorBidi" w:cstheme="majorBidi"/>
          <w:i/>
          <w:iCs/>
          <w:sz w:val="28"/>
          <w:szCs w:val="28"/>
        </w:rPr>
        <w:t>Subjugation</w:t>
      </w:r>
      <w:r w:rsidR="00D8569D">
        <w:rPr>
          <w:rFonts w:cs="David" w:hint="cs"/>
          <w:b/>
          <w:bCs/>
          <w:sz w:val="28"/>
          <w:szCs w:val="28"/>
          <w:rtl/>
        </w:rPr>
        <w:t xml:space="preserve"> </w:t>
      </w:r>
      <w:r w:rsidRPr="00714251">
        <w:rPr>
          <w:rFonts w:cs="David"/>
          <w:sz w:val="28"/>
          <w:szCs w:val="28"/>
          <w:rtl/>
        </w:rPr>
        <w:t>–</w:t>
      </w:r>
      <w:r w:rsidR="00D8569D" w:rsidRPr="00714251">
        <w:rPr>
          <w:rFonts w:cs="David" w:hint="cs"/>
          <w:sz w:val="28"/>
          <w:szCs w:val="28"/>
          <w:rtl/>
        </w:rPr>
        <w:t xml:space="preserve"> </w:t>
      </w:r>
      <w:r w:rsidRPr="00714251">
        <w:rPr>
          <w:rFonts w:cs="David" w:hint="cs"/>
          <w:sz w:val="28"/>
          <w:szCs w:val="28"/>
          <w:rtl/>
        </w:rPr>
        <w:t>קניית טריטוריה בדרך זו אסורה ע"פ המשפט הבינלאומי, סיפוח השטח לאחר מלחמה מחייב הכרת בינלאומית או הסכמה של הריבון הקודם.</w:t>
      </w:r>
    </w:p>
    <w:p w:rsidR="00E27610" w:rsidRDefault="00E27610" w:rsidP="00E27610">
      <w:pPr>
        <w:rPr>
          <w:rFonts w:cs="David" w:hint="cs"/>
          <w:sz w:val="28"/>
          <w:szCs w:val="28"/>
          <w:rtl/>
        </w:rPr>
      </w:pPr>
      <w:r w:rsidRPr="00E27610">
        <w:rPr>
          <w:rFonts w:cs="David" w:hint="cs"/>
          <w:b/>
          <w:bCs/>
          <w:sz w:val="28"/>
          <w:szCs w:val="28"/>
          <w:highlight w:val="magenta"/>
          <w:rtl/>
        </w:rPr>
        <w:t>פרשת לוטוס</w:t>
      </w:r>
      <w:r>
        <w:rPr>
          <w:rFonts w:cs="David" w:hint="cs"/>
          <w:b/>
          <w:bCs/>
          <w:sz w:val="28"/>
          <w:szCs w:val="28"/>
          <w:rtl/>
        </w:rPr>
        <w:t xml:space="preserve"> </w:t>
      </w:r>
      <w:r>
        <w:rPr>
          <w:rFonts w:cs="David"/>
          <w:sz w:val="28"/>
          <w:szCs w:val="28"/>
          <w:rtl/>
        </w:rPr>
        <w:t>–</w:t>
      </w:r>
      <w:r>
        <w:rPr>
          <w:rFonts w:cs="David" w:hint="cs"/>
          <w:sz w:val="28"/>
          <w:szCs w:val="28"/>
          <w:rtl/>
        </w:rPr>
        <w:t xml:space="preserve"> התנגשות בין ספינת דואר צרפתית לבין ספינה טורקית בשטח הים הפתוח. הקצין הצרפתי הועמד לדין בטורקיה. צרפת טענה לחוסר סמכות מצידה של טורקיה, ההליכים שנפתחו נוגדים את המשפט הבינלאומי. לפי צרפת, על מנת לקנות סמכות, ממשלת טורקיה צריכה להצביע על זכות מפורשת לכך. מנגד, טורקיה טענה כי מותר לה לעשות כל דבר שהמשפט הבינלאומי לא אסר עליה מפורשות. ביה"ד קבע ש</w:t>
      </w:r>
      <w:r w:rsidRPr="004341C2">
        <w:rPr>
          <w:rFonts w:cs="David" w:hint="cs"/>
          <w:b/>
          <w:bCs/>
          <w:sz w:val="28"/>
          <w:szCs w:val="28"/>
          <w:rtl/>
        </w:rPr>
        <w:t>ברירת המחדל היא שהכול מותר כל עוד המשפט הבינלאומי לא אסר זאת</w:t>
      </w:r>
      <w:r>
        <w:rPr>
          <w:rFonts w:cs="David" w:hint="cs"/>
          <w:sz w:val="28"/>
          <w:szCs w:val="28"/>
          <w:rtl/>
        </w:rPr>
        <w:t xml:space="preserve">, ולכן אישר את טענת טורקיה. כיום ס' 97(א') לאמנת הים הפך את ההחלטה </w:t>
      </w:r>
      <w:r>
        <w:rPr>
          <w:rFonts w:cs="David"/>
          <w:sz w:val="28"/>
          <w:szCs w:val="28"/>
          <w:rtl/>
        </w:rPr>
        <w:t>–</w:t>
      </w:r>
      <w:r>
        <w:rPr>
          <w:rFonts w:cs="David" w:hint="cs"/>
          <w:sz w:val="28"/>
          <w:szCs w:val="28"/>
          <w:rtl/>
        </w:rPr>
        <w:t xml:space="preserve"> הסמכות היא של ספינת הדגל / אזרחות הנאשם בלבד. </w:t>
      </w:r>
    </w:p>
    <w:p w:rsidR="00E27610" w:rsidRDefault="004341C2" w:rsidP="00664BC2">
      <w:pPr>
        <w:rPr>
          <w:rFonts w:cs="David" w:hint="cs"/>
          <w:sz w:val="28"/>
          <w:szCs w:val="28"/>
          <w:rtl/>
        </w:rPr>
      </w:pPr>
      <w:r w:rsidRPr="004341C2">
        <w:rPr>
          <w:rFonts w:cs="David" w:hint="cs"/>
          <w:b/>
          <w:bCs/>
          <w:sz w:val="28"/>
          <w:szCs w:val="28"/>
          <w:highlight w:val="magenta"/>
          <w:rtl/>
        </w:rPr>
        <w:t xml:space="preserve">פרשת האי </w:t>
      </w:r>
      <w:proofErr w:type="spellStart"/>
      <w:r w:rsidRPr="004341C2">
        <w:rPr>
          <w:rFonts w:cs="David" w:hint="cs"/>
          <w:b/>
          <w:bCs/>
          <w:sz w:val="28"/>
          <w:szCs w:val="28"/>
          <w:highlight w:val="magenta"/>
          <w:rtl/>
        </w:rPr>
        <w:t>פלמס</w:t>
      </w:r>
      <w:proofErr w:type="spellEnd"/>
      <w:r>
        <w:rPr>
          <w:rFonts w:cs="David" w:hint="cs"/>
          <w:sz w:val="28"/>
          <w:szCs w:val="28"/>
          <w:rtl/>
        </w:rPr>
        <w:t xml:space="preserve"> </w:t>
      </w:r>
      <w:r>
        <w:rPr>
          <w:rFonts w:cs="David"/>
          <w:sz w:val="28"/>
          <w:szCs w:val="28"/>
          <w:rtl/>
        </w:rPr>
        <w:t>–</w:t>
      </w:r>
      <w:r>
        <w:rPr>
          <w:rFonts w:cs="David" w:hint="cs"/>
          <w:sz w:val="28"/>
          <w:szCs w:val="28"/>
          <w:rtl/>
        </w:rPr>
        <w:t xml:space="preserve">ויכוח </w:t>
      </w:r>
      <w:r w:rsidR="00664BC2">
        <w:rPr>
          <w:rFonts w:cs="David" w:hint="cs"/>
          <w:sz w:val="28"/>
          <w:szCs w:val="28"/>
          <w:rtl/>
        </w:rPr>
        <w:t xml:space="preserve">על </w:t>
      </w:r>
      <w:r>
        <w:rPr>
          <w:rFonts w:cs="David" w:hint="cs"/>
          <w:sz w:val="28"/>
          <w:szCs w:val="28"/>
          <w:rtl/>
        </w:rPr>
        <w:t xml:space="preserve">ריבונות </w:t>
      </w:r>
      <w:r w:rsidR="00664BC2">
        <w:rPr>
          <w:rFonts w:cs="David" w:hint="cs"/>
          <w:sz w:val="28"/>
          <w:szCs w:val="28"/>
          <w:rtl/>
        </w:rPr>
        <w:t>ב</w:t>
      </w:r>
      <w:r>
        <w:rPr>
          <w:rFonts w:cs="David" w:hint="cs"/>
          <w:sz w:val="28"/>
          <w:szCs w:val="28"/>
          <w:rtl/>
        </w:rPr>
        <w:t xml:space="preserve">אי בודד בקרבת הפיליפינים, אמריקה מול הולנד. </w:t>
      </w:r>
      <w:r w:rsidR="00664BC2">
        <w:rPr>
          <w:rFonts w:cs="David" w:hint="cs"/>
          <w:sz w:val="28"/>
          <w:szCs w:val="28"/>
          <w:rtl/>
        </w:rPr>
        <w:t xml:space="preserve">ארה"ב טענה לשליטה על השטח שהועברה אליה בהסכם שלום מספרד, אשר זכתה בו עקב גילוי, וההולנדים טענו להסכמי שליטה עם הילדים עוד מהמאה ה-17. הבורר קבע, </w:t>
      </w:r>
      <w:r w:rsidR="00664BC2" w:rsidRPr="00664BC2">
        <w:rPr>
          <w:rFonts w:cs="David" w:hint="cs"/>
          <w:b/>
          <w:bCs/>
          <w:sz w:val="28"/>
          <w:szCs w:val="28"/>
          <w:rtl/>
        </w:rPr>
        <w:t>שמעצם היות הריבונות טריטוריאלית, עליה להשתקף מעשית ובאורח גלוי בשטח עצמו, שליטה אפקטיבית</w:t>
      </w:r>
      <w:r w:rsidR="00664BC2">
        <w:rPr>
          <w:rFonts w:cs="David" w:hint="cs"/>
          <w:sz w:val="28"/>
          <w:szCs w:val="28"/>
          <w:rtl/>
        </w:rPr>
        <w:t>. הזכות צריכה להיות מוכחת לאורך זמן ובדרכי שלום. לא הוכח שספרד קיימה ריבונות אפקטיבית, לעומת הולנד.</w:t>
      </w:r>
    </w:p>
    <w:p w:rsidR="00664BC2" w:rsidRDefault="000A5F3B" w:rsidP="00664BC2">
      <w:pPr>
        <w:rPr>
          <w:rFonts w:cs="David" w:hint="cs"/>
          <w:b/>
          <w:bCs/>
          <w:sz w:val="28"/>
          <w:szCs w:val="28"/>
          <w:rtl/>
        </w:rPr>
      </w:pPr>
      <w:r w:rsidRPr="000A5F3B">
        <w:rPr>
          <w:rFonts w:cs="David" w:hint="cs"/>
          <w:b/>
          <w:bCs/>
          <w:sz w:val="28"/>
          <w:szCs w:val="28"/>
          <w:rtl/>
        </w:rPr>
        <w:t>מקורות משפטיים של המשפט הבינלאומי</w:t>
      </w:r>
    </w:p>
    <w:p w:rsidR="00CF04FF" w:rsidRPr="00CF04FF" w:rsidRDefault="00CF04FF" w:rsidP="005A546B">
      <w:pPr>
        <w:rPr>
          <w:rFonts w:cs="David" w:hint="cs"/>
          <w:sz w:val="28"/>
          <w:szCs w:val="28"/>
          <w:rtl/>
        </w:rPr>
      </w:pPr>
      <w:r w:rsidRPr="00CF04FF">
        <w:rPr>
          <w:rFonts w:asciiTheme="majorBidi" w:hAnsiTheme="majorBidi" w:cstheme="majorBidi"/>
          <w:i/>
          <w:iCs/>
          <w:sz w:val="28"/>
          <w:szCs w:val="28"/>
        </w:rPr>
        <w:t>Jus Cogens</w:t>
      </w:r>
      <w:r>
        <w:rPr>
          <w:rFonts w:cs="David" w:hint="cs"/>
          <w:b/>
          <w:bCs/>
          <w:sz w:val="28"/>
          <w:szCs w:val="28"/>
          <w:rtl/>
        </w:rPr>
        <w:t xml:space="preserve"> </w:t>
      </w:r>
      <w:r w:rsidRPr="00CF04FF">
        <w:rPr>
          <w:rFonts w:cs="David"/>
          <w:sz w:val="28"/>
          <w:szCs w:val="28"/>
          <w:rtl/>
        </w:rPr>
        <w:t>–</w:t>
      </w:r>
      <w:r w:rsidRPr="00CF04FF">
        <w:rPr>
          <w:rFonts w:cs="David" w:hint="cs"/>
          <w:sz w:val="28"/>
          <w:szCs w:val="28"/>
          <w:rtl/>
        </w:rPr>
        <w:t xml:space="preserve"> (דין קוגנטי)</w:t>
      </w:r>
      <w:r>
        <w:rPr>
          <w:rFonts w:cs="David" w:hint="cs"/>
          <w:b/>
          <w:bCs/>
          <w:sz w:val="28"/>
          <w:szCs w:val="28"/>
          <w:rtl/>
        </w:rPr>
        <w:t xml:space="preserve"> </w:t>
      </w:r>
      <w:r w:rsidRPr="00CF04FF">
        <w:rPr>
          <w:rFonts w:cs="David" w:hint="cs"/>
          <w:sz w:val="28"/>
          <w:szCs w:val="28"/>
          <w:rtl/>
        </w:rPr>
        <w:t>הוראה אוניברסלית גוברת אשר נמצאת בראש המדרג.</w:t>
      </w:r>
      <w:r w:rsidR="00A0763A">
        <w:rPr>
          <w:rFonts w:cs="David" w:hint="cs"/>
          <w:sz w:val="28"/>
          <w:szCs w:val="28"/>
          <w:rtl/>
        </w:rPr>
        <w:t xml:space="preserve"> מדובר על כלל בינלאומי שמקורו במנהג / באמנה, ההכרה האוניברסלית שלו מעידה על הרמה ההיררכית הגוברת, כמו נורמות של צדק טבעי. בין היתר: "איסור השימוש בכוח", רצח עם, סחר בעבדים</w:t>
      </w:r>
      <w:r w:rsidR="0091721B">
        <w:rPr>
          <w:rFonts w:cs="David" w:hint="cs"/>
          <w:sz w:val="28"/>
          <w:szCs w:val="28"/>
          <w:rtl/>
        </w:rPr>
        <w:t xml:space="preserve"> (הפרה של זכויות אדם), הפרת עיקרון השוויון בין מדינות, איי יישום של עיקרון ההגדרה עצמית של מדינות</w:t>
      </w:r>
      <w:r w:rsidR="00A0763A">
        <w:rPr>
          <w:rFonts w:cs="David" w:hint="cs"/>
          <w:sz w:val="28"/>
          <w:szCs w:val="28"/>
          <w:rtl/>
        </w:rPr>
        <w:t>.</w:t>
      </w:r>
      <w:r w:rsidR="005A546B">
        <w:rPr>
          <w:rFonts w:cs="David" w:hint="cs"/>
          <w:sz w:val="28"/>
          <w:szCs w:val="28"/>
          <w:rtl/>
        </w:rPr>
        <w:t xml:space="preserve"> נוסף אליו-</w:t>
      </w:r>
      <w:r w:rsidR="005A546B">
        <w:rPr>
          <w:rFonts w:asciiTheme="majorBidi" w:hAnsiTheme="majorBidi" w:cstheme="majorBidi" w:hint="cs"/>
          <w:i/>
          <w:iCs/>
          <w:sz w:val="28"/>
          <w:szCs w:val="28"/>
          <w:rtl/>
        </w:rPr>
        <w:t>,</w:t>
      </w:r>
      <w:r w:rsidR="005A546B" w:rsidRPr="005A546B">
        <w:rPr>
          <w:rFonts w:asciiTheme="majorBidi" w:hAnsiTheme="majorBidi" w:cstheme="majorBidi"/>
          <w:i/>
          <w:iCs/>
          <w:sz w:val="28"/>
          <w:szCs w:val="28"/>
        </w:rPr>
        <w:t>Obligations Erga Omnes</w:t>
      </w:r>
      <w:r w:rsidR="005A546B">
        <w:rPr>
          <w:rFonts w:cs="David" w:hint="cs"/>
          <w:sz w:val="28"/>
          <w:szCs w:val="28"/>
          <w:rtl/>
        </w:rPr>
        <w:t>, "התחייבויות כלפי כלל האנושות".</w:t>
      </w:r>
      <w:r w:rsidR="00504A80">
        <w:rPr>
          <w:rFonts w:cs="David" w:hint="cs"/>
          <w:sz w:val="28"/>
          <w:szCs w:val="28"/>
          <w:rtl/>
        </w:rPr>
        <w:t xml:space="preserve"> הפרה של הדין </w:t>
      </w:r>
      <w:proofErr w:type="spellStart"/>
      <w:r w:rsidR="00504A80">
        <w:rPr>
          <w:rFonts w:cs="David" w:hint="cs"/>
          <w:sz w:val="28"/>
          <w:szCs w:val="28"/>
          <w:rtl/>
        </w:rPr>
        <w:t>הקוגנטי</w:t>
      </w:r>
      <w:proofErr w:type="spellEnd"/>
      <w:r w:rsidR="00504A80">
        <w:rPr>
          <w:rFonts w:cs="David" w:hint="cs"/>
          <w:sz w:val="28"/>
          <w:szCs w:val="28"/>
          <w:rtl/>
        </w:rPr>
        <w:t xml:space="preserve"> תביא לכך שמדינות ישתפו פעולה לצורך סיום ההפרה. החובה לשת"פ נוגעת לכל המדינות, ללא תלות בשאלה אם אכן נפגעו מההפרה או לא.</w:t>
      </w:r>
    </w:p>
    <w:p w:rsidR="000A5F3B" w:rsidRDefault="000A5F3B" w:rsidP="00CA4576">
      <w:pPr>
        <w:rPr>
          <w:rFonts w:cs="David" w:hint="cs"/>
          <w:sz w:val="28"/>
          <w:szCs w:val="28"/>
          <w:rtl/>
        </w:rPr>
      </w:pPr>
      <w:r w:rsidRPr="000A5F3B">
        <w:rPr>
          <w:rFonts w:cs="David" w:hint="cs"/>
          <w:b/>
          <w:bCs/>
          <w:sz w:val="28"/>
          <w:szCs w:val="28"/>
          <w:rtl/>
        </w:rPr>
        <w:t>משפט בינלאומי מנהגי</w:t>
      </w:r>
      <w:r>
        <w:rPr>
          <w:rFonts w:cs="David" w:hint="cs"/>
          <w:sz w:val="28"/>
          <w:szCs w:val="28"/>
          <w:rtl/>
        </w:rPr>
        <w:t xml:space="preserve"> </w:t>
      </w:r>
      <w:r w:rsidRPr="000A5F3B">
        <w:rPr>
          <w:rFonts w:asciiTheme="majorBidi" w:hAnsiTheme="majorBidi" w:cstheme="majorBidi"/>
          <w:i/>
          <w:iCs/>
          <w:sz w:val="28"/>
          <w:szCs w:val="28"/>
        </w:rPr>
        <w:t>General Practice Accepted as Law</w:t>
      </w:r>
      <w:r w:rsidRPr="000A5F3B">
        <w:rPr>
          <w:rFonts w:asciiTheme="majorBidi" w:hAnsiTheme="majorBidi" w:cstheme="majorBidi" w:hint="cs"/>
          <w:i/>
          <w:iCs/>
          <w:sz w:val="28"/>
          <w:szCs w:val="28"/>
          <w:rtl/>
        </w:rPr>
        <w:t xml:space="preserve"> </w:t>
      </w:r>
      <w:r w:rsidR="00CA4576">
        <w:rPr>
          <w:rFonts w:cs="David"/>
          <w:sz w:val="28"/>
          <w:szCs w:val="28"/>
          <w:rtl/>
        </w:rPr>
        <w:t>–</w:t>
      </w:r>
      <w:r>
        <w:rPr>
          <w:rFonts w:cs="David" w:hint="cs"/>
          <w:sz w:val="28"/>
          <w:szCs w:val="28"/>
          <w:rtl/>
        </w:rPr>
        <w:t xml:space="preserve"> </w:t>
      </w:r>
      <w:r w:rsidR="00CA4576">
        <w:rPr>
          <w:rFonts w:cs="David" w:hint="cs"/>
          <w:sz w:val="28"/>
          <w:szCs w:val="28"/>
          <w:rtl/>
        </w:rPr>
        <w:t xml:space="preserve">אלמנט עובדתי המוכר כמשפט. משמעו איתור אופי פעולה חוזר, רווח ומתואם של מדינות ובין מדינות. עלינו לבדוק </w:t>
      </w:r>
      <w:r w:rsidR="00CA4576" w:rsidRPr="00CA4576">
        <w:rPr>
          <w:rFonts w:cs="David" w:hint="cs"/>
          <w:b/>
          <w:bCs/>
          <w:sz w:val="28"/>
          <w:szCs w:val="28"/>
          <w:rtl/>
        </w:rPr>
        <w:t>אלמנט אובייקטיבי</w:t>
      </w:r>
      <w:r w:rsidR="00CA4576">
        <w:rPr>
          <w:rFonts w:cs="David" w:hint="cs"/>
          <w:sz w:val="28"/>
          <w:szCs w:val="28"/>
          <w:rtl/>
        </w:rPr>
        <w:t xml:space="preserve">: כמה זמן המצב העובדתי קיים (אין דרישת זמן מוגדרת), שהפעולה הינה עקבית ואחידה (לאו דווקא מוחלטת), המנהג צריך לשקף אורח פעולה והסכמה של מרבית המדינות (הרלוונטיות לעניין). הימנעות מפעולה יכולה להעיד על אימוץ של אורח פעולה מסוים (שתיקה כהסכמה). </w:t>
      </w:r>
      <w:r w:rsidR="00CA4576" w:rsidRPr="00CA4576">
        <w:rPr>
          <w:rFonts w:cs="David" w:hint="cs"/>
          <w:b/>
          <w:bCs/>
          <w:sz w:val="28"/>
          <w:szCs w:val="28"/>
          <w:rtl/>
        </w:rPr>
        <w:t>אלמנט סובייקטיבי</w:t>
      </w:r>
      <w:r w:rsidR="00CA4576">
        <w:rPr>
          <w:rFonts w:cs="David" w:hint="cs"/>
          <w:sz w:val="28"/>
          <w:szCs w:val="28"/>
          <w:rtl/>
        </w:rPr>
        <w:t>: אופן הפעולה המסוים שננקט, מעיד על אמונה של המדינה שמדובר בחוק או שהדבר עתיד להיות חוק. כאשר מדינה מתנגדת למנהג מסוים לאורך הליך ההתהוות שלו ונוהגת בפועל תוך חריגה עקבית ממנהג זה, ומדינות אחרות לא מביעות התנגדות, ייתכן כי לא תהיה כפופה לו.</w:t>
      </w:r>
    </w:p>
    <w:p w:rsidR="000A5F3B" w:rsidRDefault="000A5F3B" w:rsidP="00F84464">
      <w:pPr>
        <w:rPr>
          <w:rFonts w:cs="David" w:hint="cs"/>
          <w:sz w:val="28"/>
          <w:szCs w:val="28"/>
          <w:rtl/>
        </w:rPr>
      </w:pPr>
      <w:r w:rsidRPr="00751CE8">
        <w:rPr>
          <w:rFonts w:cs="David" w:hint="cs"/>
          <w:b/>
          <w:bCs/>
          <w:sz w:val="28"/>
          <w:szCs w:val="28"/>
          <w:rtl/>
        </w:rPr>
        <w:lastRenderedPageBreak/>
        <w:t>משפט בינלאומי הסכמי</w:t>
      </w:r>
      <w:r w:rsidR="00B91C70">
        <w:rPr>
          <w:rFonts w:cs="David" w:hint="cs"/>
          <w:sz w:val="28"/>
          <w:szCs w:val="28"/>
          <w:rtl/>
        </w:rPr>
        <w:t xml:space="preserve"> </w:t>
      </w:r>
      <w:r w:rsidR="00B91C70" w:rsidRPr="00751CE8">
        <w:rPr>
          <w:rFonts w:asciiTheme="majorBidi" w:hAnsiTheme="majorBidi" w:cstheme="majorBidi"/>
          <w:i/>
          <w:iCs/>
          <w:sz w:val="28"/>
          <w:szCs w:val="28"/>
        </w:rPr>
        <w:t>International Treaty</w:t>
      </w:r>
      <w:r>
        <w:rPr>
          <w:rFonts w:cs="David" w:hint="cs"/>
          <w:sz w:val="28"/>
          <w:szCs w:val="28"/>
          <w:rtl/>
        </w:rPr>
        <w:t xml:space="preserve"> </w:t>
      </w:r>
      <w:r w:rsidR="005944A3">
        <w:rPr>
          <w:rFonts w:cs="David"/>
          <w:sz w:val="28"/>
          <w:szCs w:val="28"/>
          <w:rtl/>
        </w:rPr>
        <w:t>–</w:t>
      </w:r>
      <w:r>
        <w:rPr>
          <w:rFonts w:cs="David" w:hint="cs"/>
          <w:sz w:val="28"/>
          <w:szCs w:val="28"/>
          <w:rtl/>
        </w:rPr>
        <w:t xml:space="preserve"> </w:t>
      </w:r>
      <w:r w:rsidR="00C014B2">
        <w:rPr>
          <w:rFonts w:cs="David" w:hint="cs"/>
          <w:sz w:val="28"/>
          <w:szCs w:val="28"/>
          <w:rtl/>
        </w:rPr>
        <w:t xml:space="preserve">"הסכמים יש לכבד". </w:t>
      </w:r>
      <w:r w:rsidR="00FC39BF">
        <w:rPr>
          <w:rFonts w:cs="David" w:hint="cs"/>
          <w:sz w:val="28"/>
          <w:szCs w:val="28"/>
          <w:rtl/>
        </w:rPr>
        <w:t xml:space="preserve">נחשבת למקור חדיש יותר, המבטאת האופן ברור יותר את הסכמת המדינה ורצונה. אמנה אינה יכולה לבטל מנהג. מוסדרת ע"י </w:t>
      </w:r>
      <w:r w:rsidR="00FC39BF" w:rsidRPr="000A2530">
        <w:rPr>
          <w:rFonts w:cs="David" w:hint="cs"/>
          <w:sz w:val="28"/>
          <w:szCs w:val="28"/>
          <w:u w:val="single"/>
          <w:rtl/>
        </w:rPr>
        <w:t>אמנת וינה בדבר דיני אמנות</w:t>
      </w:r>
      <w:r w:rsidR="00FC39BF" w:rsidRPr="000A2530">
        <w:rPr>
          <w:rFonts w:cs="David" w:hint="cs"/>
          <w:sz w:val="28"/>
          <w:szCs w:val="28"/>
          <w:rtl/>
        </w:rPr>
        <w:t xml:space="preserve"> (</w:t>
      </w:r>
      <w:r w:rsidR="00FC39BF">
        <w:rPr>
          <w:rFonts w:cs="David" w:hint="cs"/>
          <w:sz w:val="28"/>
          <w:szCs w:val="28"/>
          <w:rtl/>
        </w:rPr>
        <w:t>1969)</w:t>
      </w:r>
      <w:r w:rsidR="00441D87">
        <w:rPr>
          <w:rFonts w:cs="David" w:hint="cs"/>
          <w:sz w:val="28"/>
          <w:szCs w:val="28"/>
          <w:rtl/>
        </w:rPr>
        <w:t xml:space="preserve">, אין חשיבות לכותרת האמנה, אלא יש להתייחס לתוכנה ומהותה בלבד. על האמנה להיות הסכם בין מדינות, בכתב, שיהיה מוסדר ע"פ עקרונות המשפט הבינלאומי. מעבר לדרישת הכתב, אין דרישות צורניות נוספות. </w:t>
      </w:r>
      <w:r w:rsidR="00C014B2">
        <w:rPr>
          <w:rFonts w:cs="David" w:hint="cs"/>
          <w:sz w:val="28"/>
          <w:szCs w:val="28"/>
          <w:rtl/>
        </w:rPr>
        <w:t xml:space="preserve">יש לבחון את כוונת הצדדים, האם נועד ליצור יחסים משפטיים מחייבים (נבדק ע"פ הנסיבות). נקבע כי אם אין </w:t>
      </w:r>
      <w:proofErr w:type="spellStart"/>
      <w:r w:rsidR="00C014B2">
        <w:rPr>
          <w:rFonts w:cs="David" w:hint="cs"/>
          <w:sz w:val="28"/>
          <w:szCs w:val="28"/>
          <w:rtl/>
        </w:rPr>
        <w:t>רישוןם</w:t>
      </w:r>
      <w:proofErr w:type="spellEnd"/>
      <w:r w:rsidR="00C014B2">
        <w:rPr>
          <w:rFonts w:cs="David" w:hint="cs"/>
          <w:sz w:val="28"/>
          <w:szCs w:val="28"/>
          <w:rtl/>
        </w:rPr>
        <w:t xml:space="preserve">, אין בכך כדי להשליך על תוקף ההסכם </w:t>
      </w:r>
      <w:r w:rsidR="00C014B2" w:rsidRPr="00C014B2">
        <w:rPr>
          <w:rFonts w:cs="David" w:hint="cs"/>
          <w:sz w:val="24"/>
          <w:szCs w:val="24"/>
          <w:highlight w:val="yellow"/>
          <w:rtl/>
        </w:rPr>
        <w:t>(קטאר נ' בחריין)</w:t>
      </w:r>
      <w:r w:rsidR="00C014B2">
        <w:rPr>
          <w:rFonts w:cs="David" w:hint="cs"/>
          <w:sz w:val="28"/>
          <w:szCs w:val="28"/>
          <w:rtl/>
        </w:rPr>
        <w:t xml:space="preserve">. מזכרי הבנה לא מחייבים משפטית, אך יש להם משמעות. יש לפרש את האמנה בתום לב. </w:t>
      </w:r>
      <w:r w:rsidR="00F84464">
        <w:rPr>
          <w:rFonts w:cs="David" w:hint="cs"/>
          <w:sz w:val="28"/>
          <w:szCs w:val="28"/>
          <w:rtl/>
        </w:rPr>
        <w:t xml:space="preserve">הסכמה להתקשרות באמנה ע"י: </w:t>
      </w:r>
      <w:r w:rsidR="00F84464" w:rsidRPr="00F84464">
        <w:rPr>
          <w:rFonts w:cs="David" w:hint="cs"/>
          <w:sz w:val="28"/>
          <w:szCs w:val="28"/>
          <w:u w:val="single"/>
          <w:rtl/>
        </w:rPr>
        <w:t>חתימה</w:t>
      </w:r>
      <w:r w:rsidR="00F84464">
        <w:rPr>
          <w:rFonts w:cs="David" w:hint="cs"/>
          <w:sz w:val="28"/>
          <w:szCs w:val="28"/>
          <w:rtl/>
        </w:rPr>
        <w:t xml:space="preserve"> (ע"י נציג המדינה), החלפת מסמכים בין הצדדים, </w:t>
      </w:r>
      <w:r w:rsidR="00F84464" w:rsidRPr="00F84464">
        <w:rPr>
          <w:rFonts w:cs="David" w:hint="cs"/>
          <w:sz w:val="28"/>
          <w:szCs w:val="28"/>
          <w:u w:val="single"/>
          <w:rtl/>
        </w:rPr>
        <w:t>אשרור</w:t>
      </w:r>
      <w:r w:rsidR="00F84464">
        <w:rPr>
          <w:rFonts w:cs="David" w:hint="cs"/>
          <w:sz w:val="28"/>
          <w:szCs w:val="28"/>
          <w:rtl/>
        </w:rPr>
        <w:t xml:space="preserve">, קבלה, אישור, או הצטרפות (ללא חתימה או אשרור, אם האמנה מאפשרת. </w:t>
      </w:r>
      <w:r w:rsidR="00D00414">
        <w:rPr>
          <w:rFonts w:cs="David" w:hint="cs"/>
          <w:sz w:val="28"/>
          <w:szCs w:val="28"/>
          <w:rtl/>
        </w:rPr>
        <w:t>כאשר אנו מעוניינים לאפשר לכמה שיותר מדינות להצטרף לאמנה, ישנה אופציה לתת למדינות לצרף הסתייגויות, שמטרתן להוציא מתוקף סעיפים מתוך האמנה, כל עוד לא חוטאת למטרותיה</w:t>
      </w:r>
      <w:r w:rsidR="007E15D2">
        <w:rPr>
          <w:rFonts w:cs="David" w:hint="cs"/>
          <w:sz w:val="28"/>
          <w:szCs w:val="28"/>
          <w:rtl/>
        </w:rPr>
        <w:t xml:space="preserve"> </w:t>
      </w:r>
      <w:r w:rsidR="007E15D2" w:rsidRPr="006967F3">
        <w:rPr>
          <w:rFonts w:cs="David" w:hint="cs"/>
          <w:sz w:val="24"/>
          <w:szCs w:val="24"/>
          <w:highlight w:val="yellow"/>
          <w:rtl/>
        </w:rPr>
        <w:t>(פרשת ההסתייגויות לאמנת רצח העם)</w:t>
      </w:r>
      <w:r w:rsidR="00D00414">
        <w:rPr>
          <w:rFonts w:cs="David" w:hint="cs"/>
          <w:sz w:val="28"/>
          <w:szCs w:val="28"/>
          <w:rtl/>
        </w:rPr>
        <w:t xml:space="preserve">. אופייה של הסתייגות נקבע מהותית, ע"י תוכנה, ולא ע"פ הכותרת המצורפת אליה. </w:t>
      </w:r>
      <w:r w:rsidR="000A03C5">
        <w:rPr>
          <w:rFonts w:cs="David" w:hint="cs"/>
          <w:sz w:val="28"/>
          <w:szCs w:val="28"/>
          <w:rtl/>
        </w:rPr>
        <w:t>הסתייגות ביחס למדינה שהיא צד לאמנה תשנה בהתאם את היחסים בין המדינות, בנוגע לאותו סעיף עליו היא מסתייגת (אלא אם תתנגד לעצם הכניסה לתוקף של האמנה).</w:t>
      </w:r>
    </w:p>
    <w:p w:rsidR="006E273E" w:rsidRPr="006E273E" w:rsidRDefault="006E273E" w:rsidP="00F84464">
      <w:pPr>
        <w:rPr>
          <w:rFonts w:cs="David" w:hint="cs"/>
          <w:b/>
          <w:bCs/>
          <w:sz w:val="28"/>
          <w:szCs w:val="28"/>
          <w:rtl/>
        </w:rPr>
      </w:pPr>
      <w:r w:rsidRPr="006E273E">
        <w:rPr>
          <w:rFonts w:cs="David" w:hint="cs"/>
          <w:b/>
          <w:bCs/>
          <w:sz w:val="28"/>
          <w:szCs w:val="28"/>
          <w:rtl/>
        </w:rPr>
        <w:t>פרשנות אמנות</w:t>
      </w:r>
    </w:p>
    <w:p w:rsidR="006E273E" w:rsidRDefault="006E273E" w:rsidP="00C420AD">
      <w:pPr>
        <w:pStyle w:val="a3"/>
        <w:numPr>
          <w:ilvl w:val="0"/>
          <w:numId w:val="3"/>
        </w:numPr>
        <w:rPr>
          <w:rFonts w:cs="David" w:hint="cs"/>
          <w:sz w:val="28"/>
          <w:szCs w:val="28"/>
        </w:rPr>
      </w:pPr>
      <w:r w:rsidRPr="00F43D4E">
        <w:rPr>
          <w:rFonts w:cs="David" w:hint="cs"/>
          <w:b/>
          <w:bCs/>
          <w:sz w:val="28"/>
          <w:szCs w:val="28"/>
          <w:rtl/>
        </w:rPr>
        <w:t>הגישה האובייקטיבית טקסטואלית</w:t>
      </w:r>
      <w:r w:rsidRPr="006E273E">
        <w:rPr>
          <w:rFonts w:cs="David" w:hint="cs"/>
          <w:sz w:val="28"/>
          <w:szCs w:val="28"/>
          <w:rtl/>
        </w:rPr>
        <w:t xml:space="preserve"> -  </w:t>
      </w:r>
      <w:r w:rsidR="00F43D4E">
        <w:rPr>
          <w:rFonts w:cs="David" w:hint="cs"/>
          <w:sz w:val="28"/>
          <w:szCs w:val="28"/>
          <w:rtl/>
        </w:rPr>
        <w:t>מתמקדת בטקסט עצמו, ניתוח מילולי של הוראות האמנה. ביקורת: ייתכן שהצדדים התכוונו למשמעות ייחודית</w:t>
      </w:r>
      <w:r w:rsidR="00C420AD">
        <w:rPr>
          <w:rFonts w:cs="David" w:hint="cs"/>
          <w:sz w:val="28"/>
          <w:szCs w:val="28"/>
          <w:rtl/>
        </w:rPr>
        <w:t xml:space="preserve">. </w:t>
      </w:r>
    </w:p>
    <w:p w:rsidR="00F43D4E" w:rsidRDefault="00F43D4E" w:rsidP="006E273E">
      <w:pPr>
        <w:pStyle w:val="a3"/>
        <w:numPr>
          <w:ilvl w:val="0"/>
          <w:numId w:val="3"/>
        </w:numPr>
        <w:rPr>
          <w:rFonts w:cs="David" w:hint="cs"/>
          <w:sz w:val="28"/>
          <w:szCs w:val="28"/>
        </w:rPr>
      </w:pPr>
      <w:r w:rsidRPr="00F43D4E">
        <w:rPr>
          <w:rFonts w:cs="David" w:hint="cs"/>
          <w:b/>
          <w:bCs/>
          <w:sz w:val="28"/>
          <w:szCs w:val="28"/>
          <w:rtl/>
        </w:rPr>
        <w:t>הגישה הסובייקטיבית</w:t>
      </w:r>
      <w:r>
        <w:rPr>
          <w:rFonts w:cs="David" w:hint="cs"/>
          <w:sz w:val="28"/>
          <w:szCs w:val="28"/>
          <w:rtl/>
        </w:rPr>
        <w:t xml:space="preserve"> </w:t>
      </w:r>
      <w:r>
        <w:rPr>
          <w:rFonts w:cs="David"/>
          <w:sz w:val="28"/>
          <w:szCs w:val="28"/>
          <w:rtl/>
        </w:rPr>
        <w:t>–</w:t>
      </w:r>
      <w:r>
        <w:rPr>
          <w:rFonts w:cs="David" w:hint="cs"/>
          <w:sz w:val="28"/>
          <w:szCs w:val="28"/>
          <w:rtl/>
        </w:rPr>
        <w:t xml:space="preserve"> ניסיון להתחקות אחר כוונת הצדדים. ביקורת: פעמים רבות המקור למחלוקת נעוץ בעובדה שלצדדים לא היו כוונות מהותיות.</w:t>
      </w:r>
    </w:p>
    <w:p w:rsidR="00593723" w:rsidRDefault="00F43D4E" w:rsidP="006E273E">
      <w:pPr>
        <w:pStyle w:val="a3"/>
        <w:numPr>
          <w:ilvl w:val="0"/>
          <w:numId w:val="3"/>
        </w:numPr>
        <w:rPr>
          <w:rFonts w:cs="David" w:hint="cs"/>
          <w:sz w:val="28"/>
          <w:szCs w:val="28"/>
        </w:rPr>
      </w:pPr>
      <w:r w:rsidRPr="00F43D4E">
        <w:rPr>
          <w:rFonts w:cs="David" w:hint="cs"/>
          <w:b/>
          <w:bCs/>
          <w:sz w:val="28"/>
          <w:szCs w:val="28"/>
          <w:rtl/>
        </w:rPr>
        <w:t xml:space="preserve">הגישה הטלאולוגית </w:t>
      </w:r>
      <w:r w:rsidRPr="00F43D4E">
        <w:rPr>
          <w:rFonts w:cs="David"/>
          <w:b/>
          <w:bCs/>
          <w:sz w:val="28"/>
          <w:szCs w:val="28"/>
          <w:rtl/>
        </w:rPr>
        <w:t>–</w:t>
      </w:r>
      <w:r w:rsidRPr="00F43D4E">
        <w:rPr>
          <w:rFonts w:cs="David" w:hint="cs"/>
          <w:b/>
          <w:bCs/>
          <w:sz w:val="28"/>
          <w:szCs w:val="28"/>
          <w:rtl/>
        </w:rPr>
        <w:t>תכליתית</w:t>
      </w:r>
      <w:r>
        <w:rPr>
          <w:rFonts w:cs="David" w:hint="cs"/>
          <w:sz w:val="28"/>
          <w:szCs w:val="28"/>
          <w:rtl/>
        </w:rPr>
        <w:t xml:space="preserve"> </w:t>
      </w:r>
      <w:r>
        <w:rPr>
          <w:rFonts w:cs="David"/>
          <w:sz w:val="28"/>
          <w:szCs w:val="28"/>
          <w:rtl/>
        </w:rPr>
        <w:t>–</w:t>
      </w:r>
      <w:r>
        <w:rPr>
          <w:rFonts w:cs="David" w:hint="cs"/>
          <w:sz w:val="28"/>
          <w:szCs w:val="28"/>
          <w:rtl/>
        </w:rPr>
        <w:t xml:space="preserve"> מתמקדת במטרות ויעדי האמנה, מה האמנה רצתה להשיג. ביקורת: מדובר על תיקון האמנה.</w:t>
      </w:r>
    </w:p>
    <w:p w:rsidR="00F43D4E" w:rsidRDefault="00593723" w:rsidP="00593723">
      <w:pPr>
        <w:pStyle w:val="a3"/>
        <w:numPr>
          <w:ilvl w:val="0"/>
          <w:numId w:val="3"/>
        </w:numPr>
        <w:rPr>
          <w:rFonts w:cs="David" w:hint="cs"/>
          <w:sz w:val="28"/>
          <w:szCs w:val="28"/>
        </w:rPr>
      </w:pPr>
      <w:r w:rsidRPr="00593723">
        <w:rPr>
          <w:rFonts w:cs="David" w:hint="cs"/>
          <w:b/>
          <w:bCs/>
          <w:sz w:val="28"/>
          <w:szCs w:val="28"/>
          <w:rtl/>
        </w:rPr>
        <w:t>אמצעי פרשנות משלימים</w:t>
      </w:r>
      <w:r>
        <w:rPr>
          <w:rFonts w:cs="David" w:hint="cs"/>
          <w:sz w:val="28"/>
          <w:szCs w:val="28"/>
          <w:rtl/>
        </w:rPr>
        <w:t>: מסמכי ההכנה של האמנה, פרוטוקול הדיונים, הצהרות של הממשלות, הנסיבות לחתימה וההקשר ההיסטורי.</w:t>
      </w:r>
      <w:r w:rsidR="00F43D4E">
        <w:rPr>
          <w:rFonts w:cs="David" w:hint="cs"/>
          <w:sz w:val="28"/>
          <w:szCs w:val="28"/>
          <w:rtl/>
        </w:rPr>
        <w:t xml:space="preserve"> </w:t>
      </w:r>
    </w:p>
    <w:p w:rsidR="00C420AD" w:rsidRPr="00B05F61" w:rsidRDefault="00B05F61" w:rsidP="00C420AD">
      <w:pPr>
        <w:rPr>
          <w:rFonts w:cs="David" w:hint="cs"/>
          <w:b/>
          <w:bCs/>
          <w:sz w:val="28"/>
          <w:szCs w:val="28"/>
          <w:rtl/>
        </w:rPr>
      </w:pPr>
      <w:r w:rsidRPr="00B05F61">
        <w:rPr>
          <w:rFonts w:cs="David" w:hint="cs"/>
          <w:b/>
          <w:bCs/>
          <w:sz w:val="28"/>
          <w:szCs w:val="28"/>
          <w:rtl/>
        </w:rPr>
        <w:t>עקרונות פרשניים</w:t>
      </w:r>
    </w:p>
    <w:p w:rsidR="00B05F61" w:rsidRDefault="0014443F" w:rsidP="0014443F">
      <w:pPr>
        <w:pStyle w:val="a3"/>
        <w:numPr>
          <w:ilvl w:val="0"/>
          <w:numId w:val="4"/>
        </w:numPr>
        <w:rPr>
          <w:rFonts w:cs="David" w:hint="cs"/>
          <w:sz w:val="28"/>
          <w:szCs w:val="28"/>
        </w:rPr>
      </w:pPr>
      <w:r w:rsidRPr="0014443F">
        <w:rPr>
          <w:rFonts w:cs="David" w:hint="cs"/>
          <w:b/>
          <w:bCs/>
          <w:sz w:val="28"/>
          <w:szCs w:val="28"/>
          <w:rtl/>
        </w:rPr>
        <w:t>עקרון היישום הטקסטואלי</w:t>
      </w:r>
      <w:r>
        <w:rPr>
          <w:rFonts w:cs="David" w:hint="cs"/>
          <w:sz w:val="28"/>
          <w:szCs w:val="28"/>
          <w:rtl/>
        </w:rPr>
        <w:t xml:space="preserve"> </w:t>
      </w:r>
      <w:r>
        <w:rPr>
          <w:rFonts w:cs="David"/>
          <w:sz w:val="28"/>
          <w:szCs w:val="28"/>
          <w:rtl/>
        </w:rPr>
        <w:t>–</w:t>
      </w:r>
      <w:r>
        <w:rPr>
          <w:rFonts w:cs="David" w:hint="cs"/>
          <w:sz w:val="28"/>
          <w:szCs w:val="28"/>
          <w:rtl/>
        </w:rPr>
        <w:t xml:space="preserve"> על אמנות להתפרש כפי שהן בהתבסס על הטקסט הכתוב.</w:t>
      </w:r>
    </w:p>
    <w:p w:rsidR="0014443F" w:rsidRDefault="0014443F" w:rsidP="0014443F">
      <w:pPr>
        <w:pStyle w:val="a3"/>
        <w:numPr>
          <w:ilvl w:val="0"/>
          <w:numId w:val="4"/>
        </w:numPr>
        <w:rPr>
          <w:rFonts w:cs="David" w:hint="cs"/>
          <w:sz w:val="28"/>
          <w:szCs w:val="28"/>
        </w:rPr>
      </w:pPr>
      <w:r w:rsidRPr="0014443F">
        <w:rPr>
          <w:rFonts w:cs="David" w:hint="cs"/>
          <w:b/>
          <w:bCs/>
          <w:sz w:val="28"/>
          <w:szCs w:val="28"/>
          <w:rtl/>
        </w:rPr>
        <w:t>עקרון המשמעות הטבעית</w:t>
      </w:r>
      <w:r>
        <w:rPr>
          <w:rFonts w:cs="David" w:hint="cs"/>
          <w:sz w:val="28"/>
          <w:szCs w:val="28"/>
          <w:rtl/>
        </w:rPr>
        <w:t xml:space="preserve"> והרגילה </w:t>
      </w:r>
      <w:r>
        <w:rPr>
          <w:rFonts w:cs="David"/>
          <w:sz w:val="28"/>
          <w:szCs w:val="28"/>
          <w:rtl/>
        </w:rPr>
        <w:t>–</w:t>
      </w:r>
      <w:r>
        <w:rPr>
          <w:rFonts w:cs="David" w:hint="cs"/>
          <w:sz w:val="28"/>
          <w:szCs w:val="28"/>
          <w:rtl/>
        </w:rPr>
        <w:t xml:space="preserve"> מילים ומונחים צריכים להתפרש במובנן הטבעי, נסתר רק כאשר יש ראיה נוגדת לפיה הצדדים עשו שימוש שונה במונח</w:t>
      </w:r>
    </w:p>
    <w:p w:rsidR="0014443F" w:rsidRDefault="0014443F" w:rsidP="0014443F">
      <w:pPr>
        <w:pStyle w:val="a3"/>
        <w:numPr>
          <w:ilvl w:val="0"/>
          <w:numId w:val="4"/>
        </w:numPr>
        <w:rPr>
          <w:rFonts w:cs="David" w:hint="cs"/>
          <w:sz w:val="28"/>
          <w:szCs w:val="28"/>
        </w:rPr>
      </w:pPr>
      <w:r w:rsidRPr="0014443F">
        <w:rPr>
          <w:rFonts w:cs="David" w:hint="cs"/>
          <w:b/>
          <w:bCs/>
          <w:sz w:val="28"/>
          <w:szCs w:val="28"/>
          <w:rtl/>
        </w:rPr>
        <w:t xml:space="preserve">עיקרון האינטגרציה </w:t>
      </w:r>
      <w:r>
        <w:rPr>
          <w:rFonts w:cs="David"/>
          <w:sz w:val="28"/>
          <w:szCs w:val="28"/>
          <w:rtl/>
        </w:rPr>
        <w:t>–</w:t>
      </w:r>
      <w:r>
        <w:rPr>
          <w:rFonts w:cs="David" w:hint="cs"/>
          <w:sz w:val="28"/>
          <w:szCs w:val="28"/>
          <w:rtl/>
        </w:rPr>
        <w:t xml:space="preserve"> האמנות צריכות להתפרש כמכלול</w:t>
      </w:r>
    </w:p>
    <w:p w:rsidR="0014443F" w:rsidRPr="0014443F" w:rsidRDefault="0014443F" w:rsidP="0014443F">
      <w:pPr>
        <w:pStyle w:val="a3"/>
        <w:numPr>
          <w:ilvl w:val="0"/>
          <w:numId w:val="4"/>
        </w:numPr>
        <w:rPr>
          <w:rFonts w:cs="David" w:hint="cs"/>
          <w:sz w:val="28"/>
          <w:szCs w:val="28"/>
          <w:rtl/>
        </w:rPr>
      </w:pPr>
      <w:r w:rsidRPr="0014443F">
        <w:rPr>
          <w:rFonts w:cs="David" w:hint="cs"/>
          <w:b/>
          <w:bCs/>
          <w:sz w:val="28"/>
          <w:szCs w:val="28"/>
          <w:rtl/>
        </w:rPr>
        <w:t>עקרונות משניים</w:t>
      </w:r>
      <w:r>
        <w:rPr>
          <w:rFonts w:cs="David" w:hint="cs"/>
          <w:sz w:val="28"/>
          <w:szCs w:val="28"/>
          <w:rtl/>
        </w:rPr>
        <w:t xml:space="preserve">: </w:t>
      </w:r>
      <w:r w:rsidRPr="0014443F">
        <w:rPr>
          <w:rFonts w:cs="David" w:hint="cs"/>
          <w:sz w:val="28"/>
          <w:szCs w:val="28"/>
          <w:u w:val="single"/>
          <w:rtl/>
        </w:rPr>
        <w:t>עקרון האפקטיביות</w:t>
      </w:r>
      <w:r>
        <w:rPr>
          <w:rFonts w:cs="David" w:hint="cs"/>
          <w:sz w:val="28"/>
          <w:szCs w:val="28"/>
          <w:rtl/>
        </w:rPr>
        <w:t xml:space="preserve"> </w:t>
      </w:r>
      <w:r>
        <w:rPr>
          <w:rFonts w:cs="David"/>
          <w:sz w:val="28"/>
          <w:szCs w:val="28"/>
          <w:rtl/>
        </w:rPr>
        <w:t>–</w:t>
      </w:r>
      <w:r>
        <w:rPr>
          <w:rFonts w:cs="David" w:hint="cs"/>
          <w:sz w:val="28"/>
          <w:szCs w:val="28"/>
          <w:rtl/>
        </w:rPr>
        <w:t xml:space="preserve"> אמנות צריכות להתפרש ע"פ היעדים המוצהרים או המשתמעים, </w:t>
      </w:r>
      <w:r w:rsidRPr="0014443F">
        <w:rPr>
          <w:rFonts w:cs="David" w:hint="cs"/>
          <w:sz w:val="28"/>
          <w:szCs w:val="28"/>
          <w:u w:val="single"/>
          <w:rtl/>
        </w:rPr>
        <w:t>עקרון הפרקטיקה הנוהגת</w:t>
      </w:r>
      <w:r>
        <w:rPr>
          <w:rFonts w:cs="David" w:hint="cs"/>
          <w:sz w:val="28"/>
          <w:szCs w:val="28"/>
          <w:rtl/>
        </w:rPr>
        <w:t xml:space="preserve"> בין הצדדים, </w:t>
      </w:r>
      <w:r w:rsidRPr="0014443F">
        <w:rPr>
          <w:rFonts w:cs="David" w:hint="cs"/>
          <w:sz w:val="28"/>
          <w:szCs w:val="28"/>
          <w:u w:val="single"/>
          <w:rtl/>
        </w:rPr>
        <w:t>עקרון התזמון</w:t>
      </w:r>
      <w:r>
        <w:rPr>
          <w:rFonts w:cs="David" w:hint="cs"/>
          <w:sz w:val="28"/>
          <w:szCs w:val="28"/>
          <w:rtl/>
        </w:rPr>
        <w:t xml:space="preserve"> </w:t>
      </w:r>
      <w:r>
        <w:rPr>
          <w:rFonts w:cs="David"/>
          <w:sz w:val="28"/>
          <w:szCs w:val="28"/>
          <w:rtl/>
        </w:rPr>
        <w:t>–</w:t>
      </w:r>
      <w:r>
        <w:rPr>
          <w:rFonts w:cs="David" w:hint="cs"/>
          <w:sz w:val="28"/>
          <w:szCs w:val="28"/>
          <w:rtl/>
        </w:rPr>
        <w:t xml:space="preserve"> יש לפרש לאור השימוש הלשוני הרווח בעת חתימת האמנה.</w:t>
      </w:r>
    </w:p>
    <w:p w:rsidR="005944A3" w:rsidRDefault="005944A3" w:rsidP="00664BC2">
      <w:pPr>
        <w:rPr>
          <w:rFonts w:cs="David" w:hint="cs"/>
          <w:sz w:val="28"/>
          <w:szCs w:val="28"/>
          <w:rtl/>
        </w:rPr>
      </w:pPr>
      <w:r w:rsidRPr="005944A3">
        <w:rPr>
          <w:rFonts w:cs="David" w:hint="cs"/>
          <w:b/>
          <w:bCs/>
          <w:sz w:val="28"/>
          <w:szCs w:val="28"/>
          <w:rtl/>
        </w:rPr>
        <w:lastRenderedPageBreak/>
        <w:t xml:space="preserve">עקרונות המשפט הכלליים </w:t>
      </w:r>
      <w:r>
        <w:rPr>
          <w:rFonts w:cs="David"/>
          <w:sz w:val="28"/>
          <w:szCs w:val="28"/>
          <w:rtl/>
        </w:rPr>
        <w:t>–</w:t>
      </w:r>
      <w:r>
        <w:rPr>
          <w:rFonts w:cs="David" w:hint="cs"/>
          <w:sz w:val="28"/>
          <w:szCs w:val="28"/>
          <w:rtl/>
        </w:rPr>
        <w:t xml:space="preserve"> החלטות שיפוטיות (תקדימים), כתבי מלומדים המייצגים את שיטות המשפט השונות (מתקבלים כאמצעי משלים לקביעת הדין בלבד).</w:t>
      </w:r>
    </w:p>
    <w:p w:rsidR="00AC2FCC" w:rsidRDefault="00AC2FCC" w:rsidP="004D6B42">
      <w:pPr>
        <w:rPr>
          <w:rFonts w:cs="David" w:hint="cs"/>
          <w:sz w:val="28"/>
          <w:szCs w:val="28"/>
          <w:rtl/>
        </w:rPr>
      </w:pPr>
      <w:r w:rsidRPr="00AC2FCC">
        <w:rPr>
          <w:rFonts w:asciiTheme="majorBidi" w:hAnsiTheme="majorBidi" w:cstheme="majorBidi"/>
          <w:b/>
          <w:bCs/>
          <w:i/>
          <w:iCs/>
          <w:sz w:val="28"/>
          <w:szCs w:val="28"/>
          <w:highlight w:val="magenta"/>
        </w:rPr>
        <w:t>Anglo –Norwegian Fisheries Case</w:t>
      </w:r>
      <w:r>
        <w:rPr>
          <w:rFonts w:cs="David" w:hint="cs"/>
          <w:sz w:val="28"/>
          <w:szCs w:val="28"/>
          <w:rtl/>
        </w:rPr>
        <w:t xml:space="preserve"> </w:t>
      </w:r>
      <w:r w:rsidR="004D6B42">
        <w:rPr>
          <w:rFonts w:cs="David"/>
          <w:sz w:val="28"/>
          <w:szCs w:val="28"/>
          <w:rtl/>
        </w:rPr>
        <w:t>–</w:t>
      </w:r>
      <w:r>
        <w:rPr>
          <w:rFonts w:cs="David" w:hint="cs"/>
          <w:sz w:val="28"/>
          <w:szCs w:val="28"/>
          <w:rtl/>
        </w:rPr>
        <w:t xml:space="preserve"> </w:t>
      </w:r>
      <w:r w:rsidR="004D6B42">
        <w:rPr>
          <w:rFonts w:cs="David" w:hint="cs"/>
          <w:sz w:val="28"/>
          <w:szCs w:val="28"/>
          <w:rtl/>
        </w:rPr>
        <w:t xml:space="preserve">מדובר על צו מלכותי נורבגי אשר קבע את שטח הדיג הבלעדי של נורבגיה, בשונה מהשיטה המנהגית של קו השפל הנהוגה, אלא ע"י לקיחת כל המרחב שיכלה לקחת לעצמה. נורבגיה הצדיקה את שיטת המדידה: זכות היסטורית מבוססת, כנגדה לא מחו מדינות אחרות זמן רב, התנאים הייחודיים לאזור והצורך להבטיח את האינטרסים הכלכליים של המתיישבים. </w:t>
      </w:r>
      <w:r w:rsidR="004801B8">
        <w:rPr>
          <w:rFonts w:cs="David" w:hint="cs"/>
          <w:sz w:val="28"/>
          <w:szCs w:val="28"/>
          <w:rtl/>
        </w:rPr>
        <w:t xml:space="preserve">בית הדין אכן </w:t>
      </w:r>
      <w:r w:rsidR="004801B8" w:rsidRPr="004801B8">
        <w:rPr>
          <w:rFonts w:cs="David" w:hint="cs"/>
          <w:b/>
          <w:bCs/>
          <w:sz w:val="28"/>
          <w:szCs w:val="28"/>
          <w:rtl/>
        </w:rPr>
        <w:t>קבע שהשיטה בה נהגה נורבגיה עקבית, לאורך זמן, ומדינות כולל בריטניה מעולם לא הביעו התנגדות</w:t>
      </w:r>
      <w:r w:rsidR="004801B8">
        <w:rPr>
          <w:rFonts w:cs="David" w:hint="cs"/>
          <w:sz w:val="28"/>
          <w:szCs w:val="28"/>
          <w:rtl/>
        </w:rPr>
        <w:t xml:space="preserve"> לאורך תקופה של 60 שנים.</w:t>
      </w:r>
    </w:p>
    <w:p w:rsidR="004801B8" w:rsidRDefault="006448BC" w:rsidP="004D6B42">
      <w:pPr>
        <w:rPr>
          <w:rFonts w:cs="David" w:hint="cs"/>
          <w:sz w:val="28"/>
          <w:szCs w:val="28"/>
          <w:rtl/>
        </w:rPr>
      </w:pPr>
      <w:r w:rsidRPr="008D49C6">
        <w:rPr>
          <w:rFonts w:asciiTheme="majorBidi" w:hAnsiTheme="majorBidi" w:cstheme="majorBidi"/>
          <w:b/>
          <w:bCs/>
          <w:i/>
          <w:iCs/>
          <w:sz w:val="28"/>
          <w:szCs w:val="28"/>
          <w:highlight w:val="magenta"/>
        </w:rPr>
        <w:t>North Sea Continental Shelf Case</w:t>
      </w:r>
      <w:r>
        <w:rPr>
          <w:rFonts w:cs="David" w:hint="cs"/>
          <w:sz w:val="28"/>
          <w:szCs w:val="28"/>
          <w:rtl/>
        </w:rPr>
        <w:t xml:space="preserve"> </w:t>
      </w:r>
      <w:r w:rsidR="008D49C6">
        <w:rPr>
          <w:rFonts w:cs="David"/>
          <w:sz w:val="28"/>
          <w:szCs w:val="28"/>
          <w:rtl/>
        </w:rPr>
        <w:t>–</w:t>
      </w:r>
      <w:r>
        <w:rPr>
          <w:rFonts w:cs="David" w:hint="cs"/>
          <w:sz w:val="28"/>
          <w:szCs w:val="28"/>
          <w:rtl/>
        </w:rPr>
        <w:t xml:space="preserve"> </w:t>
      </w:r>
      <w:r w:rsidR="008D49C6">
        <w:rPr>
          <w:rFonts w:cs="David" w:hint="cs"/>
          <w:sz w:val="28"/>
          <w:szCs w:val="28"/>
          <w:rtl/>
        </w:rPr>
        <w:t xml:space="preserve">היו הסכמים בין גרמניה, דנמרק והולנד בנוגע לחלוקת מדף היבשת, אך לא הגיעו להסכמה ביניהן מעבר להסכמה בסיסית, בין שתי שיטות של חלוקה. השיטה שנטענה ע"י דנמרק והולנד משקפת עקרון מנהגי, ולכן טענו שמחייבת גם את גרמניה. </w:t>
      </w:r>
      <w:r w:rsidR="008D49C6" w:rsidRPr="008D49C6">
        <w:rPr>
          <w:rFonts w:cs="David" w:hint="cs"/>
          <w:b/>
          <w:bCs/>
          <w:sz w:val="28"/>
          <w:szCs w:val="28"/>
          <w:rtl/>
        </w:rPr>
        <w:t>בית הדין קיבל את האפשרות העקרונית לפיה כלל מנהגי חדש יכול להיות מבוסס על אמנה בינלאומית, אולם יש צורך בהשתתפות רחבה וייצוגית של מדינות</w:t>
      </w:r>
      <w:r w:rsidR="008D49C6">
        <w:rPr>
          <w:rFonts w:cs="David" w:hint="cs"/>
          <w:sz w:val="28"/>
          <w:szCs w:val="28"/>
          <w:rtl/>
        </w:rPr>
        <w:t xml:space="preserve"> כדי שניתן יהיה לקבוע אופי נורמטיבי, מה שלא מתקיים במקרה זה. </w:t>
      </w:r>
    </w:p>
    <w:p w:rsidR="008D49C6" w:rsidRDefault="00776BA3" w:rsidP="004D6B42">
      <w:pPr>
        <w:rPr>
          <w:rFonts w:cs="David" w:hint="cs"/>
          <w:sz w:val="28"/>
          <w:szCs w:val="28"/>
          <w:rtl/>
        </w:rPr>
      </w:pPr>
      <w:r w:rsidRPr="00776BA3">
        <w:rPr>
          <w:rFonts w:asciiTheme="majorBidi" w:hAnsiTheme="majorBidi" w:cstheme="majorBidi"/>
          <w:b/>
          <w:bCs/>
          <w:i/>
          <w:iCs/>
          <w:sz w:val="28"/>
          <w:szCs w:val="28"/>
          <w:highlight w:val="magenta"/>
        </w:rPr>
        <w:t>Fisheries Jurisdiction Case</w:t>
      </w:r>
      <w:r>
        <w:rPr>
          <w:rFonts w:cs="David" w:hint="cs"/>
          <w:sz w:val="28"/>
          <w:szCs w:val="28"/>
          <w:rtl/>
        </w:rPr>
        <w:t xml:space="preserve"> </w:t>
      </w:r>
      <w:r>
        <w:rPr>
          <w:rFonts w:cs="David"/>
          <w:sz w:val="28"/>
          <w:szCs w:val="28"/>
          <w:rtl/>
        </w:rPr>
        <w:t>–</w:t>
      </w:r>
      <w:r>
        <w:rPr>
          <w:rFonts w:cs="David" w:hint="cs"/>
          <w:sz w:val="28"/>
          <w:szCs w:val="28"/>
          <w:rtl/>
        </w:rPr>
        <w:t xml:space="preserve"> הרקע לפרשה הוא ההתנגדות של בריטניה לתקנות הדיג שאיסלנד קבעה בתחום שמעבר לאזור הדיג הבלעדי, בים הפתוח. איסלנד טענה לעדיפות  בגלל התלות שיש לה לדיג. </w:t>
      </w:r>
      <w:r w:rsidR="007B23CC">
        <w:rPr>
          <w:rFonts w:cs="David" w:hint="cs"/>
          <w:sz w:val="28"/>
          <w:szCs w:val="28"/>
          <w:rtl/>
        </w:rPr>
        <w:t>בית הדין ציין ש</w:t>
      </w:r>
      <w:r w:rsidR="007B23CC" w:rsidRPr="007B23CC">
        <w:rPr>
          <w:rFonts w:cs="David" w:hint="cs"/>
          <w:b/>
          <w:bCs/>
          <w:sz w:val="28"/>
          <w:szCs w:val="28"/>
          <w:rtl/>
        </w:rPr>
        <w:t>הייתה אי הסכמה בנושא זה, ולכן לא הצליחו לגבש אמנה</w:t>
      </w:r>
      <w:r w:rsidR="007B23CC">
        <w:rPr>
          <w:rFonts w:cs="David" w:hint="cs"/>
          <w:sz w:val="28"/>
          <w:szCs w:val="28"/>
          <w:rtl/>
        </w:rPr>
        <w:t>, לכן הוא לא רואה את עצמו כשיר להכריע, והנחה את הצדדים להגיע להסכמה תוך כיבוד אינטרסים הדדיים.</w:t>
      </w:r>
    </w:p>
    <w:p w:rsidR="007B23CC" w:rsidRDefault="00A62595" w:rsidP="00A62595">
      <w:pPr>
        <w:rPr>
          <w:rFonts w:cs="David" w:hint="cs"/>
          <w:sz w:val="28"/>
          <w:szCs w:val="28"/>
          <w:rtl/>
        </w:rPr>
      </w:pPr>
      <w:r w:rsidRPr="00A62595">
        <w:rPr>
          <w:rFonts w:cs="David" w:hint="cs"/>
          <w:b/>
          <w:bCs/>
          <w:sz w:val="28"/>
          <w:szCs w:val="28"/>
          <w:highlight w:val="magenta"/>
          <w:rtl/>
        </w:rPr>
        <w:t>קוסטה ריקה נ' ניקרגואה</w:t>
      </w:r>
      <w:r>
        <w:rPr>
          <w:rFonts w:cs="David" w:hint="cs"/>
          <w:sz w:val="28"/>
          <w:szCs w:val="28"/>
          <w:rtl/>
        </w:rPr>
        <w:t xml:space="preserve"> </w:t>
      </w:r>
      <w:r>
        <w:rPr>
          <w:rFonts w:cs="David"/>
          <w:sz w:val="28"/>
          <w:szCs w:val="28"/>
          <w:rtl/>
        </w:rPr>
        <w:t>–</w:t>
      </w:r>
      <w:r>
        <w:rPr>
          <w:rFonts w:cs="David" w:hint="cs"/>
          <w:sz w:val="28"/>
          <w:szCs w:val="28"/>
          <w:rtl/>
        </w:rPr>
        <w:t xml:space="preserve"> המדינות חלקו בנוגע להיקף תחולת זכות השיט שהוענקה באמנה זו, בהקשר הכלכלי, האם המונח נרחב וכלל בתוכו של שיט למטרת מסחר, או מצומצם יותר וכולל בתוכו רק שינוע טובין. בית הדין קבע, כי </w:t>
      </w:r>
      <w:r w:rsidRPr="00A62595">
        <w:rPr>
          <w:rFonts w:cs="David" w:hint="cs"/>
          <w:b/>
          <w:bCs/>
          <w:sz w:val="28"/>
          <w:szCs w:val="28"/>
          <w:rtl/>
        </w:rPr>
        <w:t>לקיחת המושג מסחר למטרות שאינן באופן מפורש מסחר, מייתר את מטרת האמנה</w:t>
      </w:r>
      <w:r>
        <w:rPr>
          <w:rFonts w:cs="David" w:hint="cs"/>
          <w:sz w:val="28"/>
          <w:szCs w:val="28"/>
          <w:rtl/>
        </w:rPr>
        <w:t xml:space="preserve">, ולכן דוחה את פרשנות זו. </w:t>
      </w:r>
    </w:p>
    <w:p w:rsidR="009F78AC" w:rsidRDefault="009F78AC" w:rsidP="00C92D0A">
      <w:pPr>
        <w:rPr>
          <w:rFonts w:cs="David" w:hint="cs"/>
          <w:sz w:val="28"/>
          <w:szCs w:val="28"/>
          <w:rtl/>
        </w:rPr>
      </w:pPr>
      <w:r w:rsidRPr="009F78AC">
        <w:rPr>
          <w:rFonts w:cs="David" w:hint="cs"/>
          <w:b/>
          <w:bCs/>
          <w:sz w:val="28"/>
          <w:szCs w:val="28"/>
          <w:rtl/>
        </w:rPr>
        <w:t>ארגונים בינלאומיים</w:t>
      </w:r>
      <w:r>
        <w:rPr>
          <w:rFonts w:cs="David" w:hint="cs"/>
          <w:b/>
          <w:bCs/>
          <w:sz w:val="28"/>
          <w:szCs w:val="28"/>
          <w:rtl/>
        </w:rPr>
        <w:t xml:space="preserve"> </w:t>
      </w:r>
      <w:r w:rsidR="00C92D0A">
        <w:rPr>
          <w:rFonts w:cs="David"/>
          <w:b/>
          <w:bCs/>
          <w:sz w:val="28"/>
          <w:szCs w:val="28"/>
          <w:rtl/>
        </w:rPr>
        <w:t>–</w:t>
      </w:r>
      <w:r>
        <w:rPr>
          <w:rFonts w:cs="David" w:hint="cs"/>
          <w:b/>
          <w:bCs/>
          <w:sz w:val="28"/>
          <w:szCs w:val="28"/>
          <w:rtl/>
        </w:rPr>
        <w:t xml:space="preserve"> </w:t>
      </w:r>
      <w:r w:rsidR="00C92D0A">
        <w:rPr>
          <w:rFonts w:cs="David" w:hint="cs"/>
          <w:sz w:val="28"/>
          <w:szCs w:val="28"/>
          <w:rtl/>
        </w:rPr>
        <w:t xml:space="preserve">ארגון בינלאומי ממשלתי הוא ארגון המוקם בדרך כלל ע"י אמנה מולטילטרלית בין מדינות. לארגון תהיה חוקה ויתקיימו תחתיו תת ארגונים אשר ייחשבו כעצמאיים משפטית. </w:t>
      </w:r>
      <w:r w:rsidR="00D72656">
        <w:rPr>
          <w:rFonts w:cs="David" w:hint="cs"/>
          <w:sz w:val="28"/>
          <w:szCs w:val="28"/>
          <w:rtl/>
        </w:rPr>
        <w:t xml:space="preserve"> </w:t>
      </w:r>
      <w:r>
        <w:rPr>
          <w:rFonts w:cs="David" w:hint="cs"/>
          <w:sz w:val="28"/>
          <w:szCs w:val="28"/>
          <w:rtl/>
        </w:rPr>
        <w:t xml:space="preserve">על מנת לבדוק מה היקף האישיות המשפטית של ארגון יהיה צורך ללכת לאמנה שהקימה אותו ולבחון מה הסמכויות שניתנו לה. </w:t>
      </w:r>
      <w:r w:rsidR="00D72656">
        <w:rPr>
          <w:rFonts w:cs="David" w:hint="cs"/>
          <w:sz w:val="28"/>
          <w:szCs w:val="28"/>
          <w:rtl/>
        </w:rPr>
        <w:t xml:space="preserve">לכל ארגון יהיה היקף אישיות משפטית ספציפי משלו אשר יימדד בהתאם לנסיבות ולפי הסמכויות המפורשות או המשתמעות במסמכי היסוד שלו, היא אובייקטיבית </w:t>
      </w:r>
      <w:r w:rsidR="00D72656">
        <w:rPr>
          <w:rFonts w:cs="David"/>
          <w:sz w:val="28"/>
          <w:szCs w:val="28"/>
          <w:rtl/>
        </w:rPr>
        <w:t>–</w:t>
      </w:r>
      <w:r w:rsidR="00D72656">
        <w:rPr>
          <w:rFonts w:cs="David" w:hint="cs"/>
          <w:sz w:val="28"/>
          <w:szCs w:val="28"/>
          <w:rtl/>
        </w:rPr>
        <w:t xml:space="preserve"> לא תלויה בהכרה או ברצון של מדינות שלא חברות באו"ם. ההיבטים המעשיים שלה: מתבטאים ביכולת לכרות אמנות בינלאומיות, לבוא בקשרים עם גורמים אחרים שאינם מדינות, לשאת באחריות בינלאומית, לתבוע ולהיתבע, לשאת בזכויות וחובות ואף לקבל חסינות מפני דינים בינלאומיים. </w:t>
      </w:r>
      <w:r w:rsidR="00D72656" w:rsidRPr="00D72656">
        <w:rPr>
          <w:rFonts w:cs="David" w:hint="cs"/>
          <w:sz w:val="28"/>
          <w:szCs w:val="28"/>
          <w:u w:val="single"/>
          <w:rtl/>
        </w:rPr>
        <w:t>ארגון האומות המאוחדות</w:t>
      </w:r>
      <w:r w:rsidR="00D72656">
        <w:rPr>
          <w:rFonts w:cs="David" w:hint="cs"/>
          <w:sz w:val="28"/>
          <w:szCs w:val="28"/>
          <w:rtl/>
        </w:rPr>
        <w:t xml:space="preserve"> הוא הארגון הבינלאומי המשפיע ביותר, הוקם ב-1946. הוא מורכב מ-6 אורגנים </w:t>
      </w:r>
      <w:r w:rsidR="00D72656">
        <w:rPr>
          <w:rFonts w:cs="David" w:hint="cs"/>
          <w:sz w:val="28"/>
          <w:szCs w:val="28"/>
          <w:rtl/>
        </w:rPr>
        <w:lastRenderedPageBreak/>
        <w:t xml:space="preserve">מרכזיים: </w:t>
      </w:r>
      <w:r w:rsidR="00D72656" w:rsidRPr="00D72656">
        <w:rPr>
          <w:rFonts w:cs="David" w:hint="cs"/>
          <w:b/>
          <w:bCs/>
          <w:sz w:val="28"/>
          <w:szCs w:val="28"/>
          <w:rtl/>
        </w:rPr>
        <w:t>העצרת הכללית, מועצת הביטחון, הוועידה הכלכלית והחברתית, ועידת השלטון המנדטורי, מזכירות האו"ם ובית הדין הפלילי הבינלאומי</w:t>
      </w:r>
      <w:r w:rsidR="00D72656">
        <w:rPr>
          <w:rFonts w:cs="David" w:hint="cs"/>
          <w:sz w:val="28"/>
          <w:szCs w:val="28"/>
          <w:rtl/>
        </w:rPr>
        <w:t xml:space="preserve">. </w:t>
      </w:r>
    </w:p>
    <w:p w:rsidR="000918C4" w:rsidRDefault="000918C4" w:rsidP="000918C4">
      <w:pPr>
        <w:pStyle w:val="a3"/>
        <w:numPr>
          <w:ilvl w:val="0"/>
          <w:numId w:val="5"/>
        </w:numPr>
        <w:rPr>
          <w:rFonts w:cs="David" w:hint="cs"/>
          <w:sz w:val="28"/>
          <w:szCs w:val="28"/>
        </w:rPr>
      </w:pPr>
      <w:r w:rsidRPr="000918C4">
        <w:rPr>
          <w:rFonts w:cs="David" w:hint="cs"/>
          <w:b/>
          <w:bCs/>
          <w:sz w:val="28"/>
          <w:szCs w:val="28"/>
          <w:rtl/>
        </w:rPr>
        <w:t>העצרת הכללית</w:t>
      </w:r>
      <w:r>
        <w:rPr>
          <w:rFonts w:cs="David" w:hint="cs"/>
          <w:sz w:val="28"/>
          <w:szCs w:val="28"/>
          <w:rtl/>
        </w:rPr>
        <w:t xml:space="preserve"> </w:t>
      </w:r>
      <w:r>
        <w:rPr>
          <w:rFonts w:cs="David"/>
          <w:sz w:val="28"/>
          <w:szCs w:val="28"/>
          <w:rtl/>
        </w:rPr>
        <w:t>–</w:t>
      </w:r>
      <w:r>
        <w:rPr>
          <w:rFonts w:cs="David" w:hint="cs"/>
          <w:sz w:val="28"/>
          <w:szCs w:val="28"/>
          <w:rtl/>
        </w:rPr>
        <w:t xml:space="preserve"> החלטותיה (למעט החלטות תקציב ועניינים פנימיים) אינן מחייבות, אלא בגדר המלצות בלבד. סמכויותיה: לדון בכל עניין שמוגדר במגילה וגם בעניינים של איום על השלום והביטחון העולמי (כל עוד מועצת הביטחון לא דנה על כך במקביל). היא יכולה להמליץ המלצות, להצהיר הצהרות, לקבל החלטות בכל עניין שכאמור אינן מחייבות. במסגרתה פועלות וועדות, גופים וארגונים שונים שהוקמו על ידה ומדווחים לה.</w:t>
      </w:r>
    </w:p>
    <w:p w:rsidR="000918C4" w:rsidRDefault="00F57E0C" w:rsidP="00F57E0C">
      <w:pPr>
        <w:pStyle w:val="a3"/>
        <w:numPr>
          <w:ilvl w:val="0"/>
          <w:numId w:val="5"/>
        </w:numPr>
        <w:rPr>
          <w:rFonts w:cs="David" w:hint="cs"/>
          <w:sz w:val="28"/>
          <w:szCs w:val="28"/>
        </w:rPr>
      </w:pPr>
      <w:r>
        <w:rPr>
          <w:rFonts w:cs="David" w:hint="cs"/>
          <w:b/>
          <w:bCs/>
          <w:sz w:val="28"/>
          <w:szCs w:val="28"/>
          <w:rtl/>
        </w:rPr>
        <w:t>מועצ</w:t>
      </w:r>
      <w:r w:rsidR="00002322" w:rsidRPr="00F57E0C">
        <w:rPr>
          <w:rFonts w:cs="David" w:hint="cs"/>
          <w:b/>
          <w:bCs/>
          <w:sz w:val="28"/>
          <w:szCs w:val="28"/>
          <w:rtl/>
        </w:rPr>
        <w:t>ת הביטחון</w:t>
      </w:r>
      <w:r w:rsidR="00002322">
        <w:rPr>
          <w:rFonts w:cs="David" w:hint="cs"/>
          <w:sz w:val="28"/>
          <w:szCs w:val="28"/>
          <w:rtl/>
        </w:rPr>
        <w:t xml:space="preserve"> </w:t>
      </w:r>
      <w:r w:rsidR="00002322">
        <w:rPr>
          <w:rFonts w:cs="David"/>
          <w:sz w:val="28"/>
          <w:szCs w:val="28"/>
          <w:rtl/>
        </w:rPr>
        <w:t>–</w:t>
      </w:r>
      <w:r w:rsidR="00002322">
        <w:rPr>
          <w:rFonts w:cs="David" w:hint="cs"/>
          <w:sz w:val="28"/>
          <w:szCs w:val="28"/>
          <w:rtl/>
        </w:rPr>
        <w:t xml:space="preserve"> </w:t>
      </w:r>
      <w:r>
        <w:rPr>
          <w:rFonts w:cs="David" w:hint="cs"/>
          <w:sz w:val="28"/>
          <w:szCs w:val="28"/>
          <w:rtl/>
        </w:rPr>
        <w:t>התעתדה</w:t>
      </w:r>
      <w:r w:rsidR="00002322">
        <w:rPr>
          <w:rFonts w:cs="David" w:hint="cs"/>
          <w:sz w:val="28"/>
          <w:szCs w:val="28"/>
          <w:rtl/>
        </w:rPr>
        <w:t xml:space="preserve"> להיות </w:t>
      </w:r>
      <w:r w:rsidR="00002322" w:rsidRPr="00F57E0C">
        <w:rPr>
          <w:rFonts w:cs="David" w:hint="cs"/>
          <w:b/>
          <w:bCs/>
          <w:sz w:val="28"/>
          <w:szCs w:val="28"/>
          <w:rtl/>
        </w:rPr>
        <w:t>הגוף המבצע</w:t>
      </w:r>
      <w:r w:rsidR="00002322">
        <w:rPr>
          <w:rFonts w:cs="David" w:hint="cs"/>
          <w:sz w:val="28"/>
          <w:szCs w:val="28"/>
          <w:rtl/>
        </w:rPr>
        <w:t xml:space="preserve"> של העצרת הכללית</w:t>
      </w:r>
      <w:r>
        <w:rPr>
          <w:rFonts w:cs="David" w:hint="cs"/>
          <w:sz w:val="28"/>
          <w:szCs w:val="28"/>
          <w:rtl/>
        </w:rPr>
        <w:t>. הרכבה מצומצם יחסית- 5 חברות ק</w:t>
      </w:r>
      <w:r w:rsidR="00002322">
        <w:rPr>
          <w:rFonts w:cs="David" w:hint="cs"/>
          <w:sz w:val="28"/>
          <w:szCs w:val="28"/>
          <w:rtl/>
        </w:rPr>
        <w:t xml:space="preserve">בועות (ארה"ב, רוסיה, סין, צרפת, בריטניה) ו-10 משתנות שנבחרות כל שנתיים. תחומה הראשון והעיקרי הוא השמירה על השלום והביטחון העולמי, בתחום זה היא מוסמכת לפעול בשני מישורים מרכזיים: יישוב סכסוכים בדרכי שלום, ואימוץ אמצעים כופים. החלטותיה </w:t>
      </w:r>
      <w:r w:rsidR="00002322" w:rsidRPr="00F57E0C">
        <w:rPr>
          <w:rFonts w:cs="David" w:hint="cs"/>
          <w:b/>
          <w:bCs/>
          <w:sz w:val="28"/>
          <w:szCs w:val="28"/>
          <w:rtl/>
        </w:rPr>
        <w:t>מחייבות</w:t>
      </w:r>
      <w:r w:rsidR="00002322">
        <w:rPr>
          <w:rFonts w:cs="David" w:hint="cs"/>
          <w:sz w:val="28"/>
          <w:szCs w:val="28"/>
          <w:rtl/>
        </w:rPr>
        <w:t>. יש לה סמכות להתערב בסכסוך שעלול לסכן את השלום והביטחון בכל שלב שלו, ולהמליץ על עקרונות פעולה וצעדים שנדרשים</w:t>
      </w:r>
      <w:r>
        <w:rPr>
          <w:rFonts w:cs="David" w:hint="cs"/>
          <w:sz w:val="28"/>
          <w:szCs w:val="28"/>
          <w:rtl/>
        </w:rPr>
        <w:t>:</w:t>
      </w:r>
      <w:r w:rsidR="00002322">
        <w:rPr>
          <w:rFonts w:cs="David" w:hint="cs"/>
          <w:sz w:val="28"/>
          <w:szCs w:val="28"/>
          <w:rtl/>
        </w:rPr>
        <w:t xml:space="preserve"> היא יכולה להפעיל סנקציות כלכליות ודיפלומטיות, בנוסף לאמצעים המערבים שימוש בכוח ככל הנדרש. למועצת הביטחון סמכות לתת המלצות בנוגע לקבלה, השעיה או הרחקה של חברות באו"ם. </w:t>
      </w:r>
    </w:p>
    <w:p w:rsidR="00BF6921" w:rsidRDefault="00BF6921" w:rsidP="00BF6921">
      <w:pPr>
        <w:rPr>
          <w:rFonts w:cs="David" w:hint="cs"/>
          <w:sz w:val="28"/>
          <w:szCs w:val="28"/>
          <w:rtl/>
        </w:rPr>
      </w:pPr>
      <w:r w:rsidRPr="000302D3">
        <w:rPr>
          <w:rFonts w:cs="David" w:hint="cs"/>
          <w:b/>
          <w:bCs/>
          <w:sz w:val="28"/>
          <w:szCs w:val="28"/>
          <w:rtl/>
        </w:rPr>
        <w:t>אחריות מדינה</w:t>
      </w:r>
      <w:r>
        <w:rPr>
          <w:rFonts w:cs="David" w:hint="cs"/>
          <w:sz w:val="28"/>
          <w:szCs w:val="28"/>
          <w:rtl/>
        </w:rPr>
        <w:t xml:space="preserve"> </w:t>
      </w:r>
      <w:r>
        <w:rPr>
          <w:rFonts w:cs="David"/>
          <w:sz w:val="28"/>
          <w:szCs w:val="28"/>
          <w:rtl/>
        </w:rPr>
        <w:t>–</w:t>
      </w:r>
      <w:r>
        <w:rPr>
          <w:rFonts w:cs="David" w:hint="cs"/>
          <w:sz w:val="28"/>
          <w:szCs w:val="28"/>
          <w:rtl/>
        </w:rPr>
        <w:t xml:space="preserve"> כל מי שיש לו אישיות משפטית בינלאומית יישא באחריות להפרת מחויבות. </w:t>
      </w:r>
      <w:r w:rsidRPr="000302D3">
        <w:rPr>
          <w:rFonts w:cs="David" w:hint="cs"/>
          <w:sz w:val="28"/>
          <w:szCs w:val="28"/>
          <w:u w:val="single"/>
          <w:rtl/>
        </w:rPr>
        <w:t>טיוטת סעיפי ה</w:t>
      </w:r>
      <w:r w:rsidRPr="000302D3">
        <w:rPr>
          <w:rFonts w:cs="David"/>
          <w:sz w:val="28"/>
          <w:szCs w:val="28"/>
          <w:u w:val="single"/>
        </w:rPr>
        <w:t>ILC</w:t>
      </w:r>
      <w:r>
        <w:rPr>
          <w:rFonts w:cs="David" w:hint="cs"/>
          <w:sz w:val="28"/>
          <w:szCs w:val="28"/>
          <w:rtl/>
        </w:rPr>
        <w:t xml:space="preserve"> עוסקת בהפרות במשפט הבינלאומי- התקבלה בחיוב במדינות רבות ומהווה בסיס להחלטות שיפוטיות בדין הפנימי ובבית הדין הבינלאומי: לפיה</w:t>
      </w:r>
      <w:r w:rsidRPr="000302D3">
        <w:rPr>
          <w:rFonts w:cs="David" w:hint="cs"/>
          <w:b/>
          <w:bCs/>
          <w:sz w:val="28"/>
          <w:szCs w:val="28"/>
          <w:rtl/>
        </w:rPr>
        <w:t>, כל עוולה במישור הבינלאומי גוררת אחריות של אותה מדינה</w:t>
      </w:r>
      <w:r w:rsidR="00563F6D">
        <w:rPr>
          <w:rFonts w:cs="David" w:hint="cs"/>
          <w:sz w:val="28"/>
          <w:szCs w:val="28"/>
          <w:rtl/>
        </w:rPr>
        <w:t xml:space="preserve">. המהות של האחריות דומה לחבות מהסוג </w:t>
      </w:r>
      <w:r w:rsidR="00563F6D" w:rsidRPr="000302D3">
        <w:rPr>
          <w:rFonts w:cs="David" w:hint="cs"/>
          <w:b/>
          <w:bCs/>
          <w:sz w:val="28"/>
          <w:szCs w:val="28"/>
          <w:rtl/>
        </w:rPr>
        <w:t>הנזיקי</w:t>
      </w:r>
      <w:r w:rsidR="00563F6D">
        <w:rPr>
          <w:rFonts w:cs="David" w:hint="cs"/>
          <w:sz w:val="28"/>
          <w:szCs w:val="28"/>
          <w:rtl/>
        </w:rPr>
        <w:t xml:space="preserve">. על הפעולה להיות </w:t>
      </w:r>
      <w:r w:rsidR="00563F6D" w:rsidRPr="000302D3">
        <w:rPr>
          <w:rFonts w:cs="David" w:hint="cs"/>
          <w:b/>
          <w:bCs/>
          <w:sz w:val="28"/>
          <w:szCs w:val="28"/>
          <w:rtl/>
        </w:rPr>
        <w:t>מיוחסת למדינה</w:t>
      </w:r>
      <w:r w:rsidR="00563F6D">
        <w:rPr>
          <w:rFonts w:cs="David" w:hint="cs"/>
          <w:sz w:val="28"/>
          <w:szCs w:val="28"/>
          <w:rtl/>
        </w:rPr>
        <w:t xml:space="preserve"> (גם אם בוצעה ע"י סוכני המדינה או שליחיה), ומהווה </w:t>
      </w:r>
      <w:r w:rsidR="00563F6D" w:rsidRPr="000302D3">
        <w:rPr>
          <w:rFonts w:cs="David" w:hint="cs"/>
          <w:b/>
          <w:bCs/>
          <w:sz w:val="28"/>
          <w:szCs w:val="28"/>
          <w:rtl/>
        </w:rPr>
        <w:t>הפרה של חובה בינלאומית</w:t>
      </w:r>
      <w:r w:rsidR="00563F6D">
        <w:rPr>
          <w:rFonts w:cs="David" w:hint="cs"/>
          <w:sz w:val="28"/>
          <w:szCs w:val="28"/>
          <w:rtl/>
        </w:rPr>
        <w:t xml:space="preserve"> שחלה עליה. גם אם פעולה נחשבת ללגיטימית או חוקית על פי הדין הפנימי, לא יהיה בכך כדי להשפיע על אפיון הפעולה. </w:t>
      </w:r>
      <w:r w:rsidR="000302D3">
        <w:rPr>
          <w:rFonts w:cs="David" w:hint="cs"/>
          <w:sz w:val="28"/>
          <w:szCs w:val="28"/>
          <w:rtl/>
        </w:rPr>
        <w:t xml:space="preserve">עלינו לבחון האם ניתן לייחס למדינה את היסוד הנפשי של הסוכן (אחריות </w:t>
      </w:r>
      <w:r w:rsidR="000302D3" w:rsidRPr="000302D3">
        <w:rPr>
          <w:rFonts w:cs="David" w:hint="cs"/>
          <w:sz w:val="28"/>
          <w:szCs w:val="28"/>
          <w:u w:val="single"/>
          <w:rtl/>
        </w:rPr>
        <w:t>סובייקטיבית</w:t>
      </w:r>
      <w:r w:rsidR="000302D3">
        <w:rPr>
          <w:rFonts w:cs="David" w:hint="cs"/>
          <w:sz w:val="28"/>
          <w:szCs w:val="28"/>
          <w:rtl/>
        </w:rPr>
        <w:t xml:space="preserve">), אם הייתה הפרה לא צריך להוכיח אשם אלא מייחסים למדינה כל פעולה ע"פ התוצאה שלה וע"פ הגדרת הפעולה כאסורה, ע"מ להקים חבות למדינה (אחריות </w:t>
      </w:r>
      <w:r w:rsidR="000302D3" w:rsidRPr="000302D3">
        <w:rPr>
          <w:rFonts w:cs="David" w:hint="cs"/>
          <w:sz w:val="28"/>
          <w:szCs w:val="28"/>
          <w:u w:val="single"/>
          <w:rtl/>
        </w:rPr>
        <w:t>אובייקטיבית</w:t>
      </w:r>
      <w:r w:rsidR="000302D3">
        <w:rPr>
          <w:rFonts w:cs="David" w:hint="cs"/>
          <w:sz w:val="28"/>
          <w:szCs w:val="28"/>
          <w:rtl/>
        </w:rPr>
        <w:t xml:space="preserve">). </w:t>
      </w:r>
      <w:r w:rsidR="00D904F0">
        <w:rPr>
          <w:rFonts w:cs="David" w:hint="cs"/>
          <w:sz w:val="28"/>
          <w:szCs w:val="28"/>
          <w:rtl/>
        </w:rPr>
        <w:t xml:space="preserve">המוקד עליו מושתתת אחריות המדינה הוא לא באלמנט הנפשי של מבצע הפעולה עצמו, אלא במערכת היחסים שהוא מנהל או מקיים עם האישיות המשפטית (המדינה) </w:t>
      </w:r>
      <w:r w:rsidR="00D904F0">
        <w:rPr>
          <w:rFonts w:cs="David"/>
          <w:sz w:val="28"/>
          <w:szCs w:val="28"/>
          <w:rtl/>
        </w:rPr>
        <w:t>–</w:t>
      </w:r>
      <w:r w:rsidR="00D904F0" w:rsidRPr="00D904F0">
        <w:rPr>
          <w:rFonts w:cs="David" w:hint="cs"/>
          <w:b/>
          <w:bCs/>
          <w:sz w:val="28"/>
          <w:szCs w:val="28"/>
          <w:rtl/>
        </w:rPr>
        <w:t xml:space="preserve"> האם הוא פעל במסגרת תחומי אחריותו או חרג מהם</w:t>
      </w:r>
      <w:r w:rsidR="00D904F0">
        <w:rPr>
          <w:rFonts w:cs="David" w:hint="cs"/>
          <w:sz w:val="28"/>
          <w:szCs w:val="28"/>
          <w:rtl/>
        </w:rPr>
        <w:t xml:space="preserve">? </w:t>
      </w:r>
      <w:r w:rsidR="00FA4697">
        <w:rPr>
          <w:rFonts w:cs="David" w:hint="cs"/>
          <w:sz w:val="28"/>
          <w:szCs w:val="28"/>
          <w:rtl/>
        </w:rPr>
        <w:t xml:space="preserve">מבחנים של </w:t>
      </w:r>
      <w:r w:rsidR="00FA4697" w:rsidRPr="00FA4697">
        <w:rPr>
          <w:rFonts w:cs="David" w:hint="cs"/>
          <w:b/>
          <w:bCs/>
          <w:sz w:val="28"/>
          <w:szCs w:val="28"/>
          <w:rtl/>
        </w:rPr>
        <w:t>שליחות, קשר סיבתי, ובמבחן התוצאה</w:t>
      </w:r>
      <w:r w:rsidR="00FA4697">
        <w:rPr>
          <w:rFonts w:cs="David" w:hint="cs"/>
          <w:sz w:val="28"/>
          <w:szCs w:val="28"/>
          <w:rtl/>
        </w:rPr>
        <w:t xml:space="preserve">. </w:t>
      </w:r>
      <w:r w:rsidR="00157BB1">
        <w:rPr>
          <w:rFonts w:cs="David" w:hint="cs"/>
          <w:sz w:val="28"/>
          <w:szCs w:val="28"/>
          <w:rtl/>
        </w:rPr>
        <w:t xml:space="preserve">לא נקבעו שום תוצאות </w:t>
      </w:r>
      <w:r w:rsidR="00157BB1" w:rsidRPr="00157BB1">
        <w:rPr>
          <w:rFonts w:cs="David" w:hint="cs"/>
          <w:sz w:val="28"/>
          <w:szCs w:val="28"/>
          <w:u w:val="single"/>
          <w:rtl/>
        </w:rPr>
        <w:t>עונשיות</w:t>
      </w:r>
      <w:r w:rsidR="00157BB1">
        <w:rPr>
          <w:rFonts w:cs="David" w:hint="cs"/>
          <w:sz w:val="28"/>
          <w:szCs w:val="28"/>
          <w:rtl/>
        </w:rPr>
        <w:t xml:space="preserve"> מעשיות ביחס למדינות, האלמנט של פיצויים </w:t>
      </w:r>
      <w:r w:rsidR="00157BB1" w:rsidRPr="00157BB1">
        <w:rPr>
          <w:rFonts w:cs="David" w:hint="cs"/>
          <w:sz w:val="28"/>
          <w:szCs w:val="28"/>
          <w:u w:val="single"/>
          <w:rtl/>
        </w:rPr>
        <w:t>עונשיים</w:t>
      </w:r>
      <w:r w:rsidR="00157BB1">
        <w:rPr>
          <w:rFonts w:cs="David" w:hint="cs"/>
          <w:sz w:val="28"/>
          <w:szCs w:val="28"/>
          <w:rtl/>
        </w:rPr>
        <w:t xml:space="preserve"> לא התקבל בדין הבינלאומי </w:t>
      </w:r>
      <w:r w:rsidR="00157BB1">
        <w:rPr>
          <w:rFonts w:cs="David"/>
          <w:sz w:val="28"/>
          <w:szCs w:val="28"/>
          <w:rtl/>
        </w:rPr>
        <w:t>–</w:t>
      </w:r>
      <w:r w:rsidR="00157BB1">
        <w:rPr>
          <w:rFonts w:cs="David" w:hint="cs"/>
          <w:sz w:val="28"/>
          <w:szCs w:val="28"/>
          <w:rtl/>
        </w:rPr>
        <w:t xml:space="preserve"> מטרת הפיצוי בגין הפרת חובה היא פיצוי בגין נזקים והשבת המצב לקדמותו. </w:t>
      </w:r>
    </w:p>
    <w:p w:rsidR="00E955E5" w:rsidRDefault="00E955E5" w:rsidP="00BF6921">
      <w:pPr>
        <w:rPr>
          <w:rFonts w:cs="David" w:hint="cs"/>
          <w:sz w:val="28"/>
          <w:szCs w:val="28"/>
          <w:rtl/>
        </w:rPr>
      </w:pPr>
      <w:r w:rsidRPr="00D75046">
        <w:rPr>
          <w:rFonts w:cs="David" w:hint="cs"/>
          <w:b/>
          <w:bCs/>
          <w:sz w:val="28"/>
          <w:szCs w:val="28"/>
          <w:rtl/>
        </w:rPr>
        <w:t>פעולות גמול</w:t>
      </w:r>
      <w:r>
        <w:rPr>
          <w:rFonts w:cs="David" w:hint="cs"/>
          <w:sz w:val="28"/>
          <w:szCs w:val="28"/>
          <w:rtl/>
        </w:rPr>
        <w:t xml:space="preserve"> </w:t>
      </w:r>
      <w:r>
        <w:rPr>
          <w:rFonts w:cs="David"/>
          <w:sz w:val="28"/>
          <w:szCs w:val="28"/>
          <w:rtl/>
        </w:rPr>
        <w:t>–</w:t>
      </w:r>
      <w:r>
        <w:rPr>
          <w:rFonts w:cs="David" w:hint="cs"/>
          <w:sz w:val="28"/>
          <w:szCs w:val="28"/>
          <w:rtl/>
        </w:rPr>
        <w:t xml:space="preserve"> כשמדינה הפרה חובה כלפי מדינה אחרת, המדינה הנפגעת יכלה לנקוט באמצעים כוחניים (או לא) כדי לפצות על הפגיעה ו"להעניש" אותה. </w:t>
      </w:r>
      <w:r w:rsidRPr="0000443C">
        <w:rPr>
          <w:rFonts w:cs="David" w:hint="cs"/>
          <w:sz w:val="28"/>
          <w:szCs w:val="28"/>
          <w:u w:val="single"/>
          <w:rtl/>
        </w:rPr>
        <w:t>מאז</w:t>
      </w:r>
      <w:r>
        <w:rPr>
          <w:rFonts w:cs="David" w:hint="cs"/>
          <w:sz w:val="28"/>
          <w:szCs w:val="28"/>
          <w:rtl/>
        </w:rPr>
        <w:t xml:space="preserve"> נחקק הסעיף במגילת האו"ם האוסר על שימוש בכוח, ועוגנה מערכת אכיפה קולקטיבית. בידי המדינה נשארו רק האמצעים הבלתי כוחניים, וגם ההיקף של הפעולות הבלתי </w:t>
      </w:r>
      <w:r>
        <w:rPr>
          <w:rFonts w:cs="David"/>
          <w:sz w:val="28"/>
          <w:szCs w:val="28"/>
          <w:rtl/>
        </w:rPr>
        <w:t>–</w:t>
      </w:r>
      <w:r>
        <w:rPr>
          <w:rFonts w:cs="David" w:hint="cs"/>
          <w:sz w:val="28"/>
          <w:szCs w:val="28"/>
          <w:rtl/>
        </w:rPr>
        <w:t xml:space="preserve">חמושות נותר בלתי בהיר. מדינה שנפגעת יכולה לעמוד על זכויותיה באמצעות שינוי מערך היחסים המשפטיים עם המדינה שהזיקה לה, </w:t>
      </w:r>
      <w:r>
        <w:rPr>
          <w:rFonts w:cs="David" w:hint="cs"/>
          <w:sz w:val="28"/>
          <w:szCs w:val="28"/>
          <w:rtl/>
        </w:rPr>
        <w:lastRenderedPageBreak/>
        <w:t>ובתנאי שהפעולה שאותה מדינה נקטה נגדה, היא כשלעצמה מהווה פעולה בלתי חוקית</w:t>
      </w:r>
      <w:r w:rsidR="0000443C">
        <w:rPr>
          <w:rFonts w:cs="David" w:hint="cs"/>
          <w:sz w:val="28"/>
          <w:szCs w:val="28"/>
          <w:rtl/>
        </w:rPr>
        <w:t>, יש כאן "הכשרה" של פעולה בלתי חוקית עקב כך</w:t>
      </w:r>
      <w:r>
        <w:rPr>
          <w:rFonts w:cs="David" w:hint="cs"/>
          <w:sz w:val="28"/>
          <w:szCs w:val="28"/>
          <w:rtl/>
        </w:rPr>
        <w:t>.</w:t>
      </w:r>
      <w:r w:rsidR="0000443C">
        <w:rPr>
          <w:rFonts w:cs="David" w:hint="cs"/>
          <w:sz w:val="28"/>
          <w:szCs w:val="28"/>
          <w:rtl/>
        </w:rPr>
        <w:t xml:space="preserve"> </w:t>
      </w:r>
      <w:r w:rsidR="0000443C" w:rsidRPr="00ED692B">
        <w:rPr>
          <w:rFonts w:cs="David" w:hint="cs"/>
          <w:b/>
          <w:bCs/>
          <w:sz w:val="28"/>
          <w:szCs w:val="28"/>
          <w:rtl/>
        </w:rPr>
        <w:t>פעולות גמול הן זמניות</w:t>
      </w:r>
      <w:r w:rsidR="0000443C">
        <w:rPr>
          <w:rFonts w:cs="David" w:hint="cs"/>
          <w:sz w:val="28"/>
          <w:szCs w:val="28"/>
          <w:rtl/>
        </w:rPr>
        <w:t xml:space="preserve"> והמטרה שלהן היא השגת יעד מוגדר, וקיימת להן דרישה של חיוניות ומידתיות. צעדי גמול יכולים להינקט רק ע"י המדינה שנפגעה ישירות, מטרתם אינה עונשית או הרתעתית אלא</w:t>
      </w:r>
      <w:r w:rsidR="0000443C" w:rsidRPr="00ED692B">
        <w:rPr>
          <w:rFonts w:cs="David" w:hint="cs"/>
          <w:b/>
          <w:bCs/>
          <w:sz w:val="28"/>
          <w:szCs w:val="28"/>
          <w:rtl/>
        </w:rPr>
        <w:t xml:space="preserve"> אך ורק </w:t>
      </w:r>
      <w:r w:rsidR="0000443C">
        <w:rPr>
          <w:rFonts w:cs="David" w:hint="cs"/>
          <w:sz w:val="28"/>
          <w:szCs w:val="28"/>
          <w:rtl/>
        </w:rPr>
        <w:t xml:space="preserve">כדי להביא את המדינה לעמוד במחויבותה. </w:t>
      </w:r>
      <w:r>
        <w:rPr>
          <w:rFonts w:cs="David" w:hint="cs"/>
          <w:sz w:val="28"/>
          <w:szCs w:val="28"/>
          <w:rtl/>
        </w:rPr>
        <w:t xml:space="preserve"> </w:t>
      </w:r>
    </w:p>
    <w:p w:rsidR="00A0004F" w:rsidRPr="00A0004F" w:rsidRDefault="00ED692B" w:rsidP="00A0004F">
      <w:pPr>
        <w:rPr>
          <w:rFonts w:cs="David" w:hint="cs"/>
          <w:sz w:val="28"/>
          <w:szCs w:val="28"/>
          <w:rtl/>
        </w:rPr>
      </w:pPr>
      <w:r w:rsidRPr="00ED692B">
        <w:rPr>
          <w:rFonts w:cs="David" w:hint="cs"/>
          <w:b/>
          <w:bCs/>
          <w:sz w:val="28"/>
          <w:szCs w:val="28"/>
          <w:rtl/>
        </w:rPr>
        <w:t>משפט  פלילי בינלאומי</w:t>
      </w:r>
      <w:r>
        <w:rPr>
          <w:rFonts w:cs="David" w:hint="cs"/>
          <w:sz w:val="28"/>
          <w:szCs w:val="28"/>
          <w:rtl/>
        </w:rPr>
        <w:t xml:space="preserve"> </w:t>
      </w:r>
      <w:r>
        <w:rPr>
          <w:rFonts w:cs="David"/>
          <w:sz w:val="28"/>
          <w:szCs w:val="28"/>
          <w:rtl/>
        </w:rPr>
        <w:t>–</w:t>
      </w:r>
      <w:r>
        <w:rPr>
          <w:rFonts w:cs="David" w:hint="cs"/>
          <w:sz w:val="28"/>
          <w:szCs w:val="28"/>
          <w:rtl/>
        </w:rPr>
        <w:t xml:space="preserve"> </w:t>
      </w:r>
      <w:r w:rsidR="00A0004F" w:rsidRPr="00A0004F">
        <w:rPr>
          <w:rFonts w:cs="David" w:hint="cs"/>
          <w:sz w:val="28"/>
          <w:szCs w:val="28"/>
          <w:rtl/>
        </w:rPr>
        <w:t xml:space="preserve">אדם שביצע עבירה שמוגדרת כפשע במישור הבינלאומי </w:t>
      </w:r>
      <w:r w:rsidR="00A0004F" w:rsidRPr="00A0004F">
        <w:rPr>
          <w:rFonts w:cs="David" w:hint="cs"/>
          <w:b/>
          <w:bCs/>
          <w:sz w:val="28"/>
          <w:szCs w:val="28"/>
          <w:rtl/>
        </w:rPr>
        <w:t>חב חבות אישית</w:t>
      </w:r>
      <w:r w:rsidR="00A0004F" w:rsidRPr="00A0004F">
        <w:rPr>
          <w:rFonts w:cs="David" w:hint="cs"/>
          <w:sz w:val="28"/>
          <w:szCs w:val="28"/>
          <w:rtl/>
        </w:rPr>
        <w:t xml:space="preserve"> הגוררת עונש. </w:t>
      </w:r>
      <w:r w:rsidR="00A0004F" w:rsidRPr="00A0004F">
        <w:rPr>
          <w:rFonts w:cs="David" w:hint="cs"/>
          <w:b/>
          <w:bCs/>
          <w:sz w:val="28"/>
          <w:szCs w:val="28"/>
          <w:rtl/>
        </w:rPr>
        <w:t>אין</w:t>
      </w:r>
      <w:r w:rsidR="00A0004F" w:rsidRPr="00A0004F">
        <w:rPr>
          <w:rFonts w:cs="David" w:hint="cs"/>
          <w:sz w:val="28"/>
          <w:szCs w:val="28"/>
          <w:rtl/>
        </w:rPr>
        <w:t xml:space="preserve"> בעובדה שהדין הפנימי אינו גוזר ענישה, כדי לפטור את העבריין מאחריות. העובדה שהעבריין פעל כראש מדינה או כפקיד ממשלתי </w:t>
      </w:r>
      <w:r w:rsidR="00A0004F" w:rsidRPr="00A0004F">
        <w:rPr>
          <w:rFonts w:cs="David" w:hint="cs"/>
          <w:b/>
          <w:bCs/>
          <w:sz w:val="28"/>
          <w:szCs w:val="28"/>
          <w:rtl/>
        </w:rPr>
        <w:t>אינה משחררת</w:t>
      </w:r>
      <w:r w:rsidR="00A0004F" w:rsidRPr="00A0004F">
        <w:rPr>
          <w:rFonts w:cs="David" w:hint="cs"/>
          <w:sz w:val="28"/>
          <w:szCs w:val="28"/>
          <w:rtl/>
        </w:rPr>
        <w:t xml:space="preserve"> מחבות פלילית, או אם פעל ע"פ הוראות ממשלתו או הממונים עליו- לאדם יש יכולת בחירה מוסרית. כל מואשם זכאי למשפט הוגן.</w:t>
      </w:r>
      <w:r w:rsidR="00025574">
        <w:rPr>
          <w:rFonts w:cs="David" w:hint="cs"/>
          <w:sz w:val="28"/>
          <w:szCs w:val="28"/>
          <w:rtl/>
        </w:rPr>
        <w:t xml:space="preserve"> סיוע בביצוע עבירה הן עצמן פשע בינלאומי. אסור למדינות להעניק מקלט מדיני לפושעים חמורים. </w:t>
      </w:r>
    </w:p>
    <w:p w:rsidR="00ED692B" w:rsidRDefault="00ED692B" w:rsidP="00BF6921">
      <w:pPr>
        <w:rPr>
          <w:rFonts w:cs="David" w:hint="cs"/>
          <w:sz w:val="28"/>
          <w:szCs w:val="28"/>
          <w:rtl/>
        </w:rPr>
      </w:pPr>
      <w:r>
        <w:rPr>
          <w:rFonts w:cs="David" w:hint="cs"/>
          <w:sz w:val="28"/>
          <w:szCs w:val="28"/>
          <w:rtl/>
        </w:rPr>
        <w:t xml:space="preserve">בבואנו לשפוט אדם בדין הפלילי אנו עושים זאת על בסיס כמה זיקות: </w:t>
      </w:r>
    </w:p>
    <w:p w:rsidR="00ED692B" w:rsidRDefault="00ED692B" w:rsidP="00ED692B">
      <w:pPr>
        <w:pStyle w:val="a3"/>
        <w:numPr>
          <w:ilvl w:val="0"/>
          <w:numId w:val="6"/>
        </w:numPr>
        <w:rPr>
          <w:rFonts w:cs="David" w:hint="cs"/>
          <w:sz w:val="28"/>
          <w:szCs w:val="28"/>
        </w:rPr>
      </w:pPr>
      <w:r w:rsidRPr="00B96DB7">
        <w:rPr>
          <w:rFonts w:cs="David" w:hint="cs"/>
          <w:b/>
          <w:bCs/>
          <w:sz w:val="28"/>
          <w:szCs w:val="28"/>
          <w:rtl/>
        </w:rPr>
        <w:t>טריטוריאלית</w:t>
      </w:r>
      <w:r>
        <w:rPr>
          <w:rFonts w:cs="David" w:hint="cs"/>
          <w:sz w:val="28"/>
          <w:szCs w:val="28"/>
          <w:rtl/>
        </w:rPr>
        <w:t xml:space="preserve"> </w:t>
      </w:r>
      <w:r>
        <w:rPr>
          <w:rFonts w:cs="David"/>
          <w:sz w:val="28"/>
          <w:szCs w:val="28"/>
          <w:rtl/>
        </w:rPr>
        <w:t>–</w:t>
      </w:r>
      <w:r>
        <w:rPr>
          <w:rFonts w:cs="David" w:hint="cs"/>
          <w:sz w:val="28"/>
          <w:szCs w:val="28"/>
          <w:rtl/>
        </w:rPr>
        <w:t xml:space="preserve"> מקום ביצוע העבירה</w:t>
      </w:r>
    </w:p>
    <w:p w:rsidR="00ED692B" w:rsidRDefault="00ED692B" w:rsidP="00ED692B">
      <w:pPr>
        <w:pStyle w:val="a3"/>
        <w:numPr>
          <w:ilvl w:val="0"/>
          <w:numId w:val="6"/>
        </w:numPr>
        <w:rPr>
          <w:rFonts w:cs="David" w:hint="cs"/>
          <w:sz w:val="28"/>
          <w:szCs w:val="28"/>
        </w:rPr>
      </w:pPr>
      <w:r w:rsidRPr="00B96DB7">
        <w:rPr>
          <w:rFonts w:cs="David" w:hint="cs"/>
          <w:b/>
          <w:bCs/>
          <w:sz w:val="28"/>
          <w:szCs w:val="28"/>
          <w:rtl/>
        </w:rPr>
        <w:t>אזרחות</w:t>
      </w:r>
      <w:r>
        <w:rPr>
          <w:rFonts w:cs="David" w:hint="cs"/>
          <w:sz w:val="28"/>
          <w:szCs w:val="28"/>
          <w:rtl/>
        </w:rPr>
        <w:t xml:space="preserve"> </w:t>
      </w:r>
      <w:r>
        <w:rPr>
          <w:rFonts w:cs="David"/>
          <w:sz w:val="28"/>
          <w:szCs w:val="28"/>
          <w:rtl/>
        </w:rPr>
        <w:t>–</w:t>
      </w:r>
      <w:r>
        <w:rPr>
          <w:rFonts w:cs="David" w:hint="cs"/>
          <w:sz w:val="28"/>
          <w:szCs w:val="28"/>
          <w:rtl/>
        </w:rPr>
        <w:t xml:space="preserve"> תחולה פרסונלית </w:t>
      </w:r>
      <w:r>
        <w:rPr>
          <w:rFonts w:cs="David"/>
          <w:sz w:val="28"/>
          <w:szCs w:val="28"/>
          <w:rtl/>
        </w:rPr>
        <w:t>–</w:t>
      </w:r>
      <w:r>
        <w:rPr>
          <w:rFonts w:cs="David" w:hint="cs"/>
          <w:sz w:val="28"/>
          <w:szCs w:val="28"/>
          <w:rtl/>
        </w:rPr>
        <w:t>אקטיבית, זיקה בגין אזרחות או תושבות</w:t>
      </w:r>
    </w:p>
    <w:p w:rsidR="00ED692B" w:rsidRDefault="00ED692B" w:rsidP="00ED692B">
      <w:pPr>
        <w:pStyle w:val="a3"/>
        <w:numPr>
          <w:ilvl w:val="0"/>
          <w:numId w:val="6"/>
        </w:numPr>
        <w:rPr>
          <w:rFonts w:cs="David" w:hint="cs"/>
          <w:sz w:val="28"/>
          <w:szCs w:val="28"/>
        </w:rPr>
      </w:pPr>
      <w:r w:rsidRPr="00B96DB7">
        <w:rPr>
          <w:rFonts w:cs="David" w:hint="cs"/>
          <w:b/>
          <w:bCs/>
          <w:sz w:val="28"/>
          <w:szCs w:val="28"/>
          <w:rtl/>
        </w:rPr>
        <w:t>אזרחות הקורבן</w:t>
      </w:r>
      <w:r>
        <w:rPr>
          <w:rFonts w:cs="David" w:hint="cs"/>
          <w:sz w:val="28"/>
          <w:szCs w:val="28"/>
          <w:rtl/>
        </w:rPr>
        <w:t xml:space="preserve"> </w:t>
      </w:r>
      <w:r>
        <w:rPr>
          <w:rFonts w:cs="David"/>
          <w:sz w:val="28"/>
          <w:szCs w:val="28"/>
          <w:rtl/>
        </w:rPr>
        <w:t>–</w:t>
      </w:r>
      <w:r>
        <w:rPr>
          <w:rFonts w:cs="David" w:hint="cs"/>
          <w:sz w:val="28"/>
          <w:szCs w:val="28"/>
          <w:rtl/>
        </w:rPr>
        <w:t xml:space="preserve"> תחולה פרסונלית פסיבית</w:t>
      </w:r>
    </w:p>
    <w:p w:rsidR="00ED692B" w:rsidRDefault="00ED692B" w:rsidP="00ED692B">
      <w:pPr>
        <w:pStyle w:val="a3"/>
        <w:numPr>
          <w:ilvl w:val="0"/>
          <w:numId w:val="6"/>
        </w:numPr>
        <w:rPr>
          <w:rFonts w:cs="David" w:hint="cs"/>
          <w:sz w:val="28"/>
          <w:szCs w:val="28"/>
        </w:rPr>
      </w:pPr>
      <w:r w:rsidRPr="00B96DB7">
        <w:rPr>
          <w:rFonts w:cs="David" w:hint="cs"/>
          <w:b/>
          <w:bCs/>
          <w:sz w:val="28"/>
          <w:szCs w:val="28"/>
          <w:rtl/>
        </w:rPr>
        <w:t>עקרון התחולה הפרוטקטיבית</w:t>
      </w:r>
      <w:r>
        <w:rPr>
          <w:rFonts w:cs="David" w:hint="cs"/>
          <w:sz w:val="28"/>
          <w:szCs w:val="28"/>
          <w:rtl/>
        </w:rPr>
        <w:t xml:space="preserve"> </w:t>
      </w:r>
      <w:r>
        <w:rPr>
          <w:rFonts w:cs="David"/>
          <w:sz w:val="28"/>
          <w:szCs w:val="28"/>
          <w:rtl/>
        </w:rPr>
        <w:t>–</w:t>
      </w:r>
      <w:r>
        <w:rPr>
          <w:rFonts w:cs="David" w:hint="cs"/>
          <w:sz w:val="28"/>
          <w:szCs w:val="28"/>
          <w:rtl/>
        </w:rPr>
        <w:t xml:space="preserve"> מצב בו מדינה מפעילה סמכות שיפוט עקב פגיעה באינטרסים שלה</w:t>
      </w:r>
    </w:p>
    <w:p w:rsidR="000C1564" w:rsidRDefault="003E7ED0" w:rsidP="003E7ED0">
      <w:pPr>
        <w:rPr>
          <w:rFonts w:cs="David" w:hint="cs"/>
          <w:sz w:val="28"/>
          <w:szCs w:val="28"/>
          <w:u w:val="single"/>
          <w:rtl/>
        </w:rPr>
      </w:pPr>
      <w:r w:rsidRPr="003E7ED0">
        <w:rPr>
          <w:rFonts w:cs="David" w:hint="cs"/>
          <w:b/>
          <w:bCs/>
          <w:sz w:val="28"/>
          <w:szCs w:val="28"/>
          <w:rtl/>
        </w:rPr>
        <w:t xml:space="preserve">הגישות ליצירת סמכות שיפוט פלילית </w:t>
      </w:r>
      <w:r w:rsidRPr="00A0004F">
        <w:rPr>
          <w:rFonts w:cs="David" w:hint="cs"/>
          <w:b/>
          <w:bCs/>
          <w:sz w:val="28"/>
          <w:szCs w:val="28"/>
          <w:u w:val="single"/>
          <w:rtl/>
        </w:rPr>
        <w:t>בינלאומית</w:t>
      </w:r>
      <w:r>
        <w:rPr>
          <w:rFonts w:cs="David" w:hint="cs"/>
          <w:sz w:val="28"/>
          <w:szCs w:val="28"/>
          <w:rtl/>
        </w:rPr>
        <w:t xml:space="preserve">: נחתמת אמנה בין מדינות המעניקה סמכות שיפוט על פשעים מסוימים בשטחן (גישה </w:t>
      </w:r>
      <w:r w:rsidRPr="003E7ED0">
        <w:rPr>
          <w:rFonts w:cs="David" w:hint="cs"/>
          <w:sz w:val="28"/>
          <w:szCs w:val="28"/>
          <w:u w:val="single"/>
          <w:rtl/>
        </w:rPr>
        <w:t>מקלה</w:t>
      </w:r>
      <w:r>
        <w:rPr>
          <w:rFonts w:cs="David" w:hint="cs"/>
          <w:sz w:val="28"/>
          <w:szCs w:val="28"/>
          <w:rtl/>
        </w:rPr>
        <w:t xml:space="preserve">), זכות חיובית להעמיד לדין כל אדם אשר מבצע פשעים כבדים ביותר, זכות מוחלטת (גישה </w:t>
      </w:r>
      <w:r w:rsidRPr="003E7ED0">
        <w:rPr>
          <w:rFonts w:cs="David" w:hint="cs"/>
          <w:sz w:val="28"/>
          <w:szCs w:val="28"/>
          <w:u w:val="single"/>
          <w:rtl/>
        </w:rPr>
        <w:t>קיצונית</w:t>
      </w:r>
      <w:r>
        <w:rPr>
          <w:rFonts w:cs="David" w:hint="cs"/>
          <w:sz w:val="28"/>
          <w:szCs w:val="28"/>
          <w:rtl/>
        </w:rPr>
        <w:t xml:space="preserve">), סמכות שיפוט שיורית </w:t>
      </w:r>
      <w:r>
        <w:rPr>
          <w:rFonts w:cs="David"/>
          <w:sz w:val="28"/>
          <w:szCs w:val="28"/>
          <w:rtl/>
        </w:rPr>
        <w:t>–</w:t>
      </w:r>
      <w:r>
        <w:rPr>
          <w:rFonts w:cs="David" w:hint="cs"/>
          <w:sz w:val="28"/>
          <w:szCs w:val="28"/>
          <w:rtl/>
        </w:rPr>
        <w:t xml:space="preserve"> זכות שאינה חובה ומדינה יכולה לבחור אם להפעילה או לא (גישת </w:t>
      </w:r>
      <w:r w:rsidRPr="003E7ED0">
        <w:rPr>
          <w:rFonts w:cs="David" w:hint="cs"/>
          <w:sz w:val="28"/>
          <w:szCs w:val="28"/>
          <w:u w:val="single"/>
          <w:rtl/>
        </w:rPr>
        <w:t>ביניים</w:t>
      </w:r>
      <w:r>
        <w:rPr>
          <w:rFonts w:cs="David" w:hint="cs"/>
          <w:sz w:val="28"/>
          <w:szCs w:val="28"/>
          <w:rtl/>
        </w:rPr>
        <w:t xml:space="preserve">). </w:t>
      </w:r>
    </w:p>
    <w:p w:rsidR="003E7ED0" w:rsidRDefault="003E7ED0" w:rsidP="00ED491B">
      <w:pPr>
        <w:rPr>
          <w:rFonts w:cs="David" w:hint="cs"/>
          <w:sz w:val="28"/>
          <w:szCs w:val="28"/>
          <w:rtl/>
        </w:rPr>
      </w:pPr>
      <w:r w:rsidRPr="003E7ED0">
        <w:rPr>
          <w:rFonts w:cs="David" w:hint="cs"/>
          <w:sz w:val="28"/>
          <w:szCs w:val="28"/>
          <w:u w:val="single"/>
          <w:rtl/>
        </w:rPr>
        <w:t>חוקת נירנברג</w:t>
      </w:r>
      <w:r>
        <w:rPr>
          <w:rFonts w:cs="David" w:hint="cs"/>
          <w:sz w:val="28"/>
          <w:szCs w:val="28"/>
          <w:rtl/>
        </w:rPr>
        <w:t xml:space="preserve"> נחקקה</w:t>
      </w:r>
      <w:r w:rsidR="000C1564">
        <w:rPr>
          <w:rFonts w:cs="David" w:hint="cs"/>
          <w:sz w:val="28"/>
          <w:szCs w:val="28"/>
          <w:rtl/>
        </w:rPr>
        <w:t xml:space="preserve"> בעקבות </w:t>
      </w:r>
      <w:r w:rsidR="000C1564" w:rsidRPr="000C1564">
        <w:rPr>
          <w:rFonts w:cs="David" w:hint="cs"/>
          <w:sz w:val="28"/>
          <w:szCs w:val="28"/>
          <w:u w:val="single"/>
          <w:rtl/>
        </w:rPr>
        <w:t>הסכם לונדון</w:t>
      </w:r>
      <w:r w:rsidR="000C1564">
        <w:rPr>
          <w:rFonts w:cs="David" w:hint="cs"/>
          <w:sz w:val="28"/>
          <w:szCs w:val="28"/>
          <w:rtl/>
        </w:rPr>
        <w:t>,</w:t>
      </w:r>
      <w:r>
        <w:rPr>
          <w:rFonts w:cs="David" w:hint="cs"/>
          <w:sz w:val="28"/>
          <w:szCs w:val="28"/>
          <w:rtl/>
        </w:rPr>
        <w:t xml:space="preserve"> עקב ביסוס התודעה שיחידים חבים בחבות פלילית ישירה מכוח הדין הבינלאומי</w:t>
      </w:r>
      <w:r w:rsidR="00ED491B">
        <w:rPr>
          <w:rFonts w:cs="David" w:hint="cs"/>
          <w:sz w:val="28"/>
          <w:szCs w:val="28"/>
          <w:rtl/>
        </w:rPr>
        <w:t>, בעקבותיו הוקם טריבונל שסמכותו תחול על פשעים שלא ניתן לייחס להם מיקום גיאוגרפי ברור, שהם: פשעים כנגד השלום (תוקפנות), פשעי מלחמה, פשעים כנגד האנושות</w:t>
      </w:r>
      <w:r>
        <w:rPr>
          <w:rFonts w:cs="David" w:hint="cs"/>
          <w:sz w:val="28"/>
          <w:szCs w:val="28"/>
          <w:rtl/>
        </w:rPr>
        <w:t>.</w:t>
      </w:r>
      <w:r w:rsidR="00025574">
        <w:rPr>
          <w:rFonts w:cs="David" w:hint="cs"/>
          <w:sz w:val="28"/>
          <w:szCs w:val="28"/>
          <w:rtl/>
        </w:rPr>
        <w:t xml:space="preserve"> סמכותו לשפוט גם בהיעדר נאשם. אין התיישנות ביחס לפשעים אלו. </w:t>
      </w:r>
    </w:p>
    <w:p w:rsidR="00B549F2" w:rsidRDefault="00D42B00" w:rsidP="00ED491B">
      <w:pPr>
        <w:rPr>
          <w:rFonts w:cs="David" w:hint="cs"/>
          <w:sz w:val="28"/>
          <w:szCs w:val="28"/>
          <w:rtl/>
        </w:rPr>
      </w:pPr>
      <w:r w:rsidRPr="00D42B00">
        <w:rPr>
          <w:rFonts w:cs="David" w:hint="cs"/>
          <w:b/>
          <w:bCs/>
          <w:sz w:val="28"/>
          <w:szCs w:val="28"/>
          <w:rtl/>
        </w:rPr>
        <w:t>בית הדין הפלילי הבינלאומי</w:t>
      </w:r>
      <w:r>
        <w:rPr>
          <w:rFonts w:cs="David" w:hint="cs"/>
          <w:sz w:val="28"/>
          <w:szCs w:val="28"/>
          <w:rtl/>
        </w:rPr>
        <w:t xml:space="preserve"> </w:t>
      </w:r>
      <w:r>
        <w:rPr>
          <w:rFonts w:cs="David"/>
          <w:sz w:val="28"/>
          <w:szCs w:val="28"/>
          <w:rtl/>
        </w:rPr>
        <w:t>–</w:t>
      </w:r>
      <w:r>
        <w:rPr>
          <w:rFonts w:cs="David" w:hint="cs"/>
          <w:sz w:val="28"/>
          <w:szCs w:val="28"/>
          <w:rtl/>
        </w:rPr>
        <w:t xml:space="preserve"> נוצר מכוח אמנה להעמדה לדין של פושעים בינלאומיים. סמכותו מצומצמת: המדינות החתומות עליו הן אלו שמעניקות לו סמכות שיפוט, הוא ישפוט רק כאשר בית הדין האזורי לא שופט, ואין לו סמכות בנוגע לפשעים עובר לאמנה. ברגע שמדינה היא צד לחוקה היא חייבת לשתף פעולה עם בית הדין. מדינה חברה מוותרת על חסינותה, ויכולה לעמוד לשיפוט. סמכות בית הדין תחול על אירועים שקרו בטריטוריה של מדינה החברה באמנה, כמו גם על מדינות שמצהירות כי מקבלות זמנית את סמכותו, ללא קשר לאזרחות האדם. פתיחת הליך בבית הדין: המרצה ע"י מדינה חברה, המרצה ע"י מועצת הביטחון (גם ביחס למדינה שאינה חברה באמנה, מועצת הביטחון גם יכולה להורות לבית הדין להימנע מהפעלת סמכות אם היא רואה לנכון), פתיחה בהליכים ביוזמת התובע עצמו. לא ניתן להגיש תביעה ולמשוך אותה.</w:t>
      </w:r>
    </w:p>
    <w:p w:rsidR="00A62595" w:rsidRDefault="00B96DB7" w:rsidP="00A62595">
      <w:pPr>
        <w:rPr>
          <w:rFonts w:cs="David" w:hint="cs"/>
          <w:sz w:val="28"/>
          <w:szCs w:val="28"/>
          <w:rtl/>
        </w:rPr>
      </w:pPr>
      <w:r w:rsidRPr="00B96DB7">
        <w:rPr>
          <w:rFonts w:cs="David" w:hint="cs"/>
          <w:b/>
          <w:bCs/>
          <w:sz w:val="28"/>
          <w:szCs w:val="28"/>
          <w:highlight w:val="magenta"/>
          <w:rtl/>
        </w:rPr>
        <w:lastRenderedPageBreak/>
        <w:t>מלחמת האזרחים בצ'ילה וארגנטינה</w:t>
      </w:r>
      <w:r>
        <w:rPr>
          <w:rFonts w:cs="David" w:hint="cs"/>
          <w:sz w:val="28"/>
          <w:szCs w:val="28"/>
          <w:rtl/>
        </w:rPr>
        <w:t xml:space="preserve"> </w:t>
      </w:r>
      <w:r>
        <w:rPr>
          <w:rFonts w:cs="David"/>
          <w:sz w:val="28"/>
          <w:szCs w:val="28"/>
          <w:rtl/>
        </w:rPr>
        <w:t>–</w:t>
      </w:r>
      <w:r>
        <w:rPr>
          <w:rFonts w:cs="David" w:hint="cs"/>
          <w:sz w:val="28"/>
          <w:szCs w:val="28"/>
          <w:rtl/>
        </w:rPr>
        <w:t xml:space="preserve"> נעצר רודן צ'ילה בביקורו בבריטניה, ומובא לערכאה ספרדית לשיפוט פלילי עקב פשעים בינלאומיים חמורים. בביהמ"ש בספרד אישר שמדובר בפשעים נגד האנושות והוא הורשע בספרד, ללא זיקה למדינה בה בוצע הפשע.</w:t>
      </w:r>
    </w:p>
    <w:p w:rsidR="00B96DB7" w:rsidRDefault="00B96DB7" w:rsidP="001E712E">
      <w:pPr>
        <w:rPr>
          <w:rFonts w:cs="David" w:hint="cs"/>
          <w:sz w:val="28"/>
          <w:szCs w:val="28"/>
          <w:rtl/>
        </w:rPr>
      </w:pPr>
      <w:r w:rsidRPr="00B96DB7">
        <w:rPr>
          <w:rFonts w:cs="David" w:hint="cs"/>
          <w:b/>
          <w:bCs/>
          <w:sz w:val="28"/>
          <w:szCs w:val="28"/>
          <w:highlight w:val="magenta"/>
          <w:rtl/>
        </w:rPr>
        <w:t>פשעי השלטון בגוואטמלה</w:t>
      </w:r>
      <w:r>
        <w:rPr>
          <w:rFonts w:cs="David" w:hint="cs"/>
          <w:sz w:val="28"/>
          <w:szCs w:val="28"/>
          <w:rtl/>
        </w:rPr>
        <w:t xml:space="preserve"> </w:t>
      </w:r>
      <w:r w:rsidR="001E712E">
        <w:rPr>
          <w:rFonts w:cs="David"/>
          <w:sz w:val="28"/>
          <w:szCs w:val="28"/>
          <w:rtl/>
        </w:rPr>
        <w:t>–</w:t>
      </w:r>
      <w:r>
        <w:rPr>
          <w:rFonts w:cs="David" w:hint="cs"/>
          <w:sz w:val="28"/>
          <w:szCs w:val="28"/>
          <w:rtl/>
        </w:rPr>
        <w:t xml:space="preserve"> </w:t>
      </w:r>
      <w:r w:rsidR="001E712E">
        <w:rPr>
          <w:rFonts w:cs="David" w:hint="cs"/>
          <w:sz w:val="28"/>
          <w:szCs w:val="28"/>
          <w:rtl/>
        </w:rPr>
        <w:t xml:space="preserve">בית המשפט הספרדי קבע מפורשות שסמכות השיפוט לא דורשת זיקה למדינת השיפוט אלא שהנאשם לא הורשע או נמצא זכאי במדינה אחרת, היינו עניינים פרוצדורליים פליליים, </w:t>
      </w:r>
      <w:r w:rsidR="001E712E" w:rsidRPr="001E712E">
        <w:rPr>
          <w:rFonts w:cs="David" w:hint="cs"/>
          <w:b/>
          <w:bCs/>
          <w:sz w:val="28"/>
          <w:szCs w:val="28"/>
          <w:rtl/>
        </w:rPr>
        <w:t>חומרת המעשה משליכה על הקהילה הבינלאומית כולה</w:t>
      </w:r>
      <w:r w:rsidR="001E712E">
        <w:rPr>
          <w:rFonts w:cs="David" w:hint="cs"/>
          <w:sz w:val="28"/>
          <w:szCs w:val="28"/>
          <w:rtl/>
        </w:rPr>
        <w:t>, ולכן העמדה לדין הוענשה הם אינטרס משותף של כל המדינות.</w:t>
      </w:r>
    </w:p>
    <w:p w:rsidR="00B549F2" w:rsidRDefault="00B549F2" w:rsidP="001E712E">
      <w:pPr>
        <w:rPr>
          <w:rFonts w:cs="David" w:hint="cs"/>
          <w:sz w:val="28"/>
          <w:szCs w:val="28"/>
          <w:rtl/>
        </w:rPr>
      </w:pPr>
      <w:r w:rsidRPr="00B549F2">
        <w:rPr>
          <w:rFonts w:cs="David" w:hint="cs"/>
          <w:b/>
          <w:bCs/>
          <w:sz w:val="28"/>
          <w:szCs w:val="28"/>
          <w:highlight w:val="magenta"/>
          <w:rtl/>
        </w:rPr>
        <w:t xml:space="preserve">פרשת </w:t>
      </w:r>
      <w:proofErr w:type="spellStart"/>
      <w:r w:rsidRPr="00B549F2">
        <w:rPr>
          <w:rFonts w:cs="David" w:hint="cs"/>
          <w:b/>
          <w:bCs/>
          <w:sz w:val="28"/>
          <w:szCs w:val="28"/>
          <w:highlight w:val="magenta"/>
          <w:rtl/>
        </w:rPr>
        <w:t>פינושה</w:t>
      </w:r>
      <w:proofErr w:type="spellEnd"/>
      <w:r>
        <w:rPr>
          <w:rFonts w:cs="David" w:hint="cs"/>
          <w:sz w:val="28"/>
          <w:szCs w:val="28"/>
          <w:rtl/>
        </w:rPr>
        <w:t xml:space="preserve"> </w:t>
      </w:r>
      <w:r>
        <w:rPr>
          <w:rFonts w:cs="David"/>
          <w:sz w:val="28"/>
          <w:szCs w:val="28"/>
          <w:rtl/>
        </w:rPr>
        <w:t>–</w:t>
      </w:r>
      <w:r>
        <w:rPr>
          <w:rFonts w:cs="David" w:hint="cs"/>
          <w:sz w:val="28"/>
          <w:szCs w:val="28"/>
          <w:rtl/>
        </w:rPr>
        <w:t xml:space="preserve"> נקבע כי לראש ממשלה לשעבר לא תהיה חסינות על פשעים כנגד האנושות ועינויים, הם לא ייחשבו חלק מהמעשים הקשורים בתפקידו. </w:t>
      </w:r>
    </w:p>
    <w:p w:rsidR="00B549F2" w:rsidRPr="00E27610" w:rsidRDefault="00B549F2" w:rsidP="00B549F2">
      <w:pPr>
        <w:rPr>
          <w:rFonts w:cs="David" w:hint="cs"/>
          <w:sz w:val="28"/>
          <w:szCs w:val="28"/>
          <w:rtl/>
        </w:rPr>
      </w:pPr>
      <w:r w:rsidRPr="00B549F2">
        <w:rPr>
          <w:rFonts w:cs="David" w:hint="cs"/>
          <w:b/>
          <w:bCs/>
          <w:sz w:val="28"/>
          <w:szCs w:val="28"/>
          <w:highlight w:val="magenta"/>
          <w:rtl/>
        </w:rPr>
        <w:t>פרשת קונגו נ' בלגיה</w:t>
      </w:r>
      <w:r>
        <w:rPr>
          <w:rFonts w:cs="David" w:hint="cs"/>
          <w:sz w:val="28"/>
          <w:szCs w:val="28"/>
          <w:rtl/>
        </w:rPr>
        <w:t xml:space="preserve"> </w:t>
      </w:r>
      <w:r>
        <w:rPr>
          <w:rFonts w:cs="David"/>
          <w:sz w:val="28"/>
          <w:szCs w:val="28"/>
          <w:rtl/>
        </w:rPr>
        <w:t>–</w:t>
      </w:r>
      <w:r>
        <w:rPr>
          <w:rFonts w:cs="David" w:hint="cs"/>
          <w:sz w:val="28"/>
          <w:szCs w:val="28"/>
          <w:rtl/>
        </w:rPr>
        <w:t xml:space="preserve"> דובר על צו מעצר נגד שר החוץ של קונגו בגין הסתה לפשעי מלחמה. קונגו טענה לחוסר בסמכות שיפוט ולחסינות של שר החוץ. נקבע שלראש ממשלה, שר חוץ וראש מדינה בכהונתם זכאים לחסינות פרוצדוראלית מוחלטת, ולאחר סיום תפקידם יש להם חסינות מהותית עניינית שלא חלה על פשעים בינלאומיים. </w:t>
      </w:r>
    </w:p>
    <w:sectPr w:rsidR="00B549F2" w:rsidRPr="00E27610" w:rsidSect="00E8230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27AF"/>
    <w:multiLevelType w:val="hybridMultilevel"/>
    <w:tmpl w:val="616CF5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3C731B"/>
    <w:multiLevelType w:val="hybridMultilevel"/>
    <w:tmpl w:val="414201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AE482A"/>
    <w:multiLevelType w:val="hybridMultilevel"/>
    <w:tmpl w:val="7974D3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3C0202"/>
    <w:multiLevelType w:val="hybridMultilevel"/>
    <w:tmpl w:val="E0B621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DB1A29"/>
    <w:multiLevelType w:val="hybridMultilevel"/>
    <w:tmpl w:val="94BC5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B91AC1"/>
    <w:multiLevelType w:val="hybridMultilevel"/>
    <w:tmpl w:val="34C4AF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E06"/>
    <w:rsid w:val="00002322"/>
    <w:rsid w:val="0000443C"/>
    <w:rsid w:val="00025574"/>
    <w:rsid w:val="000302D3"/>
    <w:rsid w:val="000918C4"/>
    <w:rsid w:val="000A03C5"/>
    <w:rsid w:val="000A2530"/>
    <w:rsid w:val="000A5F3B"/>
    <w:rsid w:val="000C1564"/>
    <w:rsid w:val="0014443F"/>
    <w:rsid w:val="00157BB1"/>
    <w:rsid w:val="0019313E"/>
    <w:rsid w:val="001E712E"/>
    <w:rsid w:val="003E7ED0"/>
    <w:rsid w:val="004341C2"/>
    <w:rsid w:val="00441D87"/>
    <w:rsid w:val="00456A77"/>
    <w:rsid w:val="004801B8"/>
    <w:rsid w:val="004D6B42"/>
    <w:rsid w:val="00504A80"/>
    <w:rsid w:val="00563F6D"/>
    <w:rsid w:val="00593723"/>
    <w:rsid w:val="005944A3"/>
    <w:rsid w:val="005A546B"/>
    <w:rsid w:val="006448BC"/>
    <w:rsid w:val="00652E06"/>
    <w:rsid w:val="00664BC2"/>
    <w:rsid w:val="006967F3"/>
    <w:rsid w:val="006E273E"/>
    <w:rsid w:val="00714251"/>
    <w:rsid w:val="00751CE8"/>
    <w:rsid w:val="00776BA3"/>
    <w:rsid w:val="007858EC"/>
    <w:rsid w:val="007B23CC"/>
    <w:rsid w:val="007D4A46"/>
    <w:rsid w:val="007E15D2"/>
    <w:rsid w:val="008B0EA6"/>
    <w:rsid w:val="008B46EB"/>
    <w:rsid w:val="008D49C6"/>
    <w:rsid w:val="0091721B"/>
    <w:rsid w:val="009E2EF4"/>
    <w:rsid w:val="009F78AC"/>
    <w:rsid w:val="00A0004F"/>
    <w:rsid w:val="00A0763A"/>
    <w:rsid w:val="00A62595"/>
    <w:rsid w:val="00AC2FCC"/>
    <w:rsid w:val="00B05F61"/>
    <w:rsid w:val="00B549F2"/>
    <w:rsid w:val="00B91C70"/>
    <w:rsid w:val="00B96DB7"/>
    <w:rsid w:val="00BF6921"/>
    <w:rsid w:val="00C014B2"/>
    <w:rsid w:val="00C420AD"/>
    <w:rsid w:val="00C92D0A"/>
    <w:rsid w:val="00CA4576"/>
    <w:rsid w:val="00CF04FF"/>
    <w:rsid w:val="00D00414"/>
    <w:rsid w:val="00D42B00"/>
    <w:rsid w:val="00D72656"/>
    <w:rsid w:val="00D75046"/>
    <w:rsid w:val="00D8569D"/>
    <w:rsid w:val="00D904F0"/>
    <w:rsid w:val="00E2250E"/>
    <w:rsid w:val="00E27610"/>
    <w:rsid w:val="00E53D39"/>
    <w:rsid w:val="00E82305"/>
    <w:rsid w:val="00E955E5"/>
    <w:rsid w:val="00EB79B5"/>
    <w:rsid w:val="00ED491B"/>
    <w:rsid w:val="00ED692B"/>
    <w:rsid w:val="00F24763"/>
    <w:rsid w:val="00F43D4E"/>
    <w:rsid w:val="00F57E0C"/>
    <w:rsid w:val="00F8246B"/>
    <w:rsid w:val="00F84464"/>
    <w:rsid w:val="00FA4697"/>
    <w:rsid w:val="00FC39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79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7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TotalTime>
  <Pages>7</Pages>
  <Words>2562</Words>
  <Characters>12812</Characters>
  <Application>Microsoft Office Word</Application>
  <DocSecurity>0</DocSecurity>
  <Lines>106</Lines>
  <Paragraphs>30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חמוטל</dc:creator>
  <cp:lastModifiedBy>חמוטל</cp:lastModifiedBy>
  <cp:revision>72</cp:revision>
  <dcterms:created xsi:type="dcterms:W3CDTF">2013-01-29T15:48:00Z</dcterms:created>
  <dcterms:modified xsi:type="dcterms:W3CDTF">2013-01-29T23:06:00Z</dcterms:modified>
</cp:coreProperties>
</file>