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35B" w:rsidRDefault="0090735B" w:rsidP="0090735B">
      <w:pPr>
        <w:jc w:val="center"/>
        <w:rPr>
          <w:rFonts w:cs="David" w:hint="cs"/>
          <w:b/>
          <w:bCs/>
          <w:u w:val="single"/>
          <w:rtl/>
        </w:rPr>
      </w:pPr>
      <w:r>
        <w:rPr>
          <w:rFonts w:cs="David" w:hint="cs"/>
          <w:b/>
          <w:bCs/>
          <w:u w:val="single"/>
          <w:rtl/>
        </w:rPr>
        <w:t>שיטות משפט / סיכום למבחן</w:t>
      </w:r>
    </w:p>
    <w:p w:rsidR="00692405" w:rsidRPr="008D1DBA" w:rsidRDefault="00866FF5" w:rsidP="00530D3A">
      <w:pPr>
        <w:rPr>
          <w:rFonts w:cs="David"/>
          <w:rtl/>
        </w:rPr>
      </w:pPr>
      <w:r w:rsidRPr="008D1DBA">
        <w:rPr>
          <w:rFonts w:cs="David" w:hint="cs"/>
          <w:b/>
          <w:bCs/>
          <w:u w:val="single"/>
          <w:rtl/>
        </w:rPr>
        <w:t>מסורות המשפט המקובלות כיום</w:t>
      </w:r>
      <w:r w:rsidRPr="008D1DBA">
        <w:rPr>
          <w:rFonts w:cs="David" w:hint="cs"/>
          <w:rtl/>
        </w:rPr>
        <w:t>: קיימות 2 שיטות מערביות מרכזיות:</w:t>
      </w:r>
    </w:p>
    <w:p w:rsidR="00866FF5" w:rsidRPr="008D1DBA" w:rsidRDefault="00866FF5" w:rsidP="00530D3A">
      <w:pPr>
        <w:pStyle w:val="a9"/>
        <w:numPr>
          <w:ilvl w:val="0"/>
          <w:numId w:val="1"/>
        </w:numPr>
        <w:rPr>
          <w:rFonts w:cs="David"/>
        </w:rPr>
      </w:pPr>
      <w:r w:rsidRPr="008D1DBA">
        <w:rPr>
          <w:rFonts w:cs="David" w:hint="cs"/>
          <w:b/>
          <w:bCs/>
          <w:u w:val="single"/>
          <w:rtl/>
        </w:rPr>
        <w:t xml:space="preserve">המסורת </w:t>
      </w:r>
      <w:proofErr w:type="spellStart"/>
      <w:r w:rsidRPr="008D1DBA">
        <w:rPr>
          <w:rFonts w:cs="David" w:hint="cs"/>
          <w:b/>
          <w:bCs/>
          <w:u w:val="single"/>
          <w:rtl/>
        </w:rPr>
        <w:t>הרומאנו-גרמאנית</w:t>
      </w:r>
      <w:proofErr w:type="spellEnd"/>
      <w:r w:rsidRPr="008D1DBA">
        <w:rPr>
          <w:rFonts w:cs="David" w:hint="cs"/>
          <w:rtl/>
        </w:rPr>
        <w:t xml:space="preserve"> </w:t>
      </w:r>
      <w:r w:rsidRPr="008D1DBA">
        <w:rPr>
          <w:rFonts w:cs="David"/>
          <w:rtl/>
        </w:rPr>
        <w:t>–</w:t>
      </w:r>
      <w:r w:rsidRPr="008D1DBA">
        <w:rPr>
          <w:rFonts w:cs="David" w:hint="cs"/>
          <w:rtl/>
        </w:rPr>
        <w:t xml:space="preserve"> מקורה בעיקר במשפט הרומי, התפתחה באירופה ונפוצה בעולם. מוקדיה באירופה </w:t>
      </w:r>
      <w:proofErr w:type="spellStart"/>
      <w:r w:rsidRPr="008D1DBA">
        <w:rPr>
          <w:rFonts w:cs="David" w:hint="cs"/>
          <w:rtl/>
        </w:rPr>
        <w:t>ואמל"ט</w:t>
      </w:r>
      <w:proofErr w:type="spellEnd"/>
      <w:r w:rsidRPr="008D1DBA">
        <w:rPr>
          <w:rFonts w:cs="David" w:hint="cs"/>
          <w:rtl/>
        </w:rPr>
        <w:t xml:space="preserve">. נקראת גם </w:t>
      </w:r>
      <w:r w:rsidRPr="008D1DBA">
        <w:rPr>
          <w:rFonts w:cs="David"/>
        </w:rPr>
        <w:t>Civil Law</w:t>
      </w:r>
      <w:r w:rsidRPr="008D1DBA">
        <w:rPr>
          <w:rFonts w:cs="David" w:hint="cs"/>
          <w:rtl/>
        </w:rPr>
        <w:t>.</w:t>
      </w:r>
    </w:p>
    <w:p w:rsidR="00866FF5" w:rsidRPr="008D1DBA" w:rsidRDefault="00866FF5" w:rsidP="00530D3A">
      <w:pPr>
        <w:pStyle w:val="a9"/>
        <w:numPr>
          <w:ilvl w:val="0"/>
          <w:numId w:val="1"/>
        </w:numPr>
        <w:rPr>
          <w:rFonts w:cs="David"/>
        </w:rPr>
      </w:pPr>
      <w:r w:rsidRPr="008D1DBA">
        <w:rPr>
          <w:rFonts w:cs="David" w:hint="cs"/>
          <w:b/>
          <w:bCs/>
          <w:u w:val="single"/>
          <w:rtl/>
        </w:rPr>
        <w:t>המסורת האנגלוסקסית</w:t>
      </w:r>
      <w:r w:rsidRPr="008D1DBA">
        <w:rPr>
          <w:rFonts w:cs="David" w:hint="cs"/>
          <w:rtl/>
        </w:rPr>
        <w:t xml:space="preserve"> </w:t>
      </w:r>
      <w:r w:rsidRPr="008D1DBA">
        <w:rPr>
          <w:rFonts w:cs="David"/>
          <w:rtl/>
        </w:rPr>
        <w:t>–</w:t>
      </w:r>
      <w:r w:rsidRPr="008D1DBA">
        <w:rPr>
          <w:rFonts w:cs="David" w:hint="cs"/>
          <w:rtl/>
        </w:rPr>
        <w:t xml:space="preserve"> לא מבוסס על המשפט הרומי אלא על פסיקות ביהמ"ש במדינה. ולכן נקרא המשפט המקובל, </w:t>
      </w:r>
      <w:r w:rsidRPr="008D1DBA">
        <w:rPr>
          <w:rFonts w:cs="David"/>
        </w:rPr>
        <w:t>Common Law</w:t>
      </w:r>
      <w:r w:rsidRPr="008D1DBA">
        <w:rPr>
          <w:rFonts w:cs="David" w:hint="cs"/>
          <w:rtl/>
        </w:rPr>
        <w:t>, השיטה השולטת בארה"ב ובריטניה (</w:t>
      </w:r>
      <w:r w:rsidR="00583290" w:rsidRPr="008D1DBA">
        <w:rPr>
          <w:rFonts w:cs="David" w:hint="cs"/>
          <w:rtl/>
        </w:rPr>
        <w:t>ואזורים</w:t>
      </w:r>
      <w:r w:rsidRPr="008D1DBA">
        <w:rPr>
          <w:rFonts w:cs="David" w:hint="cs"/>
          <w:rtl/>
        </w:rPr>
        <w:t xml:space="preserve"> שהיו בשליטה בריטית), חלקית גם בישראל.</w:t>
      </w:r>
    </w:p>
    <w:p w:rsidR="00066223" w:rsidRPr="008D1DBA" w:rsidRDefault="00866FF5" w:rsidP="00FD5DB9">
      <w:pPr>
        <w:rPr>
          <w:rFonts w:cs="David"/>
          <w:rtl/>
        </w:rPr>
      </w:pPr>
      <w:r w:rsidRPr="008D1DBA">
        <w:rPr>
          <w:rFonts w:cs="David" w:hint="cs"/>
          <w:b/>
          <w:bCs/>
          <w:u w:val="single"/>
          <w:rtl/>
        </w:rPr>
        <w:t>המשפט הרומי</w:t>
      </w:r>
      <w:r w:rsidRPr="008D1DBA">
        <w:rPr>
          <w:rFonts w:cs="David" w:hint="cs"/>
          <w:rtl/>
        </w:rPr>
        <w:t xml:space="preserve">: רפובליקת "השלטון הציבורי", העם מעורב בהנהגת המדינה, בפועל, האצולה היא ששלטה. השלטון התבסס על פקידים שהתחלפו תכופות </w:t>
      </w:r>
      <w:r w:rsidRPr="008D1DBA">
        <w:rPr>
          <w:rFonts w:cs="David" w:hint="cs"/>
          <w:highlight w:val="yellow"/>
          <w:rtl/>
        </w:rPr>
        <w:t>(סוג של ריסון השלטון???</w:t>
      </w:r>
      <w:r w:rsidRPr="008D1DBA">
        <w:rPr>
          <w:rFonts w:cs="David" w:hint="cs"/>
          <w:rtl/>
        </w:rPr>
        <w:t>)</w:t>
      </w:r>
      <w:r w:rsidR="00347048" w:rsidRPr="008D1DBA">
        <w:rPr>
          <w:rFonts w:cs="David" w:hint="cs"/>
          <w:rtl/>
        </w:rPr>
        <w:t xml:space="preserve"> </w:t>
      </w:r>
      <w:r w:rsidRPr="008D1DBA">
        <w:rPr>
          <w:rFonts w:cs="David" w:hint="cs"/>
          <w:b/>
          <w:bCs/>
          <w:u w:val="single"/>
          <w:rtl/>
        </w:rPr>
        <w:t>קונסולים</w:t>
      </w:r>
      <w:r w:rsidRPr="008D1DBA">
        <w:rPr>
          <w:rFonts w:cs="David" w:hint="cs"/>
          <w:rtl/>
        </w:rPr>
        <w:t>: ניהלו את העיר רומא.</w:t>
      </w:r>
      <w:r w:rsidR="00347048" w:rsidRPr="008D1DBA">
        <w:rPr>
          <w:rFonts w:cs="David" w:hint="cs"/>
          <w:b/>
          <w:bCs/>
          <w:u w:val="single"/>
          <w:rtl/>
        </w:rPr>
        <w:t xml:space="preserve"> </w:t>
      </w:r>
      <w:r w:rsidRPr="008D1DBA">
        <w:rPr>
          <w:rFonts w:cs="David" w:hint="cs"/>
          <w:b/>
          <w:bCs/>
          <w:u w:val="single"/>
          <w:rtl/>
        </w:rPr>
        <w:t>דיקטטור</w:t>
      </w:r>
      <w:r w:rsidRPr="008D1DBA">
        <w:rPr>
          <w:rFonts w:cs="David" w:hint="cs"/>
          <w:rtl/>
        </w:rPr>
        <w:t xml:space="preserve">: מנהיג לצורך מסוים. נבחר ע"י הקונסול, מתבטל כשתפקידו מסתיים. </w:t>
      </w:r>
      <w:r w:rsidR="00347048" w:rsidRPr="008D1DBA">
        <w:rPr>
          <w:rFonts w:cs="David" w:hint="cs"/>
          <w:rtl/>
        </w:rPr>
        <w:t xml:space="preserve">       </w:t>
      </w:r>
      <w:proofErr w:type="spellStart"/>
      <w:r w:rsidRPr="008D1DBA">
        <w:rPr>
          <w:rFonts w:cs="David" w:hint="cs"/>
          <w:b/>
          <w:bCs/>
          <w:u w:val="single"/>
          <w:rtl/>
        </w:rPr>
        <w:t>פרייטורים</w:t>
      </w:r>
      <w:proofErr w:type="spellEnd"/>
      <w:r w:rsidRPr="008D1DBA">
        <w:rPr>
          <w:rFonts w:cs="David" w:hint="cs"/>
          <w:rtl/>
        </w:rPr>
        <w:t>: אחריות על ענייני המשפט.</w:t>
      </w:r>
      <w:bookmarkStart w:id="0" w:name="_GoBack"/>
      <w:bookmarkEnd w:id="0"/>
      <w:r w:rsidR="00347048" w:rsidRPr="008D1DBA">
        <w:rPr>
          <w:rFonts w:cs="David" w:hint="cs"/>
          <w:b/>
          <w:bCs/>
          <w:u w:val="single"/>
          <w:rtl/>
        </w:rPr>
        <w:t xml:space="preserve"> </w:t>
      </w:r>
      <w:proofErr w:type="spellStart"/>
      <w:r w:rsidRPr="008D1DBA">
        <w:rPr>
          <w:rFonts w:cs="David" w:hint="cs"/>
          <w:b/>
          <w:bCs/>
          <w:u w:val="single"/>
          <w:rtl/>
        </w:rPr>
        <w:t>קנסור</w:t>
      </w:r>
      <w:proofErr w:type="spellEnd"/>
      <w:r w:rsidRPr="008D1DBA">
        <w:rPr>
          <w:rFonts w:cs="David" w:hint="cs"/>
          <w:rtl/>
        </w:rPr>
        <w:t xml:space="preserve">: עריכת בדיקות רכוש לאזרחי העיר, שימש גם כוועדת האתיקה לסנאט הרומי. </w:t>
      </w:r>
      <w:r w:rsidR="00347048" w:rsidRPr="008D1DBA">
        <w:rPr>
          <w:rFonts w:cs="David" w:hint="cs"/>
          <w:rtl/>
        </w:rPr>
        <w:t xml:space="preserve"> </w:t>
      </w:r>
      <w:r w:rsidRPr="008D1DBA">
        <w:rPr>
          <w:rFonts w:cs="David" w:hint="cs"/>
          <w:b/>
          <w:bCs/>
          <w:u w:val="single"/>
          <w:rtl/>
        </w:rPr>
        <w:t>טריבונים</w:t>
      </w:r>
      <w:r w:rsidRPr="008D1DBA">
        <w:rPr>
          <w:rFonts w:cs="David" w:hint="cs"/>
          <w:rtl/>
        </w:rPr>
        <w:t>: ייצוג המון העם</w:t>
      </w:r>
      <w:r w:rsidR="002F043A" w:rsidRPr="008D1DBA">
        <w:rPr>
          <w:rFonts w:cs="David" w:hint="cs"/>
          <w:rtl/>
        </w:rPr>
        <w:t xml:space="preserve"> שלא השתתף פוליטית                                                               </w:t>
      </w:r>
      <w:proofErr w:type="spellStart"/>
      <w:r w:rsidR="00066223" w:rsidRPr="008D1DBA">
        <w:rPr>
          <w:rFonts w:cs="David" w:hint="cs"/>
          <w:b/>
          <w:bCs/>
          <w:u w:val="single"/>
          <w:rtl/>
        </w:rPr>
        <w:t>פטריקים</w:t>
      </w:r>
      <w:proofErr w:type="spellEnd"/>
      <w:r w:rsidR="00066223" w:rsidRPr="008D1DBA">
        <w:rPr>
          <w:rFonts w:cs="David" w:hint="cs"/>
          <w:rtl/>
        </w:rPr>
        <w:t xml:space="preserve"> </w:t>
      </w:r>
      <w:r w:rsidR="00066223" w:rsidRPr="008D1DBA">
        <w:rPr>
          <w:rFonts w:cs="David"/>
          <w:rtl/>
        </w:rPr>
        <w:t>–</w:t>
      </w:r>
      <w:r w:rsidR="00066223" w:rsidRPr="008D1DBA">
        <w:rPr>
          <w:rFonts w:cs="David" w:hint="cs"/>
          <w:rtl/>
        </w:rPr>
        <w:t xml:space="preserve"> חברי האצולה הרומית.</w:t>
      </w:r>
      <w:r w:rsidR="00572DD6" w:rsidRPr="008D1DBA">
        <w:rPr>
          <w:rFonts w:cs="David" w:hint="cs"/>
          <w:rtl/>
        </w:rPr>
        <w:t xml:space="preserve"> אלה ששלחו משלחות ליוון ללימוד המשפט.</w:t>
      </w:r>
      <w:r w:rsidR="00066223" w:rsidRPr="008D1DBA">
        <w:rPr>
          <w:rFonts w:cs="David" w:hint="cs"/>
          <w:rtl/>
        </w:rPr>
        <w:t xml:space="preserve"> </w:t>
      </w:r>
    </w:p>
    <w:p w:rsidR="00347048" w:rsidRPr="008D1DBA" w:rsidRDefault="00347048" w:rsidP="00530D3A">
      <w:pPr>
        <w:rPr>
          <w:rFonts w:cs="David"/>
          <w:rtl/>
        </w:rPr>
      </w:pPr>
      <w:r w:rsidRPr="008D1DBA">
        <w:rPr>
          <w:rFonts w:cs="David" w:hint="cs"/>
          <w:rtl/>
        </w:rPr>
        <w:t>ה</w:t>
      </w:r>
      <w:r w:rsidR="00246AF7" w:rsidRPr="008D1DBA">
        <w:rPr>
          <w:rFonts w:cs="David" w:hint="cs"/>
          <w:rtl/>
        </w:rPr>
        <w:t>"</w:t>
      </w:r>
      <w:r w:rsidRPr="008D1DBA">
        <w:rPr>
          <w:rFonts w:cs="David" w:hint="cs"/>
          <w:rtl/>
        </w:rPr>
        <w:t>סנאט הרומי</w:t>
      </w:r>
      <w:r w:rsidR="00246AF7" w:rsidRPr="008D1DBA">
        <w:rPr>
          <w:rFonts w:cs="David" w:hint="cs"/>
          <w:rtl/>
        </w:rPr>
        <w:t>"</w:t>
      </w:r>
      <w:r w:rsidRPr="008D1DBA">
        <w:rPr>
          <w:rFonts w:cs="David" w:hint="cs"/>
          <w:rtl/>
        </w:rPr>
        <w:t xml:space="preserve"> לא היה גוף מחוקק, כי אם גוף מייעץ לפקידים שניהלו את המדינה בפועל. הורכב מנכבדי העיר רומא. החלטות על בחירת הפקידים, מיסים, ויציאה למלחמה התקבלו ב</w:t>
      </w:r>
      <w:r w:rsidR="00246AF7" w:rsidRPr="008D1DBA">
        <w:rPr>
          <w:rFonts w:cs="David" w:hint="cs"/>
          <w:rtl/>
        </w:rPr>
        <w:t>"</w:t>
      </w:r>
      <w:r w:rsidRPr="008D1DBA">
        <w:rPr>
          <w:rFonts w:cs="David" w:hint="cs"/>
          <w:rtl/>
        </w:rPr>
        <w:t>אספות העם</w:t>
      </w:r>
      <w:r w:rsidR="00246AF7" w:rsidRPr="008D1DBA">
        <w:rPr>
          <w:rFonts w:cs="David" w:hint="cs"/>
          <w:rtl/>
        </w:rPr>
        <w:t>"</w:t>
      </w:r>
      <w:r w:rsidRPr="008D1DBA">
        <w:rPr>
          <w:rFonts w:cs="David" w:hint="cs"/>
          <w:rtl/>
        </w:rPr>
        <w:t>.</w:t>
      </w:r>
    </w:p>
    <w:p w:rsidR="00347048" w:rsidRPr="008D1DBA" w:rsidRDefault="00347048" w:rsidP="00530D3A">
      <w:pPr>
        <w:rPr>
          <w:rFonts w:cs="David"/>
          <w:rtl/>
        </w:rPr>
      </w:pPr>
      <w:r w:rsidRPr="008D1DBA">
        <w:rPr>
          <w:rFonts w:cs="David" w:hint="cs"/>
          <w:rtl/>
        </w:rPr>
        <w:t xml:space="preserve">בעקבות גדילתה </w:t>
      </w:r>
      <w:proofErr w:type="spellStart"/>
      <w:r w:rsidRPr="008D1DBA">
        <w:rPr>
          <w:rFonts w:cs="David" w:hint="cs"/>
          <w:rtl/>
        </w:rPr>
        <w:t>הג"ג</w:t>
      </w:r>
      <w:proofErr w:type="spellEnd"/>
      <w:r w:rsidRPr="008D1DBA">
        <w:rPr>
          <w:rFonts w:cs="David" w:hint="cs"/>
          <w:rtl/>
        </w:rPr>
        <w:t xml:space="preserve"> של רומא, נוצר קושי להנהיג שלטון על כלל המערכת, מה שיצר מלחמות שליטה בסופן ניצח יוליוס קיסר, אשר הפך לשליט היחיד של רומא.</w:t>
      </w:r>
    </w:p>
    <w:p w:rsidR="00347048" w:rsidRPr="008D1DBA" w:rsidRDefault="00347048" w:rsidP="00530D3A">
      <w:pPr>
        <w:rPr>
          <w:rFonts w:cs="David"/>
          <w:rtl/>
        </w:rPr>
      </w:pPr>
      <w:r w:rsidRPr="008D1DBA">
        <w:rPr>
          <w:rFonts w:cs="David" w:hint="cs"/>
          <w:rtl/>
        </w:rPr>
        <w:t xml:space="preserve">פתיחת תקופת הקיסרות </w:t>
      </w:r>
      <w:r w:rsidRPr="008D1DBA">
        <w:rPr>
          <w:rFonts w:cs="David"/>
          <w:rtl/>
        </w:rPr>
        <w:t>–</w:t>
      </w:r>
      <w:r w:rsidRPr="008D1DBA">
        <w:rPr>
          <w:rFonts w:cs="David" w:hint="cs"/>
          <w:rtl/>
        </w:rPr>
        <w:t xml:space="preserve"> המנהלים הקיימים לא התחלפו אך מעליהם היה הקיסר.</w:t>
      </w:r>
    </w:p>
    <w:p w:rsidR="00347048" w:rsidRPr="008D1DBA" w:rsidRDefault="00347048" w:rsidP="00530D3A">
      <w:pPr>
        <w:rPr>
          <w:rFonts w:cs="David"/>
          <w:rtl/>
        </w:rPr>
      </w:pPr>
      <w:r w:rsidRPr="008D1DBA">
        <w:rPr>
          <w:rFonts w:cs="David" w:hint="cs"/>
          <w:rtl/>
        </w:rPr>
        <w:t xml:space="preserve">"תור הזהב" הרומי </w:t>
      </w:r>
      <w:r w:rsidRPr="008D1DBA">
        <w:rPr>
          <w:rFonts w:cs="David"/>
          <w:rtl/>
        </w:rPr>
        <w:t>–</w:t>
      </w:r>
      <w:r w:rsidRPr="008D1DBA">
        <w:rPr>
          <w:rFonts w:cs="David" w:hint="cs"/>
          <w:rtl/>
        </w:rPr>
        <w:t xml:space="preserve"> שלטון </w:t>
      </w:r>
      <w:proofErr w:type="spellStart"/>
      <w:r w:rsidRPr="008D1DBA">
        <w:rPr>
          <w:rFonts w:cs="David" w:hint="cs"/>
          <w:rtl/>
        </w:rPr>
        <w:t>אנדריינוס</w:t>
      </w:r>
      <w:proofErr w:type="spellEnd"/>
      <w:r w:rsidRPr="008D1DBA">
        <w:rPr>
          <w:rFonts w:cs="David" w:hint="cs"/>
          <w:rtl/>
        </w:rPr>
        <w:t xml:space="preserve">, הרחבת הגבולות והנהגת ה"פקס </w:t>
      </w:r>
      <w:proofErr w:type="spellStart"/>
      <w:r w:rsidRPr="008D1DBA">
        <w:rPr>
          <w:rFonts w:cs="David" w:hint="cs"/>
          <w:rtl/>
        </w:rPr>
        <w:t>רומאנה</w:t>
      </w:r>
      <w:proofErr w:type="spellEnd"/>
      <w:r w:rsidRPr="008D1DBA">
        <w:rPr>
          <w:rFonts w:cs="David" w:hint="cs"/>
          <w:rtl/>
        </w:rPr>
        <w:t>". בתקופה זו התפתחה מאוד המחשבה המשפטית והכללית.</w:t>
      </w:r>
    </w:p>
    <w:p w:rsidR="00347048" w:rsidRPr="008D1DBA" w:rsidRDefault="00347048" w:rsidP="00530D3A">
      <w:pPr>
        <w:rPr>
          <w:rFonts w:cs="David"/>
          <w:rtl/>
        </w:rPr>
      </w:pPr>
      <w:r w:rsidRPr="008D1DBA">
        <w:rPr>
          <w:rFonts w:cs="David" w:hint="cs"/>
          <w:rtl/>
        </w:rPr>
        <w:t xml:space="preserve">התדרדרות החברה הרומית </w:t>
      </w:r>
      <w:r w:rsidRPr="008D1DBA">
        <w:rPr>
          <w:rFonts w:cs="David"/>
          <w:rtl/>
        </w:rPr>
        <w:t>–</w:t>
      </w:r>
      <w:r w:rsidRPr="008D1DBA">
        <w:rPr>
          <w:rFonts w:cs="David" w:hint="cs"/>
          <w:rtl/>
        </w:rPr>
        <w:t xml:space="preserve"> והתחלקות האימפריה ל-2, מערבית (רומא), ומזרחית (</w:t>
      </w:r>
      <w:proofErr w:type="spellStart"/>
      <w:r w:rsidRPr="008D1DBA">
        <w:rPr>
          <w:rFonts w:cs="David" w:hint="cs"/>
          <w:rtl/>
        </w:rPr>
        <w:t>קונסטניטילופוס</w:t>
      </w:r>
      <w:proofErr w:type="spellEnd"/>
      <w:r w:rsidRPr="008D1DBA">
        <w:rPr>
          <w:rFonts w:cs="David" w:hint="cs"/>
          <w:rtl/>
        </w:rPr>
        <w:t xml:space="preserve">) </w:t>
      </w:r>
      <w:r w:rsidRPr="008D1DBA">
        <w:rPr>
          <w:rFonts w:cs="David"/>
          <w:rtl/>
        </w:rPr>
        <w:t>–</w:t>
      </w:r>
      <w:r w:rsidRPr="008D1DBA">
        <w:rPr>
          <w:rFonts w:cs="David" w:hint="cs"/>
          <w:rtl/>
        </w:rPr>
        <w:t xml:space="preserve"> התנצרות.</w:t>
      </w:r>
    </w:p>
    <w:p w:rsidR="00347048" w:rsidRPr="008D1DBA" w:rsidRDefault="00347048" w:rsidP="00530D3A">
      <w:pPr>
        <w:rPr>
          <w:rFonts w:cs="David"/>
          <w:rtl/>
        </w:rPr>
      </w:pPr>
      <w:r w:rsidRPr="008D1DBA">
        <w:rPr>
          <w:rFonts w:cs="David" w:hint="cs"/>
          <w:b/>
          <w:bCs/>
          <w:u w:val="single"/>
          <w:rtl/>
        </w:rPr>
        <w:t>חקיקה</w:t>
      </w:r>
      <w:r w:rsidRPr="008D1DBA">
        <w:rPr>
          <w:rFonts w:cs="David" w:hint="cs"/>
          <w:rtl/>
        </w:rPr>
        <w:t xml:space="preserve"> </w:t>
      </w:r>
      <w:r w:rsidRPr="008D1DBA">
        <w:rPr>
          <w:rFonts w:cs="David"/>
          <w:rtl/>
        </w:rPr>
        <w:t>–</w:t>
      </w:r>
      <w:r w:rsidRPr="008D1DBA">
        <w:rPr>
          <w:rFonts w:cs="David" w:hint="cs"/>
          <w:rtl/>
        </w:rPr>
        <w:t xml:space="preserve"> נורמה משפטית מחייבת.</w:t>
      </w:r>
    </w:p>
    <w:p w:rsidR="00347048" w:rsidRPr="008D1DBA" w:rsidRDefault="00347048" w:rsidP="00530D3A">
      <w:pPr>
        <w:rPr>
          <w:rFonts w:cs="David"/>
          <w:rtl/>
        </w:rPr>
      </w:pPr>
      <w:r w:rsidRPr="008D1DBA">
        <w:rPr>
          <w:rFonts w:cs="David" w:hint="cs"/>
          <w:b/>
          <w:bCs/>
          <w:u w:val="single"/>
          <w:rtl/>
        </w:rPr>
        <w:t>פסיקה</w:t>
      </w:r>
      <w:r w:rsidRPr="008D1DBA">
        <w:rPr>
          <w:rFonts w:cs="David" w:hint="cs"/>
          <w:rtl/>
        </w:rPr>
        <w:t xml:space="preserve"> </w:t>
      </w:r>
      <w:r w:rsidRPr="008D1DBA">
        <w:rPr>
          <w:rFonts w:cs="David"/>
          <w:rtl/>
        </w:rPr>
        <w:t>–</w:t>
      </w:r>
      <w:r w:rsidRPr="008D1DBA">
        <w:rPr>
          <w:rFonts w:cs="David" w:hint="cs"/>
          <w:rtl/>
        </w:rPr>
        <w:t xml:space="preserve"> מטרתה פתירת סכסוכים.</w:t>
      </w:r>
    </w:p>
    <w:p w:rsidR="00347048" w:rsidRPr="008D1DBA" w:rsidRDefault="00347048" w:rsidP="00530D3A">
      <w:pPr>
        <w:rPr>
          <w:rFonts w:cs="David"/>
          <w:rtl/>
        </w:rPr>
      </w:pPr>
      <w:r w:rsidRPr="008D1DBA">
        <w:rPr>
          <w:rFonts w:cs="David" w:hint="cs"/>
          <w:rtl/>
        </w:rPr>
        <w:t xml:space="preserve">חוק ("נורמה פוזיטיבית" ו"מקור הנורמה") </w:t>
      </w:r>
      <w:r w:rsidRPr="008D1DBA">
        <w:rPr>
          <w:rFonts w:cs="David"/>
          <w:rtl/>
        </w:rPr>
        <w:t>–</w:t>
      </w:r>
      <w:r w:rsidRPr="008D1DBA">
        <w:rPr>
          <w:rFonts w:cs="David" w:hint="cs"/>
          <w:rtl/>
        </w:rPr>
        <w:t xml:space="preserve"> חוק הינו נורמה פוזיטיבית אשר נוצרת ע"י הגורם השולט בחברה.</w:t>
      </w:r>
    </w:p>
    <w:p w:rsidR="00347048" w:rsidRPr="008D1DBA" w:rsidRDefault="00347048" w:rsidP="00530D3A">
      <w:pPr>
        <w:rPr>
          <w:rFonts w:cs="David"/>
          <w:rtl/>
        </w:rPr>
      </w:pPr>
      <w:r w:rsidRPr="008D1DBA">
        <w:rPr>
          <w:rFonts w:cs="David" w:hint="cs"/>
          <w:b/>
          <w:bCs/>
          <w:u w:val="single"/>
          <w:rtl/>
        </w:rPr>
        <w:t>נורמה פוזיטיבית</w:t>
      </w:r>
      <w:r w:rsidRPr="008D1DBA">
        <w:rPr>
          <w:rFonts w:cs="David" w:hint="cs"/>
          <w:rtl/>
        </w:rPr>
        <w:t>: נורמה שאנחנו יכולים לקלוט באמצעות החושים שלנו. כלומר, נורמה כתובה.</w:t>
      </w:r>
    </w:p>
    <w:p w:rsidR="002125DE" w:rsidRPr="008D1DBA" w:rsidRDefault="00347048" w:rsidP="00530D3A">
      <w:pPr>
        <w:rPr>
          <w:rFonts w:cs="David"/>
          <w:rtl/>
        </w:rPr>
      </w:pPr>
      <w:r w:rsidRPr="008D1DBA">
        <w:rPr>
          <w:rFonts w:cs="David" w:hint="cs"/>
          <w:b/>
          <w:bCs/>
          <w:u w:val="single"/>
          <w:rtl/>
        </w:rPr>
        <w:t>מקור הנורמה</w:t>
      </w:r>
      <w:r w:rsidRPr="008D1DBA">
        <w:rPr>
          <w:rFonts w:cs="David" w:hint="cs"/>
          <w:rtl/>
        </w:rPr>
        <w:t xml:space="preserve">: חקיקה נוצרת ע"י הגורם השולט בחברה, ומעידה על המבנה </w:t>
      </w:r>
      <w:proofErr w:type="spellStart"/>
      <w:r w:rsidRPr="008D1DBA">
        <w:rPr>
          <w:rFonts w:cs="David" w:hint="cs"/>
          <w:rtl/>
        </w:rPr>
        <w:t>השליטתי</w:t>
      </w:r>
      <w:proofErr w:type="spellEnd"/>
      <w:r w:rsidRPr="008D1DBA">
        <w:rPr>
          <w:rFonts w:cs="David" w:hint="cs"/>
          <w:rtl/>
        </w:rPr>
        <w:t xml:space="preserve"> באותה חברה.</w:t>
      </w:r>
    </w:p>
    <w:p w:rsidR="002125DE" w:rsidRPr="008D1DBA" w:rsidRDefault="002125DE" w:rsidP="00530D3A">
      <w:pPr>
        <w:rPr>
          <w:rFonts w:cs="David"/>
          <w:rtl/>
        </w:rPr>
      </w:pPr>
      <w:r w:rsidRPr="008D1DBA">
        <w:rPr>
          <w:rFonts w:cs="David" w:hint="cs"/>
          <w:rtl/>
        </w:rPr>
        <w:t xml:space="preserve">חקיקה מאפיינת חברות מתוחכמות ומפותחות. לחץ המון העם הרומי, הביא ליציאת משלחת </w:t>
      </w:r>
      <w:proofErr w:type="spellStart"/>
      <w:r w:rsidRPr="008D1DBA">
        <w:rPr>
          <w:rFonts w:cs="David" w:hint="cs"/>
          <w:rtl/>
        </w:rPr>
        <w:t>פטריקים</w:t>
      </w:r>
      <w:proofErr w:type="spellEnd"/>
      <w:r w:rsidRPr="008D1DBA">
        <w:rPr>
          <w:rFonts w:cs="David" w:hint="cs"/>
          <w:rtl/>
        </w:rPr>
        <w:t xml:space="preserve"> ליוון ללימודי עקרונות המשפט, ולפרסומם בפורום </w:t>
      </w:r>
      <w:proofErr w:type="spellStart"/>
      <w:r w:rsidRPr="008D1DBA">
        <w:rPr>
          <w:rFonts w:cs="David" w:hint="cs"/>
          <w:rtl/>
        </w:rPr>
        <w:t>רומאנה</w:t>
      </w:r>
      <w:proofErr w:type="spellEnd"/>
      <w:r w:rsidRPr="008D1DBA">
        <w:rPr>
          <w:rFonts w:cs="David" w:hint="cs"/>
          <w:rtl/>
        </w:rPr>
        <w:t xml:space="preserve"> (כיכר העיר) העשרה לוחות, לאחר שנתיים התווספו 2 לוחות ובכך נוצרו 12 הלוחות.</w:t>
      </w:r>
    </w:p>
    <w:p w:rsidR="002125DE" w:rsidRPr="008D1DBA" w:rsidRDefault="002125DE" w:rsidP="00530D3A">
      <w:pPr>
        <w:rPr>
          <w:rFonts w:cs="David"/>
          <w:rtl/>
        </w:rPr>
      </w:pPr>
      <w:r w:rsidRPr="008D1DBA">
        <w:rPr>
          <w:rFonts w:cs="David" w:hint="cs"/>
          <w:b/>
          <w:bCs/>
          <w:u w:val="single"/>
          <w:rtl/>
        </w:rPr>
        <w:t>מקורות משפט נוספים לחקיקה</w:t>
      </w:r>
      <w:r w:rsidRPr="008D1DBA">
        <w:rPr>
          <w:rFonts w:cs="David" w:hint="cs"/>
          <w:rtl/>
        </w:rPr>
        <w:t xml:space="preserve">: חקיקה לעולם אינה מספיקה, המחוקק לעולם אינו מגדיר את כל הנדרש בחוק (היווצרות לקונות). נורמה נוספת הינה </w:t>
      </w:r>
      <w:r w:rsidRPr="008D1DBA">
        <w:rPr>
          <w:rFonts w:cs="David" w:hint="cs"/>
          <w:b/>
          <w:bCs/>
          <w:rtl/>
        </w:rPr>
        <w:t>פסיקה</w:t>
      </w:r>
      <w:r w:rsidRPr="008D1DBA">
        <w:rPr>
          <w:rFonts w:cs="David" w:hint="cs"/>
          <w:rtl/>
        </w:rPr>
        <w:t xml:space="preserve">, אשר </w:t>
      </w:r>
      <w:r w:rsidRPr="008D1DBA">
        <w:rPr>
          <w:rFonts w:cs="David" w:hint="cs"/>
          <w:b/>
          <w:bCs/>
          <w:rtl/>
        </w:rPr>
        <w:t>אינה</w:t>
      </w:r>
      <w:r w:rsidRPr="008D1DBA">
        <w:rPr>
          <w:rFonts w:cs="David" w:hint="cs"/>
          <w:rtl/>
        </w:rPr>
        <w:t xml:space="preserve"> באה מלכתחילה ע"מ ליצור נורמה משפטית, אלא לפתור סכסוכים (עם הזמן הופכת הפסיקה לנורמה בדמות תקדימים).</w:t>
      </w:r>
    </w:p>
    <w:p w:rsidR="002125DE" w:rsidRPr="008D1DBA" w:rsidRDefault="002125DE" w:rsidP="00530D3A">
      <w:pPr>
        <w:rPr>
          <w:rFonts w:cs="David"/>
          <w:rtl/>
        </w:rPr>
      </w:pPr>
      <w:r w:rsidRPr="008D1DBA">
        <w:rPr>
          <w:rFonts w:cs="David" w:hint="cs"/>
          <w:rtl/>
        </w:rPr>
        <w:t>ברומא היו 4 גורמים אשר פיתחו את המשפט:</w:t>
      </w:r>
    </w:p>
    <w:p w:rsidR="00347048" w:rsidRPr="008D1DBA" w:rsidRDefault="002125DE" w:rsidP="00530D3A">
      <w:pPr>
        <w:pStyle w:val="a9"/>
        <w:numPr>
          <w:ilvl w:val="0"/>
          <w:numId w:val="3"/>
        </w:numPr>
        <w:rPr>
          <w:rFonts w:cs="David"/>
        </w:rPr>
      </w:pPr>
      <w:proofErr w:type="spellStart"/>
      <w:r w:rsidRPr="008D1DBA">
        <w:rPr>
          <w:rFonts w:cs="David" w:hint="cs"/>
          <w:rtl/>
        </w:rPr>
        <w:t>פרייטור</w:t>
      </w:r>
      <w:proofErr w:type="spellEnd"/>
      <w:r w:rsidRPr="008D1DBA">
        <w:rPr>
          <w:rFonts w:cs="David" w:hint="cs"/>
          <w:rtl/>
        </w:rPr>
        <w:t xml:space="preserve"> </w:t>
      </w:r>
      <w:r w:rsidRPr="008D1DBA">
        <w:rPr>
          <w:rFonts w:cs="David"/>
          <w:rtl/>
        </w:rPr>
        <w:t>–</w:t>
      </w:r>
      <w:r w:rsidRPr="008D1DBA">
        <w:rPr>
          <w:rFonts w:cs="David" w:hint="cs"/>
          <w:rtl/>
        </w:rPr>
        <w:t xml:space="preserve"> ממונה על מערכת ביהמ"ש. לא היה שופט אלא ממונה על חבר שופטים. נבחר אחת לשנה.</w:t>
      </w:r>
      <w:r w:rsidR="004A1BD9" w:rsidRPr="008D1DBA">
        <w:rPr>
          <w:rFonts w:cs="David" w:hint="cs"/>
          <w:rtl/>
        </w:rPr>
        <w:t xml:space="preserve"> </w:t>
      </w:r>
      <w:r w:rsidRPr="008D1DBA">
        <w:rPr>
          <w:rFonts w:cs="David" w:hint="cs"/>
          <w:rtl/>
        </w:rPr>
        <w:t xml:space="preserve">עם הזמן </w:t>
      </w:r>
      <w:proofErr w:type="spellStart"/>
      <w:r w:rsidRPr="008D1DBA">
        <w:rPr>
          <w:rFonts w:cs="David" w:hint="cs"/>
          <w:rtl/>
        </w:rPr>
        <w:t>הפרייטור</w:t>
      </w:r>
      <w:proofErr w:type="spellEnd"/>
      <w:r w:rsidRPr="008D1DBA">
        <w:rPr>
          <w:rFonts w:cs="David" w:hint="cs"/>
          <w:rtl/>
        </w:rPr>
        <w:t xml:space="preserve"> לא היה משנה את הנוהג המשפטי שקבעו תקדימים. עניין אשר סייע להיות המשפט גורם השומר על יציבות החברה.</w:t>
      </w:r>
    </w:p>
    <w:p w:rsidR="002125DE" w:rsidRPr="008D1DBA" w:rsidRDefault="002125DE" w:rsidP="00530D3A">
      <w:pPr>
        <w:pStyle w:val="a9"/>
        <w:ind w:left="360"/>
        <w:rPr>
          <w:rFonts w:cs="David"/>
          <w:rtl/>
        </w:rPr>
      </w:pPr>
      <w:r w:rsidRPr="008D1DBA">
        <w:rPr>
          <w:rFonts w:cs="David" w:hint="cs"/>
          <w:rtl/>
        </w:rPr>
        <w:t xml:space="preserve">בתקופת </w:t>
      </w:r>
      <w:proofErr w:type="spellStart"/>
      <w:r w:rsidR="005B3751" w:rsidRPr="008D1DBA">
        <w:rPr>
          <w:rFonts w:cs="David" w:hint="cs"/>
          <w:rtl/>
        </w:rPr>
        <w:t>אנדריינוס</w:t>
      </w:r>
      <w:proofErr w:type="spellEnd"/>
      <w:r w:rsidR="005B3751" w:rsidRPr="008D1DBA">
        <w:rPr>
          <w:rFonts w:cs="David" w:hint="cs"/>
          <w:rtl/>
        </w:rPr>
        <w:t>, הועלו הנה</w:t>
      </w:r>
      <w:r w:rsidRPr="008D1DBA">
        <w:rPr>
          <w:rFonts w:cs="David" w:hint="cs"/>
          <w:rtl/>
        </w:rPr>
        <w:t>גים/תקדימים המשפטיים על כתב.</w:t>
      </w:r>
      <w:r w:rsidR="005B3751" w:rsidRPr="008D1DBA">
        <w:rPr>
          <w:rFonts w:cs="David" w:hint="cs"/>
          <w:rtl/>
        </w:rPr>
        <w:t xml:space="preserve"> </w:t>
      </w:r>
    </w:p>
    <w:p w:rsidR="005B3751" w:rsidRPr="008D1DBA" w:rsidRDefault="005B3751" w:rsidP="00530D3A">
      <w:pPr>
        <w:pStyle w:val="a9"/>
        <w:ind w:left="360"/>
        <w:rPr>
          <w:rFonts w:cs="David"/>
          <w:rtl/>
        </w:rPr>
      </w:pPr>
      <w:proofErr w:type="spellStart"/>
      <w:r w:rsidRPr="008D1DBA">
        <w:rPr>
          <w:rFonts w:cs="David" w:hint="cs"/>
          <w:rtl/>
        </w:rPr>
        <w:lastRenderedPageBreak/>
        <w:t>הפרייטור</w:t>
      </w:r>
      <w:proofErr w:type="spellEnd"/>
      <w:r w:rsidRPr="008D1DBA">
        <w:rPr>
          <w:rFonts w:cs="David" w:hint="cs"/>
          <w:rtl/>
        </w:rPr>
        <w:t xml:space="preserve"> השפיע רבות על סדרי הדין. בתחילה היו באים הצדדים </w:t>
      </w:r>
      <w:proofErr w:type="spellStart"/>
      <w:r w:rsidRPr="008D1DBA">
        <w:rPr>
          <w:rFonts w:cs="David" w:hint="cs"/>
          <w:rtl/>
        </w:rPr>
        <w:t>לפרייטור</w:t>
      </w:r>
      <w:proofErr w:type="spellEnd"/>
      <w:r w:rsidRPr="008D1DBA">
        <w:rPr>
          <w:rFonts w:cs="David" w:hint="cs"/>
          <w:rtl/>
        </w:rPr>
        <w:t xml:space="preserve"> אשר היה מחליט אם יש עילה לתביעה (סוג של קדם משפט), עם הזמן יצר </w:t>
      </w:r>
      <w:proofErr w:type="spellStart"/>
      <w:r w:rsidRPr="008D1DBA">
        <w:rPr>
          <w:rFonts w:cs="David" w:hint="cs"/>
          <w:rtl/>
        </w:rPr>
        <w:t>הפרייטור</w:t>
      </w:r>
      <w:proofErr w:type="spellEnd"/>
      <w:r w:rsidRPr="008D1DBA">
        <w:rPr>
          <w:rFonts w:cs="David" w:hint="cs"/>
          <w:rtl/>
        </w:rPr>
        <w:t xml:space="preserve"> פורמולה אשר מילאה את תפקיד הקדם משפט. שיטה זו הגדירה גורמים שונים במערכת השיפוטית:</w:t>
      </w:r>
    </w:p>
    <w:p w:rsidR="005B3751" w:rsidRPr="008D1DBA" w:rsidRDefault="005B3751" w:rsidP="00530D3A">
      <w:pPr>
        <w:pStyle w:val="a9"/>
        <w:numPr>
          <w:ilvl w:val="0"/>
          <w:numId w:val="4"/>
        </w:numPr>
        <w:rPr>
          <w:rFonts w:cs="David"/>
        </w:rPr>
      </w:pPr>
      <w:r w:rsidRPr="008D1DBA">
        <w:rPr>
          <w:rFonts w:cs="David" w:hint="cs"/>
          <w:rtl/>
        </w:rPr>
        <w:t xml:space="preserve">סדר הדין </w:t>
      </w:r>
      <w:r w:rsidRPr="008D1DBA">
        <w:rPr>
          <w:rFonts w:cs="David"/>
          <w:rtl/>
        </w:rPr>
        <w:t>–</w:t>
      </w:r>
      <w:r w:rsidRPr="008D1DBA">
        <w:rPr>
          <w:rFonts w:cs="David" w:hint="cs"/>
          <w:rtl/>
        </w:rPr>
        <w:t xml:space="preserve"> מה יבוא לפני השופט? מה ראוי למשפט?</w:t>
      </w:r>
    </w:p>
    <w:p w:rsidR="005B3751" w:rsidRPr="008D1DBA" w:rsidRDefault="005B3751" w:rsidP="00530D3A">
      <w:pPr>
        <w:pStyle w:val="a9"/>
        <w:numPr>
          <w:ilvl w:val="0"/>
          <w:numId w:val="4"/>
        </w:numPr>
        <w:rPr>
          <w:rFonts w:cs="David"/>
        </w:rPr>
      </w:pPr>
      <w:r w:rsidRPr="008D1DBA">
        <w:rPr>
          <w:rFonts w:cs="David" w:hint="cs"/>
          <w:rtl/>
        </w:rPr>
        <w:t xml:space="preserve">השלמת ההליך השיפוטי </w:t>
      </w:r>
      <w:r w:rsidRPr="008D1DBA">
        <w:rPr>
          <w:rFonts w:cs="David"/>
          <w:rtl/>
        </w:rPr>
        <w:t>–</w:t>
      </w:r>
      <w:r w:rsidRPr="008D1DBA">
        <w:rPr>
          <w:rFonts w:cs="David" w:hint="cs"/>
          <w:rtl/>
        </w:rPr>
        <w:t xml:space="preserve"> היכן שהייתה קיימת </w:t>
      </w:r>
      <w:proofErr w:type="spellStart"/>
      <w:r w:rsidRPr="008D1DBA">
        <w:rPr>
          <w:rFonts w:cs="David" w:hint="cs"/>
          <w:rtl/>
        </w:rPr>
        <w:t>לאקונה</w:t>
      </w:r>
      <w:proofErr w:type="spellEnd"/>
      <w:r w:rsidRPr="008D1DBA">
        <w:rPr>
          <w:rFonts w:cs="David" w:hint="cs"/>
          <w:rtl/>
        </w:rPr>
        <w:t>.</w:t>
      </w:r>
    </w:p>
    <w:p w:rsidR="005B3751" w:rsidRPr="008D1DBA" w:rsidRDefault="005B3751" w:rsidP="00530D3A">
      <w:pPr>
        <w:pStyle w:val="a9"/>
        <w:numPr>
          <w:ilvl w:val="0"/>
          <w:numId w:val="4"/>
        </w:numPr>
        <w:rPr>
          <w:rFonts w:cs="David"/>
        </w:rPr>
      </w:pPr>
      <w:r w:rsidRPr="008D1DBA">
        <w:rPr>
          <w:rFonts w:cs="David" w:hint="cs"/>
          <w:rtl/>
        </w:rPr>
        <w:t xml:space="preserve">הגשמת המשפט </w:t>
      </w:r>
      <w:r w:rsidRPr="008D1DBA">
        <w:rPr>
          <w:rFonts w:cs="David"/>
          <w:rtl/>
        </w:rPr>
        <w:t>–</w:t>
      </w:r>
      <w:r w:rsidRPr="008D1DBA">
        <w:rPr>
          <w:rFonts w:cs="David" w:hint="cs"/>
          <w:rtl/>
        </w:rPr>
        <w:t xml:space="preserve"> דרכים צורניות לקביעת כשרות מסמכים.</w:t>
      </w:r>
    </w:p>
    <w:p w:rsidR="005B3751" w:rsidRPr="008D1DBA" w:rsidRDefault="005B3751" w:rsidP="00530D3A">
      <w:pPr>
        <w:pStyle w:val="a9"/>
        <w:numPr>
          <w:ilvl w:val="0"/>
          <w:numId w:val="3"/>
        </w:numPr>
        <w:rPr>
          <w:rFonts w:cs="David"/>
        </w:rPr>
      </w:pPr>
      <w:r w:rsidRPr="008D1DBA">
        <w:rPr>
          <w:rFonts w:cs="David" w:hint="cs"/>
          <w:b/>
          <w:bCs/>
          <w:rtl/>
        </w:rPr>
        <w:t>משפט העמים</w:t>
      </w:r>
      <w:r w:rsidRPr="008D1DBA">
        <w:rPr>
          <w:rFonts w:cs="David" w:hint="cs"/>
          <w:rtl/>
        </w:rPr>
        <w:t xml:space="preserve"> </w:t>
      </w:r>
      <w:r w:rsidRPr="008D1DBA">
        <w:rPr>
          <w:rFonts w:cs="David"/>
          <w:rtl/>
        </w:rPr>
        <w:t>–</w:t>
      </w:r>
      <w:r w:rsidRPr="008D1DBA">
        <w:rPr>
          <w:rFonts w:cs="David" w:hint="cs"/>
          <w:rtl/>
        </w:rPr>
        <w:t xml:space="preserve"> האימפריה התפתחה, ועמה קשרי המסחר הבינ"ל. דבר שהביא לסכסוכים של תושבי האימפריה עם זרים. </w:t>
      </w:r>
      <w:proofErr w:type="spellStart"/>
      <w:r w:rsidRPr="008D1DBA">
        <w:rPr>
          <w:rFonts w:cs="David" w:hint="cs"/>
          <w:rtl/>
        </w:rPr>
        <w:t>הפרייטור</w:t>
      </w:r>
      <w:proofErr w:type="spellEnd"/>
      <w:r w:rsidRPr="008D1DBA">
        <w:rPr>
          <w:rFonts w:cs="David" w:hint="cs"/>
          <w:rtl/>
        </w:rPr>
        <w:t xml:space="preserve"> "התחלק" ל-2: אחד לפנים ושני לחוץ (זרים). בשל הקושי לשפוט אזרחים זרים (בעלי משפט שונה) קבע </w:t>
      </w:r>
      <w:proofErr w:type="spellStart"/>
      <w:r w:rsidRPr="008D1DBA">
        <w:rPr>
          <w:rFonts w:cs="David" w:hint="cs"/>
          <w:rtl/>
        </w:rPr>
        <w:t>הפרייטור</w:t>
      </w:r>
      <w:proofErr w:type="spellEnd"/>
      <w:r w:rsidRPr="008D1DBA">
        <w:rPr>
          <w:rFonts w:cs="David" w:hint="cs"/>
          <w:rtl/>
        </w:rPr>
        <w:t xml:space="preserve"> עקרונות כללים למשפט: כתום לב, צדק </w:t>
      </w:r>
      <w:proofErr w:type="spellStart"/>
      <w:r w:rsidRPr="008D1DBA">
        <w:rPr>
          <w:rFonts w:cs="David" w:hint="cs"/>
          <w:rtl/>
        </w:rPr>
        <w:t>וכו</w:t>
      </w:r>
      <w:proofErr w:type="spellEnd"/>
      <w:r w:rsidRPr="008D1DBA">
        <w:rPr>
          <w:rFonts w:cs="David" w:hint="cs"/>
          <w:rtl/>
        </w:rPr>
        <w:t>'. עקרונות אשר עם הזמן חדרו גם למשפט הרומי הפנימי.</w:t>
      </w:r>
    </w:p>
    <w:p w:rsidR="005B3751" w:rsidRPr="008D1DBA" w:rsidRDefault="005B3751" w:rsidP="00530D3A">
      <w:pPr>
        <w:pStyle w:val="a9"/>
        <w:numPr>
          <w:ilvl w:val="0"/>
          <w:numId w:val="3"/>
        </w:numPr>
        <w:rPr>
          <w:rFonts w:cs="David"/>
        </w:rPr>
      </w:pPr>
      <w:r w:rsidRPr="008D1DBA">
        <w:rPr>
          <w:rFonts w:cs="David" w:hint="cs"/>
          <w:rtl/>
        </w:rPr>
        <w:t xml:space="preserve">שליט המדינה </w:t>
      </w:r>
      <w:r w:rsidRPr="008D1DBA">
        <w:rPr>
          <w:rFonts w:cs="David"/>
          <w:rtl/>
        </w:rPr>
        <w:t>–</w:t>
      </w:r>
      <w:r w:rsidRPr="008D1DBA">
        <w:rPr>
          <w:rFonts w:cs="David" w:hint="cs"/>
          <w:rtl/>
        </w:rPr>
        <w:t xml:space="preserve"> כרשות המבצעת, השלים </w:t>
      </w:r>
      <w:proofErr w:type="spellStart"/>
      <w:r w:rsidRPr="008D1DBA">
        <w:rPr>
          <w:rFonts w:cs="David" w:hint="cs"/>
          <w:rtl/>
        </w:rPr>
        <w:t>לאקונות</w:t>
      </w:r>
      <w:proofErr w:type="spellEnd"/>
      <w:r w:rsidRPr="008D1DBA">
        <w:rPr>
          <w:rFonts w:cs="David" w:hint="cs"/>
          <w:rtl/>
        </w:rPr>
        <w:t>. זאת באמצעות צווים שונים.</w:t>
      </w:r>
    </w:p>
    <w:p w:rsidR="005B3751" w:rsidRPr="008D1DBA" w:rsidRDefault="005B3751" w:rsidP="00530D3A">
      <w:pPr>
        <w:pStyle w:val="a9"/>
        <w:numPr>
          <w:ilvl w:val="0"/>
          <w:numId w:val="3"/>
        </w:numPr>
        <w:rPr>
          <w:rFonts w:cs="David"/>
        </w:rPr>
      </w:pPr>
      <w:r w:rsidRPr="008D1DBA">
        <w:rPr>
          <w:rFonts w:cs="David" w:hint="cs"/>
          <w:rtl/>
        </w:rPr>
        <w:t xml:space="preserve">חו"ד של מומחי המשפט </w:t>
      </w:r>
      <w:r w:rsidRPr="008D1DBA">
        <w:rPr>
          <w:rFonts w:cs="David"/>
          <w:rtl/>
        </w:rPr>
        <w:t>–</w:t>
      </w:r>
      <w:r w:rsidRPr="008D1DBA">
        <w:rPr>
          <w:rFonts w:cs="David" w:hint="cs"/>
          <w:rtl/>
        </w:rPr>
        <w:t xml:space="preserve"> </w:t>
      </w:r>
      <w:r w:rsidR="00B26F4B" w:rsidRPr="008D1DBA">
        <w:rPr>
          <w:rFonts w:cs="David" w:hint="cs"/>
          <w:rtl/>
        </w:rPr>
        <w:t>מומחים למשפט אשר נתנו חו"</w:t>
      </w:r>
      <w:r w:rsidR="000523BC" w:rsidRPr="008D1DBA">
        <w:rPr>
          <w:rFonts w:cs="David" w:hint="cs"/>
          <w:rtl/>
        </w:rPr>
        <w:t xml:space="preserve">ד בנוגע </w:t>
      </w:r>
      <w:proofErr w:type="spellStart"/>
      <w:r w:rsidR="000523BC" w:rsidRPr="008D1DBA">
        <w:rPr>
          <w:rFonts w:cs="David" w:hint="cs"/>
          <w:rtl/>
        </w:rPr>
        <w:t>לקייסים</w:t>
      </w:r>
      <w:proofErr w:type="spellEnd"/>
      <w:r w:rsidR="000523BC" w:rsidRPr="008D1DBA">
        <w:rPr>
          <w:rFonts w:cs="David" w:hint="cs"/>
          <w:rtl/>
        </w:rPr>
        <w:t>, ואף טענו במשפט עצמו.</w:t>
      </w:r>
      <w:r w:rsidR="00B26F4B" w:rsidRPr="008D1DBA">
        <w:rPr>
          <w:rFonts w:cs="David" w:hint="cs"/>
          <w:rtl/>
        </w:rPr>
        <w:t xml:space="preserve"> </w:t>
      </w:r>
      <w:r w:rsidRPr="008D1DBA">
        <w:rPr>
          <w:rFonts w:cs="David" w:hint="cs"/>
          <w:rtl/>
        </w:rPr>
        <w:t>עם הזמן הפכו חו"ד אלה למחייבות משפטית (בתחילה הייתה הסמכות בידי כוהני הדת). בתקופת "תור הזהב", הפכה הספרות המקצועית של מומחי המשפט למחייבת.</w:t>
      </w:r>
    </w:p>
    <w:p w:rsidR="005B3751" w:rsidRPr="008D1DBA" w:rsidRDefault="005B3751" w:rsidP="00530D3A">
      <w:pPr>
        <w:rPr>
          <w:rFonts w:cs="David"/>
          <w:rtl/>
        </w:rPr>
      </w:pPr>
      <w:r w:rsidRPr="008D1DBA">
        <w:rPr>
          <w:rFonts w:cs="David" w:hint="cs"/>
          <w:b/>
          <w:bCs/>
          <w:u w:val="single"/>
          <w:rtl/>
        </w:rPr>
        <w:t>הדואליות בהתפתחות המשפט</w:t>
      </w:r>
      <w:r w:rsidRPr="008D1DBA">
        <w:rPr>
          <w:rFonts w:cs="David" w:hint="cs"/>
          <w:rtl/>
        </w:rPr>
        <w:t xml:space="preserve">: מחד על המשפט לשמור על יציבות (כתיבת חוק, ספרי חכמי המשפט) ומאידך, קיים הצורך בפירוש פר מקרה (כהני הדת וכו'). דוגמא לכך הינה קוד </w:t>
      </w:r>
      <w:proofErr w:type="spellStart"/>
      <w:r w:rsidRPr="008D1DBA">
        <w:rPr>
          <w:rFonts w:cs="David" w:hint="cs"/>
          <w:rtl/>
        </w:rPr>
        <w:t>יוסטינאנוס</w:t>
      </w:r>
      <w:proofErr w:type="spellEnd"/>
      <w:r w:rsidRPr="008D1DBA">
        <w:rPr>
          <w:rFonts w:cs="David" w:hint="cs"/>
          <w:rtl/>
        </w:rPr>
        <w:t xml:space="preserve"> </w:t>
      </w:r>
      <w:r w:rsidRPr="008D1DBA">
        <w:rPr>
          <w:rFonts w:cs="David"/>
          <w:rtl/>
        </w:rPr>
        <w:t>–</w:t>
      </w:r>
      <w:r w:rsidRPr="008D1DBA">
        <w:rPr>
          <w:rFonts w:cs="David" w:hint="cs"/>
          <w:rtl/>
        </w:rPr>
        <w:t xml:space="preserve"> אשר איגד ועדת חכמי משפט שאספו את החומר המשפטי, עיבדו אותו, וכתבו ע"ב זה קודקס הכולל את כל חוקי רומא. </w:t>
      </w:r>
    </w:p>
    <w:p w:rsidR="0078659D" w:rsidRPr="008D1DBA" w:rsidRDefault="0078659D" w:rsidP="00530D3A">
      <w:pPr>
        <w:rPr>
          <w:rFonts w:cs="David"/>
          <w:rtl/>
        </w:rPr>
      </w:pPr>
      <w:proofErr w:type="spellStart"/>
      <w:r w:rsidRPr="008D1DBA">
        <w:rPr>
          <w:rFonts w:cs="David" w:hint="cs"/>
          <w:u w:val="single"/>
          <w:rtl/>
        </w:rPr>
        <w:t>דיגסטה</w:t>
      </w:r>
      <w:proofErr w:type="spellEnd"/>
      <w:r w:rsidRPr="008D1DBA">
        <w:rPr>
          <w:rFonts w:cs="David" w:hint="cs"/>
          <w:rtl/>
        </w:rPr>
        <w:t xml:space="preserve"> </w:t>
      </w:r>
      <w:r w:rsidRPr="008D1DBA">
        <w:rPr>
          <w:rFonts w:cs="David"/>
          <w:rtl/>
        </w:rPr>
        <w:t>–</w:t>
      </w:r>
      <w:r w:rsidRPr="008D1DBA">
        <w:rPr>
          <w:rFonts w:cs="David" w:hint="cs"/>
          <w:rtl/>
        </w:rPr>
        <w:t xml:space="preserve"> שו"ת משפטיות. </w:t>
      </w:r>
      <w:r w:rsidRPr="008D1DBA">
        <w:rPr>
          <w:rFonts w:cs="David" w:hint="cs"/>
          <w:u w:val="single"/>
          <w:rtl/>
        </w:rPr>
        <w:t>אינסטיטוציות</w:t>
      </w:r>
      <w:r w:rsidRPr="008D1DBA">
        <w:rPr>
          <w:rFonts w:cs="David" w:hint="cs"/>
          <w:rtl/>
        </w:rPr>
        <w:t xml:space="preserve"> </w:t>
      </w:r>
      <w:r w:rsidRPr="008D1DBA">
        <w:rPr>
          <w:rFonts w:cs="David"/>
          <w:rtl/>
        </w:rPr>
        <w:t>–</w:t>
      </w:r>
      <w:r w:rsidRPr="008D1DBA">
        <w:rPr>
          <w:rFonts w:cs="David" w:hint="cs"/>
          <w:rtl/>
        </w:rPr>
        <w:t xml:space="preserve"> </w:t>
      </w:r>
      <w:r w:rsidR="005B5658" w:rsidRPr="008D1DBA">
        <w:rPr>
          <w:rFonts w:cs="David" w:hint="cs"/>
          <w:rtl/>
        </w:rPr>
        <w:t xml:space="preserve">יסודות המשפט. כולל את עקרונות המשפט של </w:t>
      </w:r>
      <w:proofErr w:type="spellStart"/>
      <w:r w:rsidR="005B5658" w:rsidRPr="008D1DBA">
        <w:rPr>
          <w:rFonts w:cs="David" w:hint="cs"/>
          <w:rtl/>
        </w:rPr>
        <w:t>גאיוס</w:t>
      </w:r>
      <w:proofErr w:type="spellEnd"/>
      <w:r w:rsidRPr="008D1DBA">
        <w:rPr>
          <w:rFonts w:cs="David" w:hint="cs"/>
          <w:rtl/>
        </w:rPr>
        <w:t xml:space="preserve">. </w:t>
      </w:r>
      <w:proofErr w:type="spellStart"/>
      <w:r w:rsidRPr="008D1DBA">
        <w:rPr>
          <w:rFonts w:cs="David" w:hint="cs"/>
          <w:u w:val="single"/>
          <w:rtl/>
        </w:rPr>
        <w:t>קודקוס</w:t>
      </w:r>
      <w:proofErr w:type="spellEnd"/>
      <w:r w:rsidRPr="008D1DBA">
        <w:rPr>
          <w:rFonts w:cs="David" w:hint="cs"/>
          <w:u w:val="single"/>
          <w:rtl/>
        </w:rPr>
        <w:t xml:space="preserve"> </w:t>
      </w:r>
      <w:proofErr w:type="spellStart"/>
      <w:r w:rsidRPr="008D1DBA">
        <w:rPr>
          <w:rFonts w:cs="David" w:hint="cs"/>
          <w:u w:val="single"/>
          <w:rtl/>
        </w:rPr>
        <w:t>נובלוס</w:t>
      </w:r>
      <w:proofErr w:type="spellEnd"/>
      <w:r w:rsidRPr="008D1DBA">
        <w:rPr>
          <w:rFonts w:cs="David" w:hint="cs"/>
          <w:rtl/>
        </w:rPr>
        <w:t xml:space="preserve"> </w:t>
      </w:r>
      <w:r w:rsidRPr="008D1DBA">
        <w:rPr>
          <w:rFonts w:cs="David"/>
          <w:rtl/>
        </w:rPr>
        <w:t>–</w:t>
      </w:r>
      <w:r w:rsidRPr="008D1DBA">
        <w:rPr>
          <w:rFonts w:cs="David" w:hint="cs"/>
          <w:rtl/>
        </w:rPr>
        <w:t xml:space="preserve"> חידוש הקודקס. </w:t>
      </w:r>
    </w:p>
    <w:p w:rsidR="0078659D" w:rsidRPr="008D1DBA" w:rsidRDefault="0078659D" w:rsidP="00530D3A">
      <w:pPr>
        <w:rPr>
          <w:rFonts w:cs="David"/>
          <w:rtl/>
        </w:rPr>
      </w:pPr>
      <w:r w:rsidRPr="008D1DBA">
        <w:rPr>
          <w:rFonts w:cs="David" w:hint="cs"/>
          <w:b/>
          <w:bCs/>
          <w:u w:val="single"/>
          <w:rtl/>
        </w:rPr>
        <w:t>המנהג המשפטי</w:t>
      </w:r>
      <w:r w:rsidRPr="008D1DBA">
        <w:rPr>
          <w:rFonts w:cs="David" w:hint="cs"/>
          <w:rtl/>
        </w:rPr>
        <w:t>: נורמה משפטית מחייבת. המנהג המשפטי תופס מקום רחב בחברות לא מפותחות.</w:t>
      </w:r>
    </w:p>
    <w:p w:rsidR="0078659D" w:rsidRPr="008D1DBA" w:rsidRDefault="0078659D" w:rsidP="00530D3A">
      <w:pPr>
        <w:rPr>
          <w:rFonts w:cs="David"/>
          <w:rtl/>
        </w:rPr>
      </w:pPr>
      <w:r w:rsidRPr="008D1DBA">
        <w:rPr>
          <w:rFonts w:cs="David" w:hint="cs"/>
          <w:rtl/>
        </w:rPr>
        <w:t xml:space="preserve">לאחר נפילת האימפריה המערבית, ובעקבות הגירה מואצת לאירופה, מקומות רבים נהגו לפי מנהגים שלהם. זאת בשל היעדר </w:t>
      </w:r>
      <w:proofErr w:type="spellStart"/>
      <w:r w:rsidRPr="008D1DBA">
        <w:rPr>
          <w:rFonts w:cs="David" w:hint="cs"/>
          <w:rtl/>
        </w:rPr>
        <w:t>כח</w:t>
      </w:r>
      <w:proofErr w:type="spellEnd"/>
      <w:r w:rsidRPr="008D1DBA">
        <w:rPr>
          <w:rFonts w:cs="David" w:hint="cs"/>
          <w:rtl/>
        </w:rPr>
        <w:t xml:space="preserve"> שלטוני מרכזי.</w:t>
      </w:r>
    </w:p>
    <w:p w:rsidR="0078659D" w:rsidRPr="008D1DBA" w:rsidRDefault="0078659D" w:rsidP="00530D3A">
      <w:pPr>
        <w:rPr>
          <w:rFonts w:cs="David"/>
          <w:rtl/>
        </w:rPr>
      </w:pPr>
      <w:r w:rsidRPr="008D1DBA">
        <w:rPr>
          <w:rFonts w:cs="David" w:hint="cs"/>
          <w:rtl/>
        </w:rPr>
        <w:t>מנהג משפטי הינו יחס מחזורי, היוצר ציפייה להמשכיות קיומו המחייב. זאת על אף, שאינו מעוגן בחוק. הפסקתו תתפרש כהפרה של נורמה.</w:t>
      </w:r>
    </w:p>
    <w:p w:rsidR="0078659D" w:rsidRPr="008D1DBA" w:rsidRDefault="0078659D" w:rsidP="00530D3A">
      <w:pPr>
        <w:rPr>
          <w:rFonts w:cs="David"/>
          <w:rtl/>
        </w:rPr>
      </w:pPr>
      <w:r w:rsidRPr="008D1DBA">
        <w:rPr>
          <w:rFonts w:cs="David" w:hint="cs"/>
          <w:rtl/>
        </w:rPr>
        <w:t xml:space="preserve">2 צורות לעיגון מנהגים: </w:t>
      </w:r>
    </w:p>
    <w:p w:rsidR="0078659D" w:rsidRPr="008D1DBA" w:rsidRDefault="0078659D" w:rsidP="00530D3A">
      <w:pPr>
        <w:pStyle w:val="a9"/>
        <w:numPr>
          <w:ilvl w:val="0"/>
          <w:numId w:val="5"/>
        </w:numPr>
        <w:rPr>
          <w:rFonts w:cs="David"/>
        </w:rPr>
      </w:pPr>
      <w:r w:rsidRPr="008D1DBA">
        <w:rPr>
          <w:rFonts w:cs="David" w:hint="cs"/>
          <w:rtl/>
        </w:rPr>
        <w:t xml:space="preserve">פרוצדורלי </w:t>
      </w:r>
      <w:r w:rsidRPr="008D1DBA">
        <w:rPr>
          <w:rFonts w:cs="David"/>
          <w:rtl/>
        </w:rPr>
        <w:t>–</w:t>
      </w:r>
      <w:r w:rsidRPr="008D1DBA">
        <w:rPr>
          <w:rFonts w:cs="David" w:hint="cs"/>
          <w:rtl/>
        </w:rPr>
        <w:t xml:space="preserve"> </w:t>
      </w:r>
      <w:r w:rsidRPr="008D1DBA">
        <w:rPr>
          <w:rFonts w:cs="David" w:hint="cs"/>
          <w:u w:val="single"/>
          <w:rtl/>
        </w:rPr>
        <w:t>עיגון מנהגים בהליך שיפוטי</w:t>
      </w:r>
      <w:r w:rsidRPr="008D1DBA">
        <w:rPr>
          <w:rFonts w:cs="David" w:hint="cs"/>
          <w:rtl/>
        </w:rPr>
        <w:t xml:space="preserve"> </w:t>
      </w:r>
      <w:r w:rsidRPr="008D1DBA">
        <w:rPr>
          <w:rFonts w:cs="David"/>
          <w:rtl/>
        </w:rPr>
        <w:t>–</w:t>
      </w:r>
      <w:r w:rsidRPr="008D1DBA">
        <w:rPr>
          <w:rFonts w:cs="David" w:hint="cs"/>
          <w:rtl/>
        </w:rPr>
        <w:t xml:space="preserve"> אם ביהמ"ש נותן למנהג תוקף, הוא הופך לקביעה מחייבת. באירופה נהגו לכנס את העיירה למעמד בו מזכירים את מנהגי המקום, דבר אשר נתן למנהג תוקף. בתקופות מאוחרות יותר, נהג המלך לכנס את נתיניו למה שכונה "אסיפת המעמדות", בו הכריז על המוסכמות החוקתיות. מעמד זה התרחב בהמשך, ונציגים נבחרו לייצג קהילות.</w:t>
      </w:r>
    </w:p>
    <w:p w:rsidR="009B0380" w:rsidRPr="008D1DBA" w:rsidRDefault="009B0380" w:rsidP="00530D3A">
      <w:pPr>
        <w:pStyle w:val="a9"/>
        <w:ind w:left="360"/>
        <w:rPr>
          <w:rFonts w:cs="David"/>
          <w:rtl/>
        </w:rPr>
      </w:pPr>
      <w:r w:rsidRPr="008D1DBA">
        <w:rPr>
          <w:rFonts w:cs="David" w:hint="cs"/>
          <w:rtl/>
        </w:rPr>
        <w:t xml:space="preserve">הכרזות אלה, היו הליך שיפוטי לעיגונם של מנהגים, אך יש לציין כי ההליך השיפוטי של אז היה שונה </w:t>
      </w:r>
      <w:proofErr w:type="spellStart"/>
      <w:r w:rsidRPr="008D1DBA">
        <w:rPr>
          <w:rFonts w:cs="David" w:hint="cs"/>
          <w:rtl/>
        </w:rPr>
        <w:t>מכיום</w:t>
      </w:r>
      <w:proofErr w:type="spellEnd"/>
      <w:r w:rsidRPr="008D1DBA">
        <w:rPr>
          <w:rFonts w:cs="David" w:hint="cs"/>
          <w:rtl/>
        </w:rPr>
        <w:t>. שכן, שאיפת המשפט הקדום הייתה לתת ביטוי למנהג המקובל, וליצור לחץ חברתי סביב המפר שיתקן העוולה שיצר. כמו כן, סדר הדין היה שונה לחלוטין, זאת בשל העובדה שאלה לא היו מעוגנים בצורה ברורה.</w:t>
      </w:r>
    </w:p>
    <w:p w:rsidR="005278A2" w:rsidRPr="008D1DBA" w:rsidRDefault="005278A2" w:rsidP="00530D3A">
      <w:pPr>
        <w:pStyle w:val="a9"/>
        <w:ind w:left="360"/>
        <w:rPr>
          <w:rFonts w:cs="David"/>
          <w:rtl/>
        </w:rPr>
      </w:pPr>
      <w:r w:rsidRPr="008D1DBA">
        <w:rPr>
          <w:rFonts w:cs="David" w:hint="cs"/>
          <w:rtl/>
        </w:rPr>
        <w:t>עם הזמן הפך ההליך לרציונאלי יותר (למשל: במאה ה-11 הכריז האפיפיור על סדרי דין).</w:t>
      </w:r>
    </w:p>
    <w:p w:rsidR="000C4800" w:rsidRPr="008D1DBA" w:rsidRDefault="000C4800" w:rsidP="00530D3A">
      <w:pPr>
        <w:pStyle w:val="a9"/>
        <w:numPr>
          <w:ilvl w:val="0"/>
          <w:numId w:val="5"/>
        </w:numPr>
        <w:rPr>
          <w:rFonts w:cs="David"/>
        </w:rPr>
      </w:pPr>
      <w:proofErr w:type="spellStart"/>
      <w:r w:rsidRPr="008D1DBA">
        <w:rPr>
          <w:rFonts w:cs="David" w:hint="cs"/>
          <w:rtl/>
        </w:rPr>
        <w:t>פוזיטיבציה</w:t>
      </w:r>
      <w:proofErr w:type="spellEnd"/>
      <w:r w:rsidRPr="008D1DBA">
        <w:rPr>
          <w:rFonts w:cs="David" w:hint="cs"/>
          <w:rtl/>
        </w:rPr>
        <w:t xml:space="preserve"> </w:t>
      </w:r>
      <w:r w:rsidRPr="008D1DBA">
        <w:rPr>
          <w:rFonts w:cs="David"/>
          <w:rtl/>
        </w:rPr>
        <w:t>–</w:t>
      </w:r>
      <w:r w:rsidR="0000026E" w:rsidRPr="008D1DBA">
        <w:rPr>
          <w:rFonts w:cs="David" w:hint="cs"/>
          <w:rtl/>
        </w:rPr>
        <w:t xml:space="preserve"> </w:t>
      </w:r>
      <w:r w:rsidR="0000026E" w:rsidRPr="008D1DBA">
        <w:rPr>
          <w:rFonts w:cs="David" w:hint="cs"/>
          <w:u w:val="single"/>
          <w:rtl/>
        </w:rPr>
        <w:t xml:space="preserve">עיגון </w:t>
      </w:r>
      <w:r w:rsidR="002051A4" w:rsidRPr="008D1DBA">
        <w:rPr>
          <w:rFonts w:cs="David" w:hint="cs"/>
          <w:u w:val="single"/>
          <w:rtl/>
        </w:rPr>
        <w:t>מנהגים בחקיקה</w:t>
      </w:r>
      <w:r w:rsidR="002051A4" w:rsidRPr="008D1DBA">
        <w:rPr>
          <w:rFonts w:cs="David" w:hint="cs"/>
          <w:rtl/>
        </w:rPr>
        <w:t xml:space="preserve"> </w:t>
      </w:r>
      <w:r w:rsidR="002051A4" w:rsidRPr="008D1DBA">
        <w:rPr>
          <w:rFonts w:cs="David"/>
          <w:rtl/>
        </w:rPr>
        <w:t>–</w:t>
      </w:r>
      <w:r w:rsidR="002051A4" w:rsidRPr="008D1DBA">
        <w:rPr>
          <w:rFonts w:cs="David" w:hint="cs"/>
          <w:rtl/>
        </w:rPr>
        <w:t xml:space="preserve"> העלאת המנהגים על הכתב, דבר אשר הופך את המנהג לנורמה שהינה מקור לחקיקה.</w:t>
      </w:r>
    </w:p>
    <w:p w:rsidR="002051A4" w:rsidRPr="008D1DBA" w:rsidRDefault="002051A4" w:rsidP="00530D3A">
      <w:pPr>
        <w:pStyle w:val="a9"/>
        <w:ind w:left="360"/>
        <w:rPr>
          <w:rFonts w:cs="David"/>
          <w:rtl/>
        </w:rPr>
      </w:pPr>
      <w:r w:rsidRPr="008D1DBA">
        <w:rPr>
          <w:rFonts w:cs="David" w:hint="cs"/>
          <w:rtl/>
        </w:rPr>
        <w:t>תהליך זה הונע באירופה ע"י 3 תהליכים חברתיים:</w:t>
      </w:r>
    </w:p>
    <w:p w:rsidR="002051A4" w:rsidRPr="008D1DBA" w:rsidRDefault="002051A4" w:rsidP="00530D3A">
      <w:pPr>
        <w:pStyle w:val="a9"/>
        <w:numPr>
          <w:ilvl w:val="0"/>
          <w:numId w:val="6"/>
        </w:numPr>
        <w:rPr>
          <w:rFonts w:cs="David"/>
        </w:rPr>
      </w:pPr>
      <w:r w:rsidRPr="008D1DBA">
        <w:rPr>
          <w:rFonts w:cs="David" w:hint="cs"/>
          <w:u w:val="single"/>
          <w:rtl/>
        </w:rPr>
        <w:t>הכנסייה הקתולית</w:t>
      </w:r>
      <w:r w:rsidRPr="008D1DBA">
        <w:rPr>
          <w:rFonts w:cs="David" w:hint="cs"/>
          <w:rtl/>
        </w:rPr>
        <w:t xml:space="preserve"> </w:t>
      </w:r>
      <w:r w:rsidRPr="008D1DBA">
        <w:rPr>
          <w:rFonts w:cs="David"/>
          <w:rtl/>
        </w:rPr>
        <w:t>–</w:t>
      </w:r>
      <w:r w:rsidRPr="008D1DBA">
        <w:rPr>
          <w:rFonts w:cs="David" w:hint="cs"/>
          <w:rtl/>
        </w:rPr>
        <w:t xml:space="preserve"> כינוס עקרונות הדת לקובץ אחוד, במאה ה-11, זה הפך להיות המשפט הקנוני המכיל הלכות המשפט הנהוג באירופה.</w:t>
      </w:r>
    </w:p>
    <w:p w:rsidR="002051A4" w:rsidRPr="008D1DBA" w:rsidRDefault="002051A4" w:rsidP="00530D3A">
      <w:pPr>
        <w:pStyle w:val="a9"/>
        <w:numPr>
          <w:ilvl w:val="0"/>
          <w:numId w:val="6"/>
        </w:numPr>
        <w:rPr>
          <w:rFonts w:cs="David"/>
        </w:rPr>
      </w:pPr>
      <w:r w:rsidRPr="008D1DBA">
        <w:rPr>
          <w:rFonts w:cs="David" w:hint="cs"/>
          <w:u w:val="single"/>
          <w:rtl/>
        </w:rPr>
        <w:t>המשפט הרומי</w:t>
      </w:r>
      <w:r w:rsidRPr="008D1DBA">
        <w:rPr>
          <w:rFonts w:cs="David" w:hint="cs"/>
          <w:rtl/>
        </w:rPr>
        <w:t xml:space="preserve"> </w:t>
      </w:r>
      <w:r w:rsidRPr="008D1DBA">
        <w:rPr>
          <w:rFonts w:cs="David"/>
          <w:rtl/>
        </w:rPr>
        <w:t>–</w:t>
      </w:r>
      <w:r w:rsidRPr="008D1DBA">
        <w:rPr>
          <w:rFonts w:cs="David" w:hint="cs"/>
          <w:rtl/>
        </w:rPr>
        <w:t xml:space="preserve"> בעקבות התפתחות קשרי המסחר, חדר המשפט הרומי (קוד </w:t>
      </w:r>
      <w:proofErr w:type="spellStart"/>
      <w:r w:rsidRPr="008D1DBA">
        <w:rPr>
          <w:rFonts w:cs="David" w:hint="cs"/>
          <w:rtl/>
        </w:rPr>
        <w:t>יוסטינאנוס</w:t>
      </w:r>
      <w:proofErr w:type="spellEnd"/>
      <w:r w:rsidRPr="008D1DBA">
        <w:rPr>
          <w:rFonts w:cs="David" w:hint="cs"/>
          <w:rtl/>
        </w:rPr>
        <w:t>) למוסדות הלימוד האירופאיים, עם הזמן הפך להיות החוק העדיף באירופה.</w:t>
      </w:r>
    </w:p>
    <w:p w:rsidR="002051A4" w:rsidRPr="008D1DBA" w:rsidRDefault="002051A4" w:rsidP="00530D3A">
      <w:pPr>
        <w:pStyle w:val="a9"/>
        <w:numPr>
          <w:ilvl w:val="0"/>
          <w:numId w:val="6"/>
        </w:numPr>
        <w:rPr>
          <w:rFonts w:cs="David"/>
        </w:rPr>
      </w:pPr>
      <w:r w:rsidRPr="008D1DBA">
        <w:rPr>
          <w:rFonts w:cs="David" w:hint="cs"/>
          <w:u w:val="single"/>
          <w:rtl/>
        </w:rPr>
        <w:t>משפט הסוחרים</w:t>
      </w:r>
      <w:r w:rsidRPr="008D1DBA">
        <w:rPr>
          <w:rFonts w:cs="David" w:hint="cs"/>
          <w:rtl/>
        </w:rPr>
        <w:t xml:space="preserve"> </w:t>
      </w:r>
      <w:r w:rsidRPr="008D1DBA">
        <w:rPr>
          <w:rFonts w:cs="David"/>
          <w:rtl/>
        </w:rPr>
        <w:t>–</w:t>
      </w:r>
      <w:r w:rsidRPr="008D1DBA">
        <w:rPr>
          <w:rFonts w:cs="David" w:hint="cs"/>
          <w:rtl/>
        </w:rPr>
        <w:t xml:space="preserve"> סוחרים בינ"ל הקימו לעצמם מוסדות פנימיים לפתרון סכסוכים מסחריים, אשר התבססו על עקרונות משפט עצמאיים.</w:t>
      </w:r>
    </w:p>
    <w:p w:rsidR="002051A4" w:rsidRPr="008D1DBA" w:rsidRDefault="002051A4" w:rsidP="00530D3A">
      <w:pPr>
        <w:pStyle w:val="a9"/>
        <w:numPr>
          <w:ilvl w:val="0"/>
          <w:numId w:val="7"/>
        </w:numPr>
        <w:rPr>
          <w:rFonts w:cs="David"/>
        </w:rPr>
      </w:pPr>
      <w:r w:rsidRPr="008D1DBA">
        <w:rPr>
          <w:rFonts w:cs="David" w:hint="cs"/>
          <w:rtl/>
        </w:rPr>
        <w:t>גורמים אלה הביאו ליצירת המשפט האזרחי.</w:t>
      </w:r>
    </w:p>
    <w:p w:rsidR="00924F39" w:rsidRPr="008D1DBA" w:rsidRDefault="00924F39" w:rsidP="00530D3A">
      <w:pPr>
        <w:rPr>
          <w:rFonts w:cs="David"/>
          <w:rtl/>
        </w:rPr>
      </w:pPr>
      <w:r w:rsidRPr="008D1DBA">
        <w:rPr>
          <w:rFonts w:cs="David" w:hint="cs"/>
          <w:b/>
          <w:bCs/>
          <w:u w:val="single"/>
          <w:rtl/>
        </w:rPr>
        <w:lastRenderedPageBreak/>
        <w:t xml:space="preserve">חקיקה </w:t>
      </w:r>
      <w:proofErr w:type="spellStart"/>
      <w:r w:rsidRPr="008D1DBA">
        <w:rPr>
          <w:rFonts w:cs="David" w:hint="cs"/>
          <w:b/>
          <w:bCs/>
          <w:u w:val="single"/>
          <w:rtl/>
        </w:rPr>
        <w:t>קודיפיקטיבית</w:t>
      </w:r>
      <w:proofErr w:type="spellEnd"/>
      <w:r w:rsidRPr="008D1DBA">
        <w:rPr>
          <w:rFonts w:cs="David" w:hint="cs"/>
          <w:rtl/>
        </w:rPr>
        <w:t xml:space="preserve"> </w:t>
      </w:r>
      <w:r w:rsidRPr="008D1DBA">
        <w:rPr>
          <w:rFonts w:cs="David"/>
          <w:rtl/>
        </w:rPr>
        <w:t>–</w:t>
      </w:r>
      <w:r w:rsidRPr="008D1DBA">
        <w:rPr>
          <w:rFonts w:cs="David" w:hint="cs"/>
          <w:rtl/>
        </w:rPr>
        <w:t xml:space="preserve"> קודקס הינו איגוד חוקים לכדי אוסף מקיף. ברוב העולם המודרני קיימים קודקסים אזרחיים, הנובעים מההיסטוריה של המדינות. לרוב הקודקסים מקובלים במדינות המושפעות משיטת המשפט </w:t>
      </w:r>
      <w:proofErr w:type="spellStart"/>
      <w:r w:rsidRPr="008D1DBA">
        <w:rPr>
          <w:rFonts w:cs="David" w:hint="cs"/>
          <w:rtl/>
        </w:rPr>
        <w:t>הרומאנו-גרמאנית</w:t>
      </w:r>
      <w:proofErr w:type="spellEnd"/>
      <w:r w:rsidRPr="008D1DBA">
        <w:rPr>
          <w:rFonts w:cs="David" w:hint="cs"/>
          <w:rtl/>
        </w:rPr>
        <w:t>. אך לא רק.</w:t>
      </w:r>
    </w:p>
    <w:p w:rsidR="00924F39" w:rsidRPr="008D1DBA" w:rsidRDefault="00924F39" w:rsidP="00530D3A">
      <w:pPr>
        <w:rPr>
          <w:rFonts w:cs="David"/>
          <w:rtl/>
        </w:rPr>
      </w:pPr>
      <w:r w:rsidRPr="008D1DBA">
        <w:rPr>
          <w:rFonts w:cs="David" w:hint="cs"/>
          <w:b/>
          <w:bCs/>
          <w:u w:val="single"/>
          <w:rtl/>
        </w:rPr>
        <w:t>מקורות היסטוריים לרעיון הקודיפיקציה</w:t>
      </w:r>
      <w:r w:rsidRPr="008D1DBA">
        <w:rPr>
          <w:rFonts w:cs="David" w:hint="cs"/>
          <w:rtl/>
        </w:rPr>
        <w:t>: באירופה ניתן למנות 3 סיבות לעליית הרעיון:</w:t>
      </w:r>
    </w:p>
    <w:p w:rsidR="00924F39" w:rsidRPr="008D1DBA" w:rsidRDefault="00924F39" w:rsidP="00530D3A">
      <w:pPr>
        <w:pStyle w:val="a9"/>
        <w:numPr>
          <w:ilvl w:val="0"/>
          <w:numId w:val="8"/>
        </w:numPr>
        <w:rPr>
          <w:rFonts w:cs="David"/>
        </w:rPr>
      </w:pPr>
      <w:r w:rsidRPr="008D1DBA">
        <w:rPr>
          <w:rFonts w:cs="David" w:hint="cs"/>
          <w:b/>
          <w:bCs/>
          <w:rtl/>
        </w:rPr>
        <w:t>המורשת הרומית</w:t>
      </w:r>
      <w:r w:rsidRPr="008D1DBA">
        <w:rPr>
          <w:rFonts w:cs="David" w:hint="cs"/>
          <w:rtl/>
        </w:rPr>
        <w:t xml:space="preserve"> </w:t>
      </w:r>
      <w:r w:rsidRPr="008D1DBA">
        <w:rPr>
          <w:rFonts w:cs="David"/>
          <w:rtl/>
        </w:rPr>
        <w:t>–</w:t>
      </w:r>
      <w:r w:rsidRPr="008D1DBA">
        <w:rPr>
          <w:rFonts w:cs="David" w:hint="cs"/>
          <w:rtl/>
        </w:rPr>
        <w:t xml:space="preserve"> האירופאים ניסו להידמות לרומים בחקיקתם, זאת בהתאם לקוד </w:t>
      </w:r>
      <w:proofErr w:type="spellStart"/>
      <w:r w:rsidRPr="008D1DBA">
        <w:rPr>
          <w:rFonts w:cs="David" w:hint="cs"/>
          <w:rtl/>
        </w:rPr>
        <w:t>יוסטינאנוס</w:t>
      </w:r>
      <w:proofErr w:type="spellEnd"/>
      <w:r w:rsidRPr="008D1DBA">
        <w:rPr>
          <w:rFonts w:cs="David" w:hint="cs"/>
          <w:rtl/>
        </w:rPr>
        <w:t>.</w:t>
      </w:r>
    </w:p>
    <w:p w:rsidR="00924F39" w:rsidRPr="008D1DBA" w:rsidRDefault="00924F39" w:rsidP="00530D3A">
      <w:pPr>
        <w:pStyle w:val="a9"/>
        <w:numPr>
          <w:ilvl w:val="0"/>
          <w:numId w:val="8"/>
        </w:numPr>
        <w:rPr>
          <w:rFonts w:cs="David"/>
        </w:rPr>
      </w:pPr>
      <w:r w:rsidRPr="008D1DBA">
        <w:rPr>
          <w:rFonts w:cs="David" w:hint="cs"/>
          <w:b/>
          <w:bCs/>
          <w:rtl/>
        </w:rPr>
        <w:t>עליית המדינה המודרנית</w:t>
      </w:r>
      <w:r w:rsidRPr="008D1DBA">
        <w:rPr>
          <w:rFonts w:cs="David" w:hint="cs"/>
          <w:rtl/>
        </w:rPr>
        <w:t xml:space="preserve"> </w:t>
      </w:r>
      <w:r w:rsidRPr="008D1DBA">
        <w:rPr>
          <w:rFonts w:cs="David"/>
          <w:rtl/>
        </w:rPr>
        <w:t>–</w:t>
      </w:r>
      <w:r w:rsidRPr="008D1DBA">
        <w:rPr>
          <w:rFonts w:cs="David" w:hint="cs"/>
          <w:rtl/>
        </w:rPr>
        <w:t xml:space="preserve"> התגבשות המדינות באירופה, תוך דעיכת השלטון הפיאודלי, הביא לסמכויות השולטות </w:t>
      </w:r>
      <w:r w:rsidR="00E83AC3" w:rsidRPr="008D1DBA">
        <w:rPr>
          <w:rFonts w:cs="David" w:hint="cs"/>
          <w:rtl/>
        </w:rPr>
        <w:t xml:space="preserve">על שטחים </w:t>
      </w:r>
      <w:proofErr w:type="spellStart"/>
      <w:r w:rsidR="00E83AC3" w:rsidRPr="008D1DBA">
        <w:rPr>
          <w:rFonts w:cs="David" w:hint="cs"/>
          <w:rtl/>
        </w:rPr>
        <w:t>ג"ג</w:t>
      </w:r>
      <w:proofErr w:type="spellEnd"/>
      <w:r w:rsidR="00E83AC3" w:rsidRPr="008D1DBA">
        <w:rPr>
          <w:rFonts w:cs="David" w:hint="cs"/>
          <w:rtl/>
        </w:rPr>
        <w:t xml:space="preserve"> גדולים </w:t>
      </w:r>
      <w:r w:rsidR="00E83AC3" w:rsidRPr="008D1DBA">
        <w:rPr>
          <w:rFonts w:cs="David"/>
          <w:rtl/>
        </w:rPr>
        <w:t>–</w:t>
      </w:r>
      <w:r w:rsidR="00E83AC3" w:rsidRPr="008D1DBA">
        <w:rPr>
          <w:rFonts w:cs="David" w:hint="cs"/>
          <w:rtl/>
        </w:rPr>
        <w:t xml:space="preserve"> אשר הצריכו מאגד אחיד של חוקים.</w:t>
      </w:r>
    </w:p>
    <w:p w:rsidR="00E83AC3" w:rsidRPr="008D1DBA" w:rsidRDefault="00E83AC3" w:rsidP="00530D3A">
      <w:pPr>
        <w:pStyle w:val="a9"/>
        <w:numPr>
          <w:ilvl w:val="0"/>
          <w:numId w:val="8"/>
        </w:numPr>
        <w:rPr>
          <w:rFonts w:cs="David"/>
        </w:rPr>
      </w:pPr>
      <w:r w:rsidRPr="008D1DBA">
        <w:rPr>
          <w:rFonts w:cs="David" w:hint="cs"/>
          <w:b/>
          <w:bCs/>
          <w:rtl/>
        </w:rPr>
        <w:t>תקופת הנאורות</w:t>
      </w:r>
      <w:r w:rsidRPr="008D1DBA">
        <w:rPr>
          <w:rFonts w:cs="David" w:hint="cs"/>
          <w:rtl/>
        </w:rPr>
        <w:t xml:space="preserve"> </w:t>
      </w:r>
      <w:r w:rsidRPr="008D1DBA">
        <w:rPr>
          <w:rFonts w:cs="David"/>
          <w:rtl/>
        </w:rPr>
        <w:t>–</w:t>
      </w:r>
      <w:r w:rsidRPr="008D1DBA">
        <w:rPr>
          <w:rFonts w:cs="David" w:hint="cs"/>
          <w:rtl/>
        </w:rPr>
        <w:t xml:space="preserve"> האמונה בתבונת האדם הביאה לסילוק מסורות קדומות שלא התבססו על אמונה זו.</w:t>
      </w:r>
    </w:p>
    <w:p w:rsidR="00E83AC3" w:rsidRPr="008D1DBA" w:rsidRDefault="00E83AC3" w:rsidP="00530D3A">
      <w:pPr>
        <w:pStyle w:val="a9"/>
        <w:numPr>
          <w:ilvl w:val="1"/>
          <w:numId w:val="8"/>
        </w:numPr>
        <w:rPr>
          <w:rFonts w:cs="David"/>
        </w:rPr>
      </w:pPr>
      <w:r w:rsidRPr="008D1DBA">
        <w:rPr>
          <w:rFonts w:cs="David" w:hint="cs"/>
          <w:u w:val="single"/>
          <w:rtl/>
        </w:rPr>
        <w:t>האמונה בתבונה</w:t>
      </w:r>
      <w:r w:rsidRPr="008D1DBA">
        <w:rPr>
          <w:rFonts w:cs="David" w:hint="cs"/>
          <w:rtl/>
        </w:rPr>
        <w:t>: תחילת כתיבת האנציקלופדיות והאמונה כי האדם יכול להקיף בכוח שכלו את כל הידע הקיים, גם הידע המשפטי.</w:t>
      </w:r>
    </w:p>
    <w:p w:rsidR="00E83AC3" w:rsidRPr="008D1DBA" w:rsidRDefault="00E83AC3" w:rsidP="00530D3A">
      <w:pPr>
        <w:pStyle w:val="a9"/>
        <w:numPr>
          <w:ilvl w:val="1"/>
          <w:numId w:val="8"/>
        </w:numPr>
        <w:rPr>
          <w:rFonts w:cs="David"/>
        </w:rPr>
      </w:pPr>
      <w:r w:rsidRPr="008D1DBA">
        <w:rPr>
          <w:rFonts w:cs="David" w:hint="cs"/>
          <w:u w:val="single"/>
          <w:rtl/>
        </w:rPr>
        <w:t>רעיונות פוליטיים</w:t>
      </w:r>
      <w:r w:rsidRPr="008D1DBA">
        <w:rPr>
          <w:rFonts w:cs="David" w:hint="cs"/>
          <w:rtl/>
        </w:rPr>
        <w:t>: התפתחות התפיסות הפוליטיות הרואות באדם כיצור תבוני ריבוני, והתבססות רעיונות הדמוקרטיה, הביאו לדרישה לכתיבת המשפט.</w:t>
      </w:r>
    </w:p>
    <w:p w:rsidR="00AF795C" w:rsidRPr="008D1DBA" w:rsidRDefault="00AF795C" w:rsidP="00530D3A">
      <w:pPr>
        <w:rPr>
          <w:rFonts w:cs="David"/>
          <w:rtl/>
        </w:rPr>
      </w:pPr>
      <w:r w:rsidRPr="008D1DBA">
        <w:rPr>
          <w:rFonts w:cs="David" w:hint="cs"/>
          <w:b/>
          <w:bCs/>
          <w:u w:val="single"/>
          <w:rtl/>
        </w:rPr>
        <w:t>קודקס צרפתי וגרמני</w:t>
      </w:r>
      <w:r w:rsidRPr="008D1DBA">
        <w:rPr>
          <w:rFonts w:cs="David" w:hint="cs"/>
          <w:rtl/>
        </w:rPr>
        <w:t>: קודקסים אלו הפכו להיות החשובים בעולם.</w:t>
      </w:r>
    </w:p>
    <w:p w:rsidR="00AF795C" w:rsidRPr="008D1DBA" w:rsidRDefault="00AF795C" w:rsidP="00530D3A">
      <w:pPr>
        <w:rPr>
          <w:rFonts w:cs="David"/>
          <w:rtl/>
        </w:rPr>
      </w:pPr>
      <w:r w:rsidRPr="008D1DBA">
        <w:rPr>
          <w:rFonts w:cs="David" w:hint="cs"/>
          <w:u w:val="single"/>
          <w:rtl/>
        </w:rPr>
        <w:t>הקודקס הצרפתי (קוד נפוליאון)</w:t>
      </w:r>
      <w:r w:rsidRPr="008D1DBA">
        <w:rPr>
          <w:rFonts w:cs="David" w:hint="cs"/>
          <w:rtl/>
        </w:rPr>
        <w:t xml:space="preserve"> </w:t>
      </w:r>
      <w:r w:rsidRPr="008D1DBA">
        <w:rPr>
          <w:rFonts w:cs="David"/>
          <w:rtl/>
        </w:rPr>
        <w:t>–</w:t>
      </w:r>
      <w:r w:rsidRPr="008D1DBA">
        <w:rPr>
          <w:rFonts w:cs="David" w:hint="cs"/>
          <w:rtl/>
        </w:rPr>
        <w:t xml:space="preserve"> נחקק ב-1804, מייצג את העולם המודרני והרעיונות הפוליטיים שלאחר המהפכה ומייצג את הרעיון הדמוקרטי. קודקס זה היה קצר ופשוט לשונית, והשפעתו התפשטה מעבר לצרפת לשאר אירופה ומדינות נוספות.</w:t>
      </w:r>
    </w:p>
    <w:p w:rsidR="00AF795C" w:rsidRPr="008D1DBA" w:rsidRDefault="00AF795C" w:rsidP="00530D3A">
      <w:pPr>
        <w:rPr>
          <w:rFonts w:cs="David"/>
          <w:rtl/>
        </w:rPr>
      </w:pPr>
      <w:r w:rsidRPr="008D1DBA">
        <w:rPr>
          <w:rFonts w:cs="David" w:hint="cs"/>
          <w:u w:val="single"/>
          <w:rtl/>
        </w:rPr>
        <w:t>הקודקס הגרמני</w:t>
      </w:r>
      <w:r w:rsidRPr="008D1DBA">
        <w:rPr>
          <w:rFonts w:cs="David" w:hint="cs"/>
          <w:rtl/>
        </w:rPr>
        <w:t xml:space="preserve"> </w:t>
      </w:r>
      <w:r w:rsidRPr="008D1DBA">
        <w:rPr>
          <w:rFonts w:cs="David"/>
          <w:rtl/>
        </w:rPr>
        <w:t>–</w:t>
      </w:r>
      <w:r w:rsidRPr="008D1DBA">
        <w:rPr>
          <w:rFonts w:cs="David" w:hint="cs"/>
          <w:rtl/>
        </w:rPr>
        <w:t xml:space="preserve"> נחקק ב-1900, ע"י ועדת פרופסורים. עסק פחות בדמוקרטיה, והושפע רבות מן האמונה בתבונת האדם. קיימות 3 סיבות להתבססות הקודקס הגרמני על תבונת האדם ולא דמוקרטיה:</w:t>
      </w:r>
    </w:p>
    <w:p w:rsidR="00AF795C" w:rsidRPr="008D1DBA" w:rsidRDefault="00AF795C" w:rsidP="00530D3A">
      <w:pPr>
        <w:pStyle w:val="a9"/>
        <w:numPr>
          <w:ilvl w:val="0"/>
          <w:numId w:val="7"/>
        </w:numPr>
        <w:rPr>
          <w:rFonts w:cs="David"/>
        </w:rPr>
      </w:pPr>
      <w:r w:rsidRPr="008D1DBA">
        <w:rPr>
          <w:rFonts w:cs="David" w:hint="cs"/>
          <w:rtl/>
        </w:rPr>
        <w:t>גרמניה לא הייתה חלק מהמ</w:t>
      </w:r>
      <w:r w:rsidR="002C55F2" w:rsidRPr="008D1DBA">
        <w:rPr>
          <w:rFonts w:cs="David" w:hint="cs"/>
          <w:rtl/>
        </w:rPr>
        <w:t>ה</w:t>
      </w:r>
      <w:r w:rsidRPr="008D1DBA">
        <w:rPr>
          <w:rFonts w:cs="David" w:hint="cs"/>
          <w:rtl/>
        </w:rPr>
        <w:t>פכה.</w:t>
      </w:r>
    </w:p>
    <w:p w:rsidR="00AF795C" w:rsidRPr="008D1DBA" w:rsidRDefault="00AF795C" w:rsidP="00530D3A">
      <w:pPr>
        <w:pStyle w:val="a9"/>
        <w:numPr>
          <w:ilvl w:val="0"/>
          <w:numId w:val="7"/>
        </w:numPr>
        <w:rPr>
          <w:rFonts w:cs="David"/>
        </w:rPr>
      </w:pPr>
      <w:r w:rsidRPr="008D1DBA">
        <w:rPr>
          <w:rFonts w:cs="David" w:hint="cs"/>
          <w:rtl/>
        </w:rPr>
        <w:t>התבססות על האסכולות ההיסטוריות.</w:t>
      </w:r>
    </w:p>
    <w:p w:rsidR="00AF795C" w:rsidRPr="008D1DBA" w:rsidRDefault="00AF795C" w:rsidP="00530D3A">
      <w:pPr>
        <w:pStyle w:val="a9"/>
        <w:numPr>
          <w:ilvl w:val="0"/>
          <w:numId w:val="7"/>
        </w:numPr>
        <w:rPr>
          <w:rFonts w:cs="David"/>
        </w:rPr>
      </w:pPr>
      <w:r w:rsidRPr="008D1DBA">
        <w:rPr>
          <w:rFonts w:cs="David" w:hint="cs"/>
          <w:rtl/>
        </w:rPr>
        <w:t>השפעה רבה של האמונה במדע.</w:t>
      </w:r>
      <w:r w:rsidR="00BA1661" w:rsidRPr="008D1DBA">
        <w:rPr>
          <w:rFonts w:cs="David" w:hint="cs"/>
          <w:rtl/>
        </w:rPr>
        <w:t xml:space="preserve"> </w:t>
      </w:r>
    </w:p>
    <w:p w:rsidR="004A119A" w:rsidRPr="008D1DBA" w:rsidRDefault="004A119A" w:rsidP="00530D3A">
      <w:pPr>
        <w:rPr>
          <w:rFonts w:cs="David"/>
          <w:rtl/>
        </w:rPr>
      </w:pPr>
      <w:r w:rsidRPr="008D1DBA">
        <w:rPr>
          <w:rFonts w:cs="David" w:hint="cs"/>
          <w:rtl/>
        </w:rPr>
        <w:t>קיימת נטייה מוטעית לראות בקודקס חוק המחליף את זה שקדם לו, מנסחי הקודקסים לדורותיהם לא קיימו מחשבה אודות ביטול המשפט הקודם והקיים.</w:t>
      </w:r>
    </w:p>
    <w:p w:rsidR="004A119A" w:rsidRPr="008D1DBA" w:rsidRDefault="004A119A" w:rsidP="00530D3A">
      <w:pPr>
        <w:rPr>
          <w:rFonts w:cs="David"/>
          <w:rtl/>
        </w:rPr>
      </w:pPr>
      <w:r w:rsidRPr="008D1DBA">
        <w:rPr>
          <w:rFonts w:cs="David" w:hint="cs"/>
          <w:rtl/>
        </w:rPr>
        <w:t xml:space="preserve">ביהמ"ש במדינות בהן נכנס הקודקס לשימוש, נדרשו לא לקיים תקדים מחייב היוצר נורמה חדשה, הסותרת נורמה ישנה. </w:t>
      </w:r>
      <w:r w:rsidR="00BA1661" w:rsidRPr="008D1DBA">
        <w:rPr>
          <w:rFonts w:cs="David" w:hint="cs"/>
          <w:rtl/>
        </w:rPr>
        <w:t>אך, ניתן בידם הכלי, לדון במקרים שאינם כלולים בקודקס ולפרשם ע"פ עקרונות הצדק ופסקים קודמים. זאת בלי לפגוע ביסוד הדמוקרטי המרכזי הכלול בקודקס.</w:t>
      </w:r>
    </w:p>
    <w:p w:rsidR="00BA1661" w:rsidRPr="008D1DBA" w:rsidRDefault="00BA1661" w:rsidP="00530D3A">
      <w:pPr>
        <w:rPr>
          <w:rFonts w:cs="David"/>
          <w:rtl/>
        </w:rPr>
      </w:pPr>
      <w:r w:rsidRPr="008D1DBA">
        <w:rPr>
          <w:rFonts w:cs="David" w:hint="cs"/>
          <w:rtl/>
        </w:rPr>
        <w:t>לעיתים הדבר צוין במפורש (אוסטריה, איטליה, ספרד) ולעיתים לא (גרמניה, צרפת, שוויץ), אך במקרים אלו הוכנסו סעיפי שסתום כתו"ל, זאת ע"מ לאפשר גמישות לחוק.</w:t>
      </w:r>
    </w:p>
    <w:p w:rsidR="00BA1661" w:rsidRPr="008D1DBA" w:rsidRDefault="00BA1661" w:rsidP="00530D3A">
      <w:pPr>
        <w:rPr>
          <w:rFonts w:cs="David"/>
          <w:rtl/>
        </w:rPr>
      </w:pPr>
      <w:r w:rsidRPr="008D1DBA">
        <w:rPr>
          <w:rFonts w:cs="David" w:hint="cs"/>
          <w:rtl/>
        </w:rPr>
        <w:t xml:space="preserve">עם הזמן התגבשה התפיסה כי הקודקס אינו חזות </w:t>
      </w:r>
      <w:proofErr w:type="spellStart"/>
      <w:r w:rsidRPr="008D1DBA">
        <w:rPr>
          <w:rFonts w:cs="David" w:hint="cs"/>
          <w:rtl/>
        </w:rPr>
        <w:t>הכל</w:t>
      </w:r>
      <w:proofErr w:type="spellEnd"/>
      <w:r w:rsidRPr="008D1DBA">
        <w:rPr>
          <w:rFonts w:cs="David" w:hint="cs"/>
          <w:rtl/>
        </w:rPr>
        <w:t xml:space="preserve">, ויש להכיר בפסיקה המבוססת על </w:t>
      </w:r>
      <w:proofErr w:type="spellStart"/>
      <w:r w:rsidRPr="008D1DBA">
        <w:rPr>
          <w:rFonts w:cs="David" w:hint="cs"/>
          <w:rtl/>
        </w:rPr>
        <w:t>ההגיון</w:t>
      </w:r>
      <w:proofErr w:type="spellEnd"/>
      <w:r w:rsidRPr="008D1DBA">
        <w:rPr>
          <w:rFonts w:cs="David" w:hint="cs"/>
          <w:rtl/>
        </w:rPr>
        <w:t xml:space="preserve"> והיושר </w:t>
      </w:r>
      <w:proofErr w:type="spellStart"/>
      <w:r w:rsidRPr="008D1DBA">
        <w:rPr>
          <w:rFonts w:cs="David" w:hint="cs"/>
          <w:rtl/>
        </w:rPr>
        <w:t>וכו</w:t>
      </w:r>
      <w:proofErr w:type="spellEnd"/>
      <w:r w:rsidRPr="008D1DBA">
        <w:rPr>
          <w:rFonts w:cs="David" w:hint="cs"/>
          <w:rtl/>
        </w:rPr>
        <w:t xml:space="preserve">'. </w:t>
      </w:r>
    </w:p>
    <w:p w:rsidR="0005612F" w:rsidRPr="008D1DBA" w:rsidRDefault="0005612F" w:rsidP="00530D3A">
      <w:pPr>
        <w:rPr>
          <w:rFonts w:cs="David"/>
          <w:rtl/>
        </w:rPr>
      </w:pPr>
      <w:r w:rsidRPr="008D1DBA">
        <w:rPr>
          <w:rFonts w:cs="David" w:hint="cs"/>
          <w:b/>
          <w:bCs/>
          <w:u w:val="single"/>
          <w:rtl/>
        </w:rPr>
        <w:t>מבנה מערכת ביהמ"ש האירופאית</w:t>
      </w:r>
      <w:r w:rsidRPr="008D1DBA">
        <w:rPr>
          <w:rFonts w:cs="David" w:hint="cs"/>
          <w:rtl/>
        </w:rPr>
        <w:t xml:space="preserve">: במערכת המשפט </w:t>
      </w:r>
      <w:proofErr w:type="spellStart"/>
      <w:r w:rsidRPr="008D1DBA">
        <w:rPr>
          <w:rFonts w:cs="David" w:hint="cs"/>
          <w:rtl/>
        </w:rPr>
        <w:t>הרומאנו-גרמאנית</w:t>
      </w:r>
      <w:proofErr w:type="spellEnd"/>
      <w:r w:rsidRPr="008D1DBA">
        <w:rPr>
          <w:rFonts w:cs="David" w:hint="cs"/>
          <w:rtl/>
        </w:rPr>
        <w:t>, קיימות לפחות 2 מערכות ביהמ"ש נפרדות. החלוקה העיקרית הינה מחד, לנושאים אזרחיים ופלילים, ומאידך, לנושאים מנהליים (בין האדם לשלטון). קיימות 2 סיבות לחלוקה זו:</w:t>
      </w:r>
    </w:p>
    <w:p w:rsidR="0005612F" w:rsidRPr="008D1DBA" w:rsidRDefault="0005612F" w:rsidP="00530D3A">
      <w:pPr>
        <w:pStyle w:val="a9"/>
        <w:numPr>
          <w:ilvl w:val="0"/>
          <w:numId w:val="9"/>
        </w:numPr>
        <w:rPr>
          <w:rFonts w:cs="David"/>
        </w:rPr>
      </w:pPr>
      <w:r w:rsidRPr="008D1DBA">
        <w:rPr>
          <w:rFonts w:cs="David" w:hint="cs"/>
          <w:rtl/>
        </w:rPr>
        <w:t xml:space="preserve">רעיונית </w:t>
      </w:r>
      <w:r w:rsidRPr="008D1DBA">
        <w:rPr>
          <w:rFonts w:cs="David"/>
          <w:rtl/>
        </w:rPr>
        <w:t>–</w:t>
      </w:r>
      <w:r w:rsidRPr="008D1DBA">
        <w:rPr>
          <w:rFonts w:cs="David" w:hint="cs"/>
          <w:rtl/>
        </w:rPr>
        <w:t xml:space="preserve"> מתוך תפיסת רעיון המדינה המודרנית, והמדינה כמייצגת האינטרס הכללי. סכסוך בין אנשים אינו שווה ערך לסכסוך בין הפרט לשלטון. זאת, בניגוד לאנגלים הרואים </w:t>
      </w:r>
      <w:proofErr w:type="spellStart"/>
      <w:r w:rsidRPr="008D1DBA">
        <w:rPr>
          <w:rFonts w:cs="David" w:hint="cs"/>
          <w:rtl/>
        </w:rPr>
        <w:t>במע</w:t>
      </w:r>
      <w:proofErr w:type="spellEnd"/>
      <w:r w:rsidRPr="008D1DBA">
        <w:rPr>
          <w:rFonts w:cs="David" w:hint="cs"/>
          <w:rtl/>
        </w:rPr>
        <w:t>' ביהמ"ש ככלי מגן על האזרח, ולכן אין צורך בהפרדתו לנושאים שונים.</w:t>
      </w:r>
    </w:p>
    <w:p w:rsidR="0005612F" w:rsidRPr="008D1DBA" w:rsidRDefault="0005612F" w:rsidP="00530D3A">
      <w:pPr>
        <w:pStyle w:val="a9"/>
        <w:numPr>
          <w:ilvl w:val="0"/>
          <w:numId w:val="9"/>
        </w:numPr>
        <w:rPr>
          <w:rFonts w:cs="David"/>
        </w:rPr>
      </w:pPr>
      <w:proofErr w:type="spellStart"/>
      <w:r w:rsidRPr="008D1DBA">
        <w:rPr>
          <w:rFonts w:cs="David" w:hint="cs"/>
          <w:rtl/>
        </w:rPr>
        <w:t>תוצאתית</w:t>
      </w:r>
      <w:proofErr w:type="spellEnd"/>
      <w:r w:rsidRPr="008D1DBA">
        <w:rPr>
          <w:rFonts w:cs="David" w:hint="cs"/>
          <w:rtl/>
        </w:rPr>
        <w:t xml:space="preserve"> </w:t>
      </w:r>
      <w:r w:rsidRPr="008D1DBA">
        <w:rPr>
          <w:rFonts w:cs="David"/>
          <w:rtl/>
        </w:rPr>
        <w:t>–</w:t>
      </w:r>
      <w:r w:rsidRPr="008D1DBA">
        <w:rPr>
          <w:rFonts w:cs="David" w:hint="cs"/>
          <w:rtl/>
        </w:rPr>
        <w:t xml:space="preserve"> סכסוך בין פרט לשלטון משפיע על כלל אזרחי המדינה. זאת לעומת סכסוך בין פרטים שאינו כך (אלא אם נוצר תקדים).</w:t>
      </w:r>
    </w:p>
    <w:p w:rsidR="00B91385" w:rsidRPr="008D1DBA" w:rsidRDefault="00B91385" w:rsidP="00530D3A">
      <w:pPr>
        <w:rPr>
          <w:rFonts w:cs="David"/>
          <w:rtl/>
        </w:rPr>
      </w:pPr>
      <w:r w:rsidRPr="008D1DBA">
        <w:rPr>
          <w:rFonts w:cs="David" w:hint="cs"/>
          <w:rtl/>
        </w:rPr>
        <w:t xml:space="preserve">מערכת המשפט הגרמנית יצרה 5 מערכות משפט שונות, מתוך הרעיון הנזכר לעיל. </w:t>
      </w:r>
      <w:r w:rsidR="007A16FF" w:rsidRPr="008D1DBA">
        <w:rPr>
          <w:rFonts w:cs="David" w:hint="cs"/>
          <w:rtl/>
        </w:rPr>
        <w:t>בעקבות ריבוי המערכות, נוצרו מערכות מגשרות המגדירות את אופי הדיון המשפטי.</w:t>
      </w:r>
    </w:p>
    <w:p w:rsidR="007A16FF" w:rsidRPr="008D1DBA" w:rsidRDefault="007A16FF" w:rsidP="00530D3A">
      <w:pPr>
        <w:rPr>
          <w:rFonts w:cs="David"/>
          <w:rtl/>
        </w:rPr>
      </w:pPr>
      <w:r w:rsidRPr="008D1DBA">
        <w:rPr>
          <w:rFonts w:cs="David" w:hint="cs"/>
          <w:b/>
          <w:bCs/>
          <w:u w:val="single"/>
          <w:rtl/>
        </w:rPr>
        <w:lastRenderedPageBreak/>
        <w:t>ביהמ"ש לענייני חוקה</w:t>
      </w:r>
      <w:r w:rsidRPr="008D1DBA">
        <w:rPr>
          <w:rFonts w:cs="David" w:hint="cs"/>
          <w:rtl/>
        </w:rPr>
        <w:t>: קיים באירופה, משום שנתפס כעניין נפרד ושונה מהדין הרגיל. קיימים 2 סוגים של ביהמ"ש כאלו:</w:t>
      </w:r>
    </w:p>
    <w:p w:rsidR="007A16FF" w:rsidRPr="008D1DBA" w:rsidRDefault="007A16FF" w:rsidP="00530D3A">
      <w:pPr>
        <w:pStyle w:val="a9"/>
        <w:numPr>
          <w:ilvl w:val="0"/>
          <w:numId w:val="10"/>
        </w:numPr>
        <w:rPr>
          <w:rFonts w:cs="David"/>
        </w:rPr>
      </w:pPr>
      <w:r w:rsidRPr="008D1DBA">
        <w:rPr>
          <w:rFonts w:cs="David" w:hint="cs"/>
          <w:rtl/>
        </w:rPr>
        <w:t xml:space="preserve">בחינה מראש </w:t>
      </w:r>
      <w:r w:rsidRPr="008D1DBA">
        <w:rPr>
          <w:rFonts w:cs="David"/>
          <w:rtl/>
        </w:rPr>
        <w:t>–</w:t>
      </w:r>
      <w:r w:rsidRPr="008D1DBA">
        <w:rPr>
          <w:rFonts w:cs="David" w:hint="cs"/>
          <w:rtl/>
        </w:rPr>
        <w:t xml:space="preserve"> דנים בעקרונות חוקתיים, קודם כניסת החוק לתוקף.</w:t>
      </w:r>
    </w:p>
    <w:p w:rsidR="007A16FF" w:rsidRPr="008D1DBA" w:rsidRDefault="007A16FF" w:rsidP="00530D3A">
      <w:pPr>
        <w:pStyle w:val="a9"/>
        <w:numPr>
          <w:ilvl w:val="0"/>
          <w:numId w:val="10"/>
        </w:numPr>
        <w:rPr>
          <w:rFonts w:cs="David"/>
        </w:rPr>
      </w:pPr>
      <w:r w:rsidRPr="008D1DBA">
        <w:rPr>
          <w:rFonts w:cs="David" w:hint="cs"/>
          <w:rtl/>
        </w:rPr>
        <w:t xml:space="preserve">בחינה בדיעבד </w:t>
      </w:r>
      <w:r w:rsidRPr="008D1DBA">
        <w:rPr>
          <w:rFonts w:cs="David"/>
          <w:rtl/>
        </w:rPr>
        <w:t>–</w:t>
      </w:r>
      <w:r w:rsidRPr="008D1DBA">
        <w:rPr>
          <w:rFonts w:cs="David" w:hint="cs"/>
          <w:rtl/>
        </w:rPr>
        <w:t xml:space="preserve"> לאחר כניסת החוק לתוקף.</w:t>
      </w:r>
    </w:p>
    <w:p w:rsidR="007A16FF" w:rsidRPr="008D1DBA" w:rsidRDefault="007A16FF" w:rsidP="00530D3A">
      <w:pPr>
        <w:rPr>
          <w:rFonts w:cs="David"/>
          <w:rtl/>
        </w:rPr>
      </w:pPr>
      <w:r w:rsidRPr="008D1DBA">
        <w:rPr>
          <w:rFonts w:cs="David" w:hint="cs"/>
          <w:rtl/>
        </w:rPr>
        <w:t xml:space="preserve">הדבר יכול </w:t>
      </w:r>
      <w:proofErr w:type="spellStart"/>
      <w:r w:rsidRPr="008D1DBA">
        <w:rPr>
          <w:rFonts w:cs="David" w:hint="cs"/>
          <w:rtl/>
        </w:rPr>
        <w:t>להעשות</w:t>
      </w:r>
      <w:proofErr w:type="spellEnd"/>
      <w:r w:rsidRPr="008D1DBA">
        <w:rPr>
          <w:rFonts w:cs="David" w:hint="cs"/>
          <w:rtl/>
        </w:rPr>
        <w:t xml:space="preserve"> ע"י פנייה ישירה של אזרחים לביהמ"ש, וע"י עצירת דיון באחד מביהמ"ש האחרים בשל העלאת טענה חוקתית.</w:t>
      </w:r>
    </w:p>
    <w:p w:rsidR="007A16FF" w:rsidRPr="008D1DBA" w:rsidRDefault="007A16FF" w:rsidP="00530D3A">
      <w:pPr>
        <w:rPr>
          <w:rFonts w:cs="David"/>
          <w:rtl/>
        </w:rPr>
      </w:pPr>
      <w:r w:rsidRPr="008D1DBA">
        <w:rPr>
          <w:rFonts w:cs="David" w:hint="cs"/>
          <w:b/>
          <w:bCs/>
          <w:u w:val="single"/>
          <w:rtl/>
        </w:rPr>
        <w:t>ביהמ"ש רגילים</w:t>
      </w:r>
      <w:r w:rsidRPr="008D1DBA">
        <w:rPr>
          <w:rFonts w:cs="David" w:hint="cs"/>
          <w:rtl/>
        </w:rPr>
        <w:t xml:space="preserve">: חלוקה לתביעות ע"פ גובה כספי של התביעה (בין השאר). </w:t>
      </w:r>
      <w:r w:rsidR="004A0FC1" w:rsidRPr="008D1DBA">
        <w:rPr>
          <w:rFonts w:cs="David" w:hint="cs"/>
          <w:rtl/>
        </w:rPr>
        <w:t xml:space="preserve">                         </w:t>
      </w:r>
      <w:r w:rsidRPr="008D1DBA">
        <w:rPr>
          <w:rFonts w:cs="David" w:hint="cs"/>
          <w:rtl/>
        </w:rPr>
        <w:t xml:space="preserve">ערכאה </w:t>
      </w:r>
      <w:r w:rsidR="004A0FC1" w:rsidRPr="008D1DBA">
        <w:rPr>
          <w:rFonts w:cs="David" w:hint="cs"/>
          <w:rtl/>
        </w:rPr>
        <w:t>רא</w:t>
      </w:r>
      <w:r w:rsidRPr="008D1DBA">
        <w:rPr>
          <w:rFonts w:cs="David" w:hint="cs"/>
          <w:rtl/>
        </w:rPr>
        <w:t>ש</w:t>
      </w:r>
      <w:r w:rsidR="004A0FC1" w:rsidRPr="008D1DBA">
        <w:rPr>
          <w:rFonts w:cs="David" w:hint="cs"/>
          <w:rtl/>
        </w:rPr>
        <w:t>ו</w:t>
      </w:r>
      <w:r w:rsidRPr="008D1DBA">
        <w:rPr>
          <w:rFonts w:cs="David" w:hint="cs"/>
          <w:rtl/>
        </w:rPr>
        <w:t>נה</w:t>
      </w:r>
      <w:r w:rsidR="004A0FC1" w:rsidRPr="008D1DBA">
        <w:rPr>
          <w:rFonts w:cs="David"/>
        </w:rPr>
        <w:sym w:font="Wingdings" w:char="F0DF"/>
      </w:r>
      <w:r w:rsidR="004A0FC1" w:rsidRPr="008D1DBA">
        <w:rPr>
          <w:rFonts w:cs="David" w:hint="cs"/>
          <w:rtl/>
        </w:rPr>
        <w:t>ערכאת ערעור (בזכות)</w:t>
      </w:r>
      <w:r w:rsidR="004A0FC1" w:rsidRPr="008D1DBA">
        <w:rPr>
          <w:rFonts w:cs="David"/>
        </w:rPr>
        <w:sym w:font="Wingdings" w:char="F0DF"/>
      </w:r>
      <w:r w:rsidR="004A0FC1" w:rsidRPr="008D1DBA">
        <w:rPr>
          <w:rFonts w:cs="David" w:hint="cs"/>
          <w:rtl/>
        </w:rPr>
        <w:t>ביהמ"ש העליון</w:t>
      </w:r>
    </w:p>
    <w:p w:rsidR="000A6E31" w:rsidRPr="008D1DBA" w:rsidRDefault="000A6E31" w:rsidP="00530D3A">
      <w:pPr>
        <w:rPr>
          <w:rFonts w:cs="David"/>
          <w:rtl/>
        </w:rPr>
      </w:pPr>
      <w:r w:rsidRPr="008D1DBA">
        <w:rPr>
          <w:rFonts w:cs="David" w:hint="cs"/>
          <w:b/>
          <w:bCs/>
          <w:u w:val="single"/>
          <w:rtl/>
        </w:rPr>
        <w:t xml:space="preserve">ביהמ"ש העליון במשפט </w:t>
      </w:r>
      <w:proofErr w:type="spellStart"/>
      <w:r w:rsidRPr="008D1DBA">
        <w:rPr>
          <w:rFonts w:cs="David" w:hint="cs"/>
          <w:b/>
          <w:bCs/>
          <w:u w:val="single"/>
          <w:rtl/>
        </w:rPr>
        <w:t>הרומאנו-גרמאני</w:t>
      </w:r>
      <w:proofErr w:type="spellEnd"/>
      <w:r w:rsidRPr="008D1DBA">
        <w:rPr>
          <w:rFonts w:cs="David" w:hint="cs"/>
          <w:rtl/>
        </w:rPr>
        <w:t xml:space="preserve">: </w:t>
      </w:r>
    </w:p>
    <w:p w:rsidR="000A6E31" w:rsidRPr="008D1DBA" w:rsidRDefault="000A6E31" w:rsidP="00530D3A">
      <w:pPr>
        <w:pStyle w:val="a9"/>
        <w:numPr>
          <w:ilvl w:val="0"/>
          <w:numId w:val="12"/>
        </w:numPr>
        <w:rPr>
          <w:rFonts w:cs="David"/>
        </w:rPr>
      </w:pPr>
      <w:r w:rsidRPr="008D1DBA">
        <w:rPr>
          <w:rFonts w:cs="David" w:hint="cs"/>
          <w:rtl/>
        </w:rPr>
        <w:t>ביהמ"ש עליון לערעורים: ערכאת ערעור שנייה (כמו בארץ).</w:t>
      </w:r>
    </w:p>
    <w:p w:rsidR="000A6E31" w:rsidRPr="008D1DBA" w:rsidRDefault="000A6E31" w:rsidP="00530D3A">
      <w:pPr>
        <w:pStyle w:val="a9"/>
        <w:numPr>
          <w:ilvl w:val="0"/>
          <w:numId w:val="12"/>
        </w:numPr>
        <w:rPr>
          <w:rFonts w:cs="David"/>
        </w:rPr>
      </w:pPr>
      <w:r w:rsidRPr="008D1DBA">
        <w:rPr>
          <w:rFonts w:cs="David" w:hint="cs"/>
          <w:rtl/>
        </w:rPr>
        <w:t>ביהמ"ש לעתירות: מובא מערכאה קודמת, במידה ומוצאים סיבה לכך, חוזר לדיון בערכאה הקודמת.</w:t>
      </w:r>
    </w:p>
    <w:p w:rsidR="00524941" w:rsidRPr="008D1DBA" w:rsidRDefault="004E4DBA" w:rsidP="00530D3A">
      <w:pPr>
        <w:rPr>
          <w:rFonts w:cs="David"/>
          <w:rtl/>
        </w:rPr>
      </w:pPr>
      <w:r w:rsidRPr="008D1DBA">
        <w:rPr>
          <w:rFonts w:cs="David" w:hint="cs"/>
          <w:b/>
          <w:bCs/>
          <w:u w:val="single"/>
          <w:rtl/>
        </w:rPr>
        <w:t>בצרפת</w:t>
      </w:r>
      <w:r w:rsidRPr="008D1DBA">
        <w:rPr>
          <w:rFonts w:cs="David" w:hint="cs"/>
          <w:rtl/>
        </w:rPr>
        <w:t xml:space="preserve"> </w:t>
      </w:r>
      <w:r w:rsidRPr="008D1DBA">
        <w:rPr>
          <w:rFonts w:cs="David"/>
          <w:rtl/>
        </w:rPr>
        <w:t>–</w:t>
      </w:r>
      <w:r w:rsidRPr="008D1DBA">
        <w:rPr>
          <w:rFonts w:cs="David" w:hint="cs"/>
          <w:rtl/>
        </w:rPr>
        <w:t xml:space="preserve"> יש לעבור את ערכאת הערעור לפני הגעת התיק לביהמ"ש לעתירות. במידה והאחרונים מחליטים להחזיר את התיק לערכאה הנמוכה, וזו אינה מקבלת את דעת הערכאה העליונה, ניתן לעתור בשנית לביהמ"ש לעתירות, ובמידה וזו תדבק בהחלטה היא תחייב את הערכאה הנמוכה.</w:t>
      </w:r>
    </w:p>
    <w:p w:rsidR="00524941" w:rsidRPr="008D1DBA" w:rsidRDefault="00524941" w:rsidP="00530D3A">
      <w:pPr>
        <w:rPr>
          <w:rFonts w:cs="David"/>
          <w:rtl/>
        </w:rPr>
      </w:pPr>
      <w:r w:rsidRPr="008D1DBA">
        <w:rPr>
          <w:rFonts w:cs="David" w:hint="cs"/>
          <w:b/>
          <w:bCs/>
          <w:u w:val="single"/>
          <w:rtl/>
        </w:rPr>
        <w:t xml:space="preserve">דיון שיפוטי בשיטה </w:t>
      </w:r>
      <w:proofErr w:type="spellStart"/>
      <w:r w:rsidRPr="008D1DBA">
        <w:rPr>
          <w:rFonts w:cs="David" w:hint="cs"/>
          <w:b/>
          <w:bCs/>
          <w:u w:val="single"/>
          <w:rtl/>
        </w:rPr>
        <w:t>הרומאנו-גרמאנית</w:t>
      </w:r>
      <w:proofErr w:type="spellEnd"/>
      <w:r w:rsidRPr="008D1DBA">
        <w:rPr>
          <w:rFonts w:cs="David" w:hint="cs"/>
          <w:rtl/>
        </w:rPr>
        <w:t>:</w:t>
      </w:r>
      <w:r w:rsidR="004E4DBA" w:rsidRPr="008D1DBA">
        <w:rPr>
          <w:rFonts w:cs="David" w:hint="cs"/>
          <w:rtl/>
        </w:rPr>
        <w:t xml:space="preserve"> </w:t>
      </w:r>
      <w:r w:rsidRPr="008D1DBA">
        <w:rPr>
          <w:rFonts w:cs="David" w:hint="cs"/>
          <w:rtl/>
        </w:rPr>
        <w:t>שיטת דיון אינקוויזיטורית-חקירתית. (לעומת שיטת הדיון האנגלוסקסית, אדברסרית-</w:t>
      </w:r>
      <w:proofErr w:type="spellStart"/>
      <w:r w:rsidRPr="008D1DBA">
        <w:rPr>
          <w:rFonts w:cs="David" w:hint="cs"/>
          <w:rtl/>
        </w:rPr>
        <w:t>יריבתית</w:t>
      </w:r>
      <w:proofErr w:type="spellEnd"/>
      <w:r w:rsidRPr="008D1DBA">
        <w:rPr>
          <w:rFonts w:cs="David" w:hint="cs"/>
          <w:rtl/>
        </w:rPr>
        <w:t>).</w:t>
      </w:r>
    </w:p>
    <w:p w:rsidR="000900C1" w:rsidRPr="008D1DBA" w:rsidRDefault="00524941" w:rsidP="00530D3A">
      <w:pPr>
        <w:rPr>
          <w:rFonts w:cs="David"/>
          <w:rtl/>
        </w:rPr>
      </w:pPr>
      <w:r w:rsidRPr="008D1DBA">
        <w:rPr>
          <w:rFonts w:cs="David" w:hint="cs"/>
          <w:rtl/>
        </w:rPr>
        <w:t xml:space="preserve"> </w:t>
      </w:r>
      <w:r w:rsidR="00225D72" w:rsidRPr="008D1DBA">
        <w:rPr>
          <w:rFonts w:cs="David" w:hint="cs"/>
          <w:rtl/>
        </w:rPr>
        <w:t xml:space="preserve">בשיטה האנגלוסקסית, קיימת התערבות פחותה של השופט, לעומת השיטה </w:t>
      </w:r>
      <w:proofErr w:type="spellStart"/>
      <w:r w:rsidR="00225D72" w:rsidRPr="008D1DBA">
        <w:rPr>
          <w:rFonts w:cs="David" w:hint="cs"/>
          <w:rtl/>
        </w:rPr>
        <w:t>הרומאנו-גרמאנית</w:t>
      </w:r>
      <w:proofErr w:type="spellEnd"/>
      <w:r w:rsidR="00225D72" w:rsidRPr="008D1DBA">
        <w:rPr>
          <w:rFonts w:cs="David" w:hint="cs"/>
          <w:rtl/>
        </w:rPr>
        <w:t xml:space="preserve"> בה השופט אף חוקר את העדים והצדדים.</w:t>
      </w:r>
      <w:r w:rsidR="000900C1" w:rsidRPr="008D1DBA">
        <w:rPr>
          <w:rFonts w:cs="David" w:hint="cs"/>
          <w:rtl/>
        </w:rPr>
        <w:t xml:space="preserve"> קיימות 2 סיבות להבדל:</w:t>
      </w:r>
    </w:p>
    <w:p w:rsidR="000900C1" w:rsidRPr="008D1DBA" w:rsidRDefault="000900C1" w:rsidP="00530D3A">
      <w:pPr>
        <w:pStyle w:val="a9"/>
        <w:numPr>
          <w:ilvl w:val="0"/>
          <w:numId w:val="13"/>
        </w:numPr>
        <w:rPr>
          <w:rFonts w:cs="David"/>
        </w:rPr>
      </w:pPr>
      <w:r w:rsidRPr="008D1DBA">
        <w:rPr>
          <w:rFonts w:cs="David" w:hint="cs"/>
          <w:rtl/>
        </w:rPr>
        <w:t xml:space="preserve">היסטורית </w:t>
      </w:r>
      <w:r w:rsidRPr="008D1DBA">
        <w:rPr>
          <w:rFonts w:cs="David"/>
          <w:rtl/>
        </w:rPr>
        <w:t>–</w:t>
      </w:r>
      <w:r w:rsidRPr="008D1DBA">
        <w:rPr>
          <w:rFonts w:cs="David" w:hint="cs"/>
          <w:rtl/>
        </w:rPr>
        <w:t xml:space="preserve"> כך הכנסייה הייתה חוקרת. הושרש בתרבות.</w:t>
      </w:r>
    </w:p>
    <w:p w:rsidR="000900C1" w:rsidRPr="008D1DBA" w:rsidRDefault="000900C1" w:rsidP="00530D3A">
      <w:pPr>
        <w:pStyle w:val="a9"/>
        <w:numPr>
          <w:ilvl w:val="0"/>
          <w:numId w:val="13"/>
        </w:numPr>
        <w:rPr>
          <w:rFonts w:cs="David"/>
        </w:rPr>
      </w:pPr>
      <w:r w:rsidRPr="008D1DBA">
        <w:rPr>
          <w:rFonts w:cs="David" w:hint="cs"/>
          <w:rtl/>
        </w:rPr>
        <w:t xml:space="preserve">רעיונית </w:t>
      </w:r>
      <w:r w:rsidRPr="008D1DBA">
        <w:rPr>
          <w:rFonts w:cs="David"/>
          <w:rtl/>
        </w:rPr>
        <w:t>–</w:t>
      </w:r>
      <w:r w:rsidRPr="008D1DBA">
        <w:rPr>
          <w:rFonts w:cs="David" w:hint="cs"/>
          <w:rtl/>
        </w:rPr>
        <w:t xml:space="preserve"> שופט הוא מייצג חיובי של המדינה </w:t>
      </w:r>
      <w:r w:rsidRPr="008D1DBA">
        <w:rPr>
          <w:rFonts w:cs="David"/>
          <w:rtl/>
        </w:rPr>
        <w:t>–</w:t>
      </w:r>
      <w:r w:rsidRPr="008D1DBA">
        <w:rPr>
          <w:rFonts w:cs="David" w:hint="cs"/>
          <w:rtl/>
        </w:rPr>
        <w:t xml:space="preserve"> ולכן, יכול לחקור (</w:t>
      </w:r>
      <w:proofErr w:type="spellStart"/>
      <w:r w:rsidRPr="008D1DBA">
        <w:rPr>
          <w:rFonts w:cs="David" w:hint="cs"/>
          <w:rtl/>
        </w:rPr>
        <w:t>רומאנו-גרמאנית</w:t>
      </w:r>
      <w:proofErr w:type="spellEnd"/>
      <w:r w:rsidRPr="008D1DBA">
        <w:rPr>
          <w:rFonts w:cs="David" w:hint="cs"/>
          <w:rtl/>
        </w:rPr>
        <w:t>). לעומת השיטה האנגלוסקסית הרואה במדינה כשומרת על יציבות השלטון ותו-לא, כך, גם השופט שומר על סדר הדין המשפטי ותו-לא.</w:t>
      </w:r>
    </w:p>
    <w:p w:rsidR="00DC3176" w:rsidRPr="008D1DBA" w:rsidRDefault="00DC3176" w:rsidP="00530D3A">
      <w:pPr>
        <w:rPr>
          <w:rFonts w:cs="David"/>
          <w:rtl/>
        </w:rPr>
      </w:pPr>
      <w:r w:rsidRPr="008D1DBA">
        <w:rPr>
          <w:rFonts w:cs="David" w:hint="cs"/>
          <w:u w:val="single"/>
          <w:rtl/>
        </w:rPr>
        <w:t>סדר הדין האזרחי</w:t>
      </w:r>
      <w:r w:rsidRPr="008D1DBA">
        <w:rPr>
          <w:rFonts w:cs="David" w:hint="cs"/>
          <w:rtl/>
        </w:rPr>
        <w:t xml:space="preserve"> </w:t>
      </w:r>
      <w:r w:rsidRPr="008D1DBA">
        <w:rPr>
          <w:rFonts w:cs="David"/>
          <w:rtl/>
        </w:rPr>
        <w:t>–</w:t>
      </w:r>
      <w:r w:rsidRPr="008D1DBA">
        <w:rPr>
          <w:rFonts w:cs="David" w:hint="cs"/>
          <w:rtl/>
        </w:rPr>
        <w:t xml:space="preserve"> התערבות המדינה בהליך אינקוויזיטורי באה לידי ביטוי ב-3 אופנים: </w:t>
      </w:r>
    </w:p>
    <w:p w:rsidR="00DC3176" w:rsidRPr="008D1DBA" w:rsidRDefault="00DC3176" w:rsidP="00530D3A">
      <w:pPr>
        <w:pStyle w:val="a9"/>
        <w:numPr>
          <w:ilvl w:val="0"/>
          <w:numId w:val="14"/>
        </w:numPr>
        <w:rPr>
          <w:rFonts w:cs="David"/>
        </w:rPr>
      </w:pPr>
      <w:r w:rsidRPr="008D1DBA">
        <w:rPr>
          <w:rFonts w:cs="David" w:hint="cs"/>
          <w:b/>
          <w:bCs/>
          <w:rtl/>
        </w:rPr>
        <w:t>התערבות השופט בהליך המשפטי</w:t>
      </w:r>
      <w:r w:rsidRPr="008D1DBA">
        <w:rPr>
          <w:rFonts w:cs="David" w:hint="cs"/>
          <w:rtl/>
        </w:rPr>
        <w:t xml:space="preserve">: קדם משפט </w:t>
      </w:r>
      <w:r w:rsidRPr="008D1DBA">
        <w:rPr>
          <w:rFonts w:cs="David"/>
          <w:rtl/>
        </w:rPr>
        <w:t>–</w:t>
      </w:r>
      <w:r w:rsidRPr="008D1DBA">
        <w:rPr>
          <w:rFonts w:cs="David" w:hint="cs"/>
          <w:rtl/>
        </w:rPr>
        <w:t xml:space="preserve"> בירור המחלוקת בפני השופט. במהלך התהליך השיפוטי </w:t>
      </w:r>
      <w:r w:rsidRPr="008D1DBA">
        <w:rPr>
          <w:rFonts w:cs="David"/>
          <w:rtl/>
        </w:rPr>
        <w:t>–</w:t>
      </w:r>
      <w:r w:rsidRPr="008D1DBA">
        <w:rPr>
          <w:rFonts w:cs="David" w:hint="cs"/>
          <w:rtl/>
        </w:rPr>
        <w:t xml:space="preserve"> כל חומר הקשור למשפט חייב לעבור דרך השופט. במהלך המשפט עצמו </w:t>
      </w:r>
      <w:r w:rsidRPr="008D1DBA">
        <w:rPr>
          <w:rFonts w:cs="David"/>
          <w:rtl/>
        </w:rPr>
        <w:t>–</w:t>
      </w:r>
      <w:r w:rsidRPr="008D1DBA">
        <w:rPr>
          <w:rFonts w:cs="David" w:hint="cs"/>
          <w:rtl/>
        </w:rPr>
        <w:t xml:space="preserve"> השופט משמש כחוקר. </w:t>
      </w:r>
    </w:p>
    <w:p w:rsidR="00DC3176" w:rsidRPr="008D1DBA" w:rsidRDefault="00DC3176" w:rsidP="00530D3A">
      <w:pPr>
        <w:pStyle w:val="a9"/>
        <w:rPr>
          <w:rFonts w:cs="David"/>
          <w:rtl/>
        </w:rPr>
      </w:pPr>
      <w:r w:rsidRPr="008D1DBA">
        <w:rPr>
          <w:rFonts w:cs="David" w:hint="cs"/>
          <w:b/>
          <w:bCs/>
          <w:rtl/>
        </w:rPr>
        <w:t xml:space="preserve">עדים מומחים </w:t>
      </w:r>
      <w:r w:rsidRPr="008D1DBA">
        <w:rPr>
          <w:rFonts w:cs="David"/>
          <w:rtl/>
        </w:rPr>
        <w:t>–</w:t>
      </w:r>
      <w:r w:rsidRPr="008D1DBA">
        <w:rPr>
          <w:rFonts w:cs="David" w:hint="cs"/>
          <w:rtl/>
        </w:rPr>
        <w:t xml:space="preserve"> השופט מחליט ומאשר אילו עדים לזמן.</w:t>
      </w:r>
    </w:p>
    <w:p w:rsidR="00DC3176" w:rsidRPr="008D1DBA" w:rsidRDefault="00DC3176" w:rsidP="00530D3A">
      <w:pPr>
        <w:pStyle w:val="a9"/>
        <w:numPr>
          <w:ilvl w:val="0"/>
          <w:numId w:val="14"/>
        </w:numPr>
        <w:rPr>
          <w:rFonts w:cs="David"/>
        </w:rPr>
      </w:pPr>
      <w:r w:rsidRPr="008D1DBA">
        <w:rPr>
          <w:rFonts w:cs="David" w:hint="cs"/>
          <w:b/>
          <w:bCs/>
          <w:rtl/>
        </w:rPr>
        <w:t>אין מושבעים בהליך אזרחי</w:t>
      </w:r>
      <w:r w:rsidRPr="008D1DBA">
        <w:rPr>
          <w:rFonts w:cs="David" w:hint="cs"/>
          <w:rtl/>
        </w:rPr>
        <w:t>: 2 סיבות:</w:t>
      </w:r>
    </w:p>
    <w:p w:rsidR="00DC3176" w:rsidRPr="008D1DBA" w:rsidRDefault="00DC3176" w:rsidP="00530D3A">
      <w:pPr>
        <w:pStyle w:val="a9"/>
        <w:numPr>
          <w:ilvl w:val="1"/>
          <w:numId w:val="14"/>
        </w:numPr>
        <w:rPr>
          <w:rFonts w:cs="David"/>
        </w:rPr>
      </w:pPr>
      <w:r w:rsidRPr="008D1DBA">
        <w:rPr>
          <w:rFonts w:cs="David" w:hint="cs"/>
          <w:b/>
          <w:bCs/>
          <w:rtl/>
        </w:rPr>
        <w:t>יעילות.</w:t>
      </w:r>
    </w:p>
    <w:p w:rsidR="00DC3176" w:rsidRPr="008D1DBA" w:rsidRDefault="00DC3176" w:rsidP="00530D3A">
      <w:pPr>
        <w:pStyle w:val="a9"/>
        <w:numPr>
          <w:ilvl w:val="1"/>
          <w:numId w:val="14"/>
        </w:numPr>
        <w:rPr>
          <w:rFonts w:cs="David"/>
        </w:rPr>
      </w:pPr>
      <w:r w:rsidRPr="008D1DBA">
        <w:rPr>
          <w:rFonts w:cs="David" w:hint="cs"/>
          <w:b/>
          <w:bCs/>
          <w:rtl/>
        </w:rPr>
        <w:t xml:space="preserve">רעיונית </w:t>
      </w:r>
      <w:r w:rsidRPr="008D1DBA">
        <w:rPr>
          <w:rFonts w:cs="David"/>
          <w:b/>
          <w:bCs/>
          <w:rtl/>
        </w:rPr>
        <w:t>–</w:t>
      </w:r>
      <w:r w:rsidRPr="008D1DBA">
        <w:rPr>
          <w:rFonts w:cs="David" w:hint="cs"/>
          <w:b/>
          <w:bCs/>
          <w:rtl/>
        </w:rPr>
        <w:t xml:space="preserve"> </w:t>
      </w:r>
      <w:r w:rsidRPr="008D1DBA">
        <w:rPr>
          <w:rFonts w:cs="David" w:hint="cs"/>
          <w:rtl/>
        </w:rPr>
        <w:t>לעומת התפיסה האנגלוסקסית הרואה בעם כמחליט ומכאן רעיון המושבעים, התפיסה באירופה היא כי השופט מייצג את המדינה והעם, ולכן, אין סיבה ש</w:t>
      </w:r>
      <w:r w:rsidR="0016707E" w:rsidRPr="008D1DBA">
        <w:rPr>
          <w:rFonts w:cs="David" w:hint="cs"/>
          <w:rtl/>
        </w:rPr>
        <w:t xml:space="preserve">לא </w:t>
      </w:r>
      <w:r w:rsidRPr="008D1DBA">
        <w:rPr>
          <w:rFonts w:cs="David" w:hint="cs"/>
          <w:rtl/>
        </w:rPr>
        <w:t>יכריע משפטים.</w:t>
      </w:r>
    </w:p>
    <w:p w:rsidR="00DC3176" w:rsidRPr="008D1DBA" w:rsidRDefault="00DC3176" w:rsidP="00530D3A">
      <w:pPr>
        <w:pStyle w:val="a9"/>
        <w:numPr>
          <w:ilvl w:val="0"/>
          <w:numId w:val="14"/>
        </w:numPr>
        <w:rPr>
          <w:rFonts w:cs="David"/>
          <w:rtl/>
        </w:rPr>
      </w:pPr>
      <w:r w:rsidRPr="008D1DBA">
        <w:rPr>
          <w:rFonts w:cs="David" w:hint="cs"/>
          <w:b/>
          <w:bCs/>
          <w:rtl/>
        </w:rPr>
        <w:t xml:space="preserve">התערבות הפרקליטות </w:t>
      </w:r>
      <w:r w:rsidRPr="008D1DBA">
        <w:rPr>
          <w:rFonts w:cs="David"/>
          <w:b/>
          <w:bCs/>
          <w:rtl/>
        </w:rPr>
        <w:t>–</w:t>
      </w:r>
      <w:r w:rsidRPr="008D1DBA">
        <w:rPr>
          <w:rFonts w:cs="David" w:hint="cs"/>
          <w:b/>
          <w:bCs/>
          <w:rtl/>
        </w:rPr>
        <w:t xml:space="preserve"> </w:t>
      </w:r>
      <w:r w:rsidRPr="008D1DBA">
        <w:rPr>
          <w:rFonts w:cs="David" w:hint="cs"/>
          <w:rtl/>
        </w:rPr>
        <w:t>התערבות פרקליטות המדינה בתיקים מסך פיננסי מסוים.</w:t>
      </w:r>
    </w:p>
    <w:p w:rsidR="00DB1E7C" w:rsidRPr="008D1DBA" w:rsidRDefault="00DB1E7C" w:rsidP="00530D3A">
      <w:pPr>
        <w:rPr>
          <w:rFonts w:cs="David"/>
          <w:rtl/>
        </w:rPr>
      </w:pPr>
      <w:r w:rsidRPr="008D1DBA">
        <w:rPr>
          <w:rFonts w:cs="David" w:hint="cs"/>
          <w:u w:val="single"/>
          <w:rtl/>
        </w:rPr>
        <w:t>סדר הדין הפלילי</w:t>
      </w:r>
      <w:r w:rsidRPr="008D1DBA">
        <w:rPr>
          <w:rFonts w:cs="David" w:hint="cs"/>
          <w:rtl/>
        </w:rPr>
        <w:t xml:space="preserve"> </w:t>
      </w:r>
      <w:r w:rsidRPr="008D1DBA">
        <w:rPr>
          <w:rFonts w:cs="David"/>
          <w:rtl/>
        </w:rPr>
        <w:t>–</w:t>
      </w:r>
      <w:r w:rsidRPr="008D1DBA">
        <w:rPr>
          <w:rFonts w:cs="David" w:hint="cs"/>
          <w:rtl/>
        </w:rPr>
        <w:t xml:space="preserve"> קיים שוני מהותי בין הפרוצדורה של שני שיטות המשפט: בגדול ניתן לומר, שהמשפט האנגלוסקסי שומר בקפדנות על חוקי המשפט הפרוצדורלי, מתוך תפיסת עולם הגורסת כי יש לשמור בקנאות על זכויות אדם (מתחבר שוב לתפיסה כי המדינה היא הרע במיעוטו). לעומת זאת, המשפט </w:t>
      </w:r>
      <w:proofErr w:type="spellStart"/>
      <w:r w:rsidRPr="008D1DBA">
        <w:rPr>
          <w:rFonts w:cs="David" w:hint="cs"/>
          <w:rtl/>
        </w:rPr>
        <w:t>הרומאנו-גרמאני</w:t>
      </w:r>
      <w:proofErr w:type="spellEnd"/>
      <w:r w:rsidRPr="008D1DBA">
        <w:rPr>
          <w:rFonts w:cs="David" w:hint="cs"/>
          <w:rtl/>
        </w:rPr>
        <w:t xml:space="preserve"> מקפיד פחות על הפרוצדורה המשפטית </w:t>
      </w:r>
      <w:r w:rsidRPr="008D1DBA">
        <w:rPr>
          <w:rFonts w:cs="David"/>
          <w:rtl/>
        </w:rPr>
        <w:t>–</w:t>
      </w:r>
      <w:r w:rsidRPr="008D1DBA">
        <w:rPr>
          <w:rFonts w:cs="David" w:hint="cs"/>
          <w:rtl/>
        </w:rPr>
        <w:t xml:space="preserve"> דוג' לכך, היא קבלת עדות כקבילה במשפט האירופאי, כאשר אותו סוג של עדות בעולם האנגלוסקסי תחשב כפסולה.</w:t>
      </w:r>
    </w:p>
    <w:p w:rsidR="0050379C" w:rsidRPr="008D1DBA" w:rsidRDefault="00DB1E7C" w:rsidP="00530D3A">
      <w:pPr>
        <w:rPr>
          <w:rFonts w:cs="David"/>
          <w:rtl/>
        </w:rPr>
      </w:pPr>
      <w:r w:rsidRPr="008D1DBA">
        <w:rPr>
          <w:rFonts w:cs="David" w:hint="cs"/>
          <w:rtl/>
        </w:rPr>
        <w:t>יש הגורסים כי תפיסה אירופאית זו אינה פוגעת בזכויות אדם, ונותנים 9 סיבות עיקריות לכך (לא מפורט כאן לעומק): הגנה רבה על הנאשם טרם השיפוט ובמהלכו, ראיית הפרקליטות כגורם שיפוטי ולא חלק מהרשות המבצעת, פיקוח שיפוטי על תהליך החקירה של הנאשם, פחות שיקול דעת לפרקליטות, הודאת נאשם אינה סופית, אין עסקאות טיעון, ופיקוח על הענישה.</w:t>
      </w:r>
    </w:p>
    <w:p w:rsidR="0050379C" w:rsidRPr="008D1DBA" w:rsidRDefault="0050379C" w:rsidP="00530D3A">
      <w:pPr>
        <w:rPr>
          <w:rFonts w:cs="David"/>
          <w:rtl/>
        </w:rPr>
      </w:pPr>
    </w:p>
    <w:p w:rsidR="002168E2" w:rsidRPr="008D1DBA" w:rsidRDefault="0050379C" w:rsidP="00530D3A">
      <w:pPr>
        <w:rPr>
          <w:rFonts w:cs="David"/>
          <w:rtl/>
        </w:rPr>
      </w:pPr>
      <w:r w:rsidRPr="008D1DBA">
        <w:rPr>
          <w:rFonts w:cs="David" w:hint="cs"/>
          <w:b/>
          <w:bCs/>
          <w:u w:val="single"/>
          <w:rtl/>
        </w:rPr>
        <w:t>המשפט האנגלי</w:t>
      </w:r>
    </w:p>
    <w:p w:rsidR="0005612F" w:rsidRPr="008D1DBA" w:rsidRDefault="002168E2" w:rsidP="00530D3A">
      <w:pPr>
        <w:rPr>
          <w:rFonts w:cs="David"/>
          <w:rtl/>
        </w:rPr>
      </w:pPr>
      <w:r w:rsidRPr="008D1DBA">
        <w:rPr>
          <w:rFonts w:cs="David" w:hint="cs"/>
          <w:b/>
          <w:bCs/>
          <w:u w:val="single"/>
          <w:rtl/>
        </w:rPr>
        <w:t>שלטון המלך ויצירת מע' המשפט</w:t>
      </w:r>
      <w:r w:rsidRPr="008D1DBA">
        <w:rPr>
          <w:rFonts w:cs="David" w:hint="cs"/>
          <w:rtl/>
        </w:rPr>
        <w:t xml:space="preserve">: וילאים הראשון כובש שטחים אנגלים ב-1066 ויוצר בהם מערכת פיאודלית יעילה ביותר. בנוסף, יוצר מערכת משפט ייחודית: </w:t>
      </w:r>
      <w:r w:rsidR="00DB1E7C" w:rsidRPr="008D1DBA">
        <w:rPr>
          <w:rFonts w:cs="David" w:hint="cs"/>
          <w:rtl/>
        </w:rPr>
        <w:t xml:space="preserve"> </w:t>
      </w:r>
    </w:p>
    <w:p w:rsidR="002168E2" w:rsidRPr="008D1DBA" w:rsidRDefault="002168E2" w:rsidP="00530D3A">
      <w:pPr>
        <w:pStyle w:val="a9"/>
        <w:numPr>
          <w:ilvl w:val="0"/>
          <w:numId w:val="15"/>
        </w:numPr>
        <w:rPr>
          <w:rFonts w:cs="David"/>
        </w:rPr>
      </w:pPr>
      <w:r w:rsidRPr="008D1DBA">
        <w:rPr>
          <w:rFonts w:cs="David" w:hint="cs"/>
          <w:u w:val="single"/>
          <w:rtl/>
        </w:rPr>
        <w:t>ריכוזית</w:t>
      </w:r>
      <w:r w:rsidRPr="008D1DBA">
        <w:rPr>
          <w:rFonts w:cs="David" w:hint="cs"/>
          <w:rtl/>
        </w:rPr>
        <w:t>: המשפט התבסס בתחילה יותר על ביהמ"ש ופחות על חקיקה. הייתה משותפת לכלל האנגלים.</w:t>
      </w:r>
    </w:p>
    <w:p w:rsidR="002168E2" w:rsidRPr="008D1DBA" w:rsidRDefault="002168E2" w:rsidP="00530D3A">
      <w:pPr>
        <w:pStyle w:val="a9"/>
        <w:numPr>
          <w:ilvl w:val="0"/>
          <w:numId w:val="15"/>
        </w:numPr>
        <w:rPr>
          <w:rFonts w:cs="David"/>
        </w:rPr>
      </w:pPr>
      <w:r w:rsidRPr="008D1DBA">
        <w:rPr>
          <w:rFonts w:cs="David" w:hint="cs"/>
          <w:u w:val="single"/>
          <w:rtl/>
        </w:rPr>
        <w:t>עצמאות</w:t>
      </w:r>
      <w:r w:rsidRPr="008D1DBA">
        <w:rPr>
          <w:rFonts w:cs="David" w:hint="cs"/>
          <w:rtl/>
        </w:rPr>
        <w:t>: ניתוק הקשר למלך, ביהמ"ש היו עצמאיים, כך, לא איבדו מכוחם כאשר מלך זה או אחר ירד מהשלטון.</w:t>
      </w:r>
    </w:p>
    <w:p w:rsidR="00C30E97" w:rsidRPr="008D1DBA" w:rsidRDefault="00C30E97" w:rsidP="00530D3A">
      <w:pPr>
        <w:pStyle w:val="a9"/>
        <w:numPr>
          <w:ilvl w:val="0"/>
          <w:numId w:val="15"/>
        </w:numPr>
        <w:rPr>
          <w:rFonts w:cs="David"/>
        </w:rPr>
      </w:pPr>
      <w:r w:rsidRPr="008D1DBA">
        <w:rPr>
          <w:rFonts w:cs="David" w:hint="cs"/>
          <w:u w:val="single"/>
          <w:rtl/>
        </w:rPr>
        <w:t>נגישות</w:t>
      </w:r>
      <w:r w:rsidRPr="008D1DBA">
        <w:rPr>
          <w:rFonts w:cs="David" w:hint="cs"/>
          <w:rtl/>
        </w:rPr>
        <w:t>: ביהמ"ש היו נגישים (וזולים) ואפשרו לשכבות רחבות באוכלוסייה להשתמש בשירותיה.</w:t>
      </w:r>
    </w:p>
    <w:p w:rsidR="001C4907" w:rsidRPr="008D1DBA" w:rsidRDefault="001C4907" w:rsidP="00530D3A">
      <w:pPr>
        <w:rPr>
          <w:rFonts w:cs="David"/>
          <w:rtl/>
        </w:rPr>
      </w:pPr>
      <w:r w:rsidRPr="008D1DBA">
        <w:rPr>
          <w:rFonts w:cs="David" w:hint="cs"/>
          <w:rtl/>
        </w:rPr>
        <w:t>תהליכים אלו בידלו את מע' המשפט האנגלית מזו האיר</w:t>
      </w:r>
      <w:r w:rsidR="00546ADD" w:rsidRPr="008D1DBA">
        <w:rPr>
          <w:rFonts w:cs="David" w:hint="cs"/>
          <w:rtl/>
        </w:rPr>
        <w:t>ו</w:t>
      </w:r>
      <w:r w:rsidRPr="008D1DBA">
        <w:rPr>
          <w:rFonts w:cs="David" w:hint="cs"/>
          <w:rtl/>
        </w:rPr>
        <w:t>פאית.</w:t>
      </w:r>
    </w:p>
    <w:p w:rsidR="000375B9" w:rsidRPr="008D1DBA" w:rsidRDefault="000375B9" w:rsidP="00530D3A">
      <w:pPr>
        <w:rPr>
          <w:rFonts w:cs="David"/>
          <w:rtl/>
        </w:rPr>
      </w:pPr>
      <w:r w:rsidRPr="008D1DBA">
        <w:rPr>
          <w:rFonts w:cs="David" w:hint="cs"/>
          <w:b/>
          <w:bCs/>
          <w:u w:val="single"/>
          <w:rtl/>
        </w:rPr>
        <w:t>החשיבה האנגלית ביסוד המערכת השיפוטית</w:t>
      </w:r>
      <w:r w:rsidRPr="008D1DBA">
        <w:rPr>
          <w:rFonts w:cs="David" w:hint="cs"/>
          <w:rtl/>
        </w:rPr>
        <w:t>:</w:t>
      </w:r>
      <w:r w:rsidR="00145827" w:rsidRPr="008D1DBA">
        <w:rPr>
          <w:rFonts w:cs="David" w:hint="cs"/>
          <w:rtl/>
        </w:rPr>
        <w:t xml:space="preserve"> מערכת ביהמ"ש באנגליה התאפיינה במספר דברים:</w:t>
      </w:r>
    </w:p>
    <w:p w:rsidR="00145827" w:rsidRPr="008D1DBA" w:rsidRDefault="00145827" w:rsidP="00530D3A">
      <w:pPr>
        <w:pStyle w:val="a9"/>
        <w:numPr>
          <w:ilvl w:val="0"/>
          <w:numId w:val="16"/>
        </w:numPr>
        <w:rPr>
          <w:rFonts w:cs="David"/>
        </w:rPr>
      </w:pPr>
      <w:r w:rsidRPr="008D1DBA">
        <w:rPr>
          <w:rFonts w:cs="David" w:hint="cs"/>
          <w:u w:val="single"/>
          <w:rtl/>
        </w:rPr>
        <w:t>פרקטיות</w:t>
      </w:r>
      <w:r w:rsidRPr="008D1DBA">
        <w:rPr>
          <w:rFonts w:cs="David" w:hint="cs"/>
          <w:rtl/>
        </w:rPr>
        <w:t xml:space="preserve"> </w:t>
      </w:r>
      <w:r w:rsidRPr="008D1DBA">
        <w:rPr>
          <w:rFonts w:cs="David"/>
          <w:rtl/>
        </w:rPr>
        <w:t>–</w:t>
      </w:r>
      <w:r w:rsidRPr="008D1DBA">
        <w:rPr>
          <w:rFonts w:cs="David" w:hint="cs"/>
          <w:rtl/>
        </w:rPr>
        <w:t xml:space="preserve"> פחות עיסוק ברעיונות, ויותר בשאלה האם ניתן לאכוף עקרונות המשפט על מקרים אלו ואחרים.</w:t>
      </w:r>
    </w:p>
    <w:p w:rsidR="00145827" w:rsidRPr="008D1DBA" w:rsidRDefault="00145827" w:rsidP="00530D3A">
      <w:pPr>
        <w:pStyle w:val="a9"/>
        <w:numPr>
          <w:ilvl w:val="0"/>
          <w:numId w:val="16"/>
        </w:numPr>
        <w:rPr>
          <w:rFonts w:cs="David"/>
        </w:rPr>
      </w:pPr>
      <w:r w:rsidRPr="008D1DBA">
        <w:rPr>
          <w:rFonts w:cs="David" w:hint="cs"/>
          <w:u w:val="single"/>
          <w:rtl/>
        </w:rPr>
        <w:t xml:space="preserve">פוזיטיביות </w:t>
      </w:r>
      <w:r w:rsidRPr="008D1DBA">
        <w:rPr>
          <w:rFonts w:cs="David"/>
          <w:rtl/>
        </w:rPr>
        <w:t>–</w:t>
      </w:r>
      <w:r w:rsidRPr="008D1DBA">
        <w:rPr>
          <w:rFonts w:cs="David" w:hint="cs"/>
          <w:rtl/>
        </w:rPr>
        <w:t xml:space="preserve"> דגש על היכולת "לקלוט את המשפט בחושים" המשפט נוצר באמצעות עובדות חברתיות.</w:t>
      </w:r>
    </w:p>
    <w:p w:rsidR="00123DE6" w:rsidRPr="008D1DBA" w:rsidRDefault="00145827" w:rsidP="00530D3A">
      <w:pPr>
        <w:pStyle w:val="a9"/>
        <w:numPr>
          <w:ilvl w:val="0"/>
          <w:numId w:val="16"/>
        </w:numPr>
        <w:rPr>
          <w:rFonts w:cs="David"/>
        </w:rPr>
      </w:pPr>
      <w:proofErr w:type="spellStart"/>
      <w:r w:rsidRPr="008D1DBA">
        <w:rPr>
          <w:rFonts w:cs="David" w:hint="cs"/>
          <w:u w:val="single"/>
          <w:rtl/>
        </w:rPr>
        <w:t>פרוצדורליזם</w:t>
      </w:r>
      <w:proofErr w:type="spellEnd"/>
      <w:r w:rsidRPr="008D1DBA">
        <w:rPr>
          <w:rFonts w:cs="David" w:hint="cs"/>
          <w:u w:val="single"/>
          <w:rtl/>
        </w:rPr>
        <w:t xml:space="preserve"> </w:t>
      </w:r>
      <w:proofErr w:type="spellStart"/>
      <w:r w:rsidRPr="008D1DBA">
        <w:rPr>
          <w:rFonts w:cs="David" w:hint="cs"/>
          <w:u w:val="single"/>
          <w:rtl/>
        </w:rPr>
        <w:t>ופורמליזים</w:t>
      </w:r>
      <w:proofErr w:type="spellEnd"/>
      <w:r w:rsidRPr="008D1DBA">
        <w:rPr>
          <w:rFonts w:cs="David" w:hint="cs"/>
          <w:u w:val="single"/>
          <w:rtl/>
        </w:rPr>
        <w:t xml:space="preserve"> </w:t>
      </w:r>
      <w:r w:rsidRPr="008D1DBA">
        <w:rPr>
          <w:rFonts w:cs="David"/>
          <w:rtl/>
        </w:rPr>
        <w:t>–</w:t>
      </w:r>
      <w:r w:rsidRPr="008D1DBA">
        <w:rPr>
          <w:rFonts w:cs="David" w:hint="cs"/>
          <w:rtl/>
        </w:rPr>
        <w:t xml:space="preserve"> ההליך הינו חשוב והוא שקובע את מהות הדיון. יציבות המערכת ה</w:t>
      </w:r>
      <w:r w:rsidR="00123DE6" w:rsidRPr="008D1DBA">
        <w:rPr>
          <w:rFonts w:cs="David" w:hint="cs"/>
          <w:rtl/>
        </w:rPr>
        <w:t>אנגלית באמצעות פרוצדורות ברורות</w:t>
      </w:r>
      <w:r w:rsidRPr="008D1DBA">
        <w:rPr>
          <w:rFonts w:cs="David" w:hint="cs"/>
          <w:rtl/>
        </w:rPr>
        <w:t>.</w:t>
      </w:r>
    </w:p>
    <w:p w:rsidR="00145827" w:rsidRPr="008D1DBA" w:rsidRDefault="00123DE6" w:rsidP="00530D3A">
      <w:pPr>
        <w:rPr>
          <w:rFonts w:cs="David"/>
          <w:b/>
          <w:bCs/>
          <w:u w:val="single"/>
          <w:rtl/>
        </w:rPr>
      </w:pPr>
      <w:r w:rsidRPr="008D1DBA">
        <w:rPr>
          <w:rFonts w:cs="David" w:hint="cs"/>
          <w:b/>
          <w:bCs/>
          <w:u w:val="single"/>
          <w:rtl/>
        </w:rPr>
        <w:t xml:space="preserve">הפרוצדורה </w:t>
      </w:r>
      <w:r w:rsidR="00145827" w:rsidRPr="008D1DBA">
        <w:rPr>
          <w:rFonts w:cs="David" w:hint="cs"/>
          <w:b/>
          <w:bCs/>
          <w:u w:val="single"/>
          <w:rtl/>
        </w:rPr>
        <w:t xml:space="preserve"> </w:t>
      </w:r>
      <w:r w:rsidRPr="008D1DBA">
        <w:rPr>
          <w:rFonts w:cs="David" w:hint="cs"/>
          <w:b/>
          <w:bCs/>
          <w:u w:val="single"/>
          <w:rtl/>
        </w:rPr>
        <w:t>המשפטית האנגלית</w:t>
      </w:r>
    </w:p>
    <w:p w:rsidR="00546ADD" w:rsidRPr="008D1DBA" w:rsidRDefault="00123DE6" w:rsidP="00530D3A">
      <w:pPr>
        <w:rPr>
          <w:rFonts w:cs="David"/>
          <w:rtl/>
        </w:rPr>
      </w:pPr>
      <w:r w:rsidRPr="008D1DBA">
        <w:rPr>
          <w:rFonts w:cs="David" w:hint="cs"/>
          <w:b/>
          <w:bCs/>
          <w:u w:val="single"/>
          <w:rtl/>
        </w:rPr>
        <w:t>נוקשות הפרוצדורה האנגלית</w:t>
      </w:r>
      <w:r w:rsidRPr="008D1DBA">
        <w:rPr>
          <w:rFonts w:cs="David" w:hint="cs"/>
          <w:rtl/>
        </w:rPr>
        <w:t>: המחשבה המשפטית האנגלית חיפשה דרכי פעולה ולפיהם גזרה את הזכות המשפטית.</w:t>
      </w:r>
    </w:p>
    <w:p w:rsidR="002A62BB" w:rsidRPr="008D1DBA" w:rsidRDefault="002A62BB" w:rsidP="00530D3A">
      <w:pPr>
        <w:rPr>
          <w:rFonts w:cs="David"/>
          <w:rtl/>
        </w:rPr>
      </w:pPr>
      <w:r w:rsidRPr="008D1DBA">
        <w:rPr>
          <w:rFonts w:cs="David" w:hint="cs"/>
          <w:b/>
          <w:bCs/>
          <w:u w:val="single"/>
          <w:rtl/>
        </w:rPr>
        <w:t>דוג' לפרוצדורה האנגלית</w:t>
      </w:r>
      <w:r w:rsidRPr="008D1DBA">
        <w:rPr>
          <w:rFonts w:cs="David" w:hint="cs"/>
          <w:rtl/>
        </w:rPr>
        <w:t xml:space="preserve">: </w:t>
      </w:r>
    </w:p>
    <w:p w:rsidR="002A62BB" w:rsidRPr="008D1DBA" w:rsidRDefault="00B34C8A" w:rsidP="00530D3A">
      <w:pPr>
        <w:pStyle w:val="a9"/>
        <w:numPr>
          <w:ilvl w:val="0"/>
          <w:numId w:val="17"/>
        </w:numPr>
        <w:rPr>
          <w:rFonts w:cs="David"/>
        </w:rPr>
      </w:pPr>
      <w:r w:rsidRPr="008D1DBA">
        <w:rPr>
          <w:rFonts w:cs="David" w:hint="cs"/>
          <w:rtl/>
        </w:rPr>
        <w:t xml:space="preserve">בקשה של התובע מביהמ"ש לזמן את הנתבע לדין הינו הכרח. בתחילה הלורד </w:t>
      </w:r>
      <w:proofErr w:type="spellStart"/>
      <w:r w:rsidRPr="008D1DBA">
        <w:rPr>
          <w:rFonts w:cs="David" w:hint="cs"/>
          <w:rtl/>
        </w:rPr>
        <w:t>צ'נסלור</w:t>
      </w:r>
      <w:proofErr w:type="spellEnd"/>
      <w:r w:rsidRPr="008D1DBA">
        <w:rPr>
          <w:rFonts w:cs="David" w:hint="cs"/>
          <w:rtl/>
        </w:rPr>
        <w:t xml:space="preserve"> היה פונה בבקשה זו לביהמ"ש (לאחר פניית התובע אליו) - דבר הדומה לפעולת </w:t>
      </w:r>
      <w:proofErr w:type="spellStart"/>
      <w:r w:rsidRPr="008D1DBA">
        <w:rPr>
          <w:rFonts w:cs="David" w:hint="cs"/>
          <w:rtl/>
        </w:rPr>
        <w:t>הפרייטור</w:t>
      </w:r>
      <w:proofErr w:type="spellEnd"/>
      <w:r w:rsidRPr="008D1DBA">
        <w:rPr>
          <w:rFonts w:cs="David" w:hint="cs"/>
          <w:rtl/>
        </w:rPr>
        <w:t xml:space="preserve"> במשפט הרומי.</w:t>
      </w:r>
    </w:p>
    <w:p w:rsidR="00B34C8A" w:rsidRPr="008D1DBA" w:rsidRDefault="00B34C8A" w:rsidP="00530D3A">
      <w:pPr>
        <w:pStyle w:val="a9"/>
        <w:ind w:left="360"/>
        <w:rPr>
          <w:rFonts w:cs="David"/>
          <w:rtl/>
        </w:rPr>
      </w:pPr>
      <w:r w:rsidRPr="008D1DBA">
        <w:rPr>
          <w:rFonts w:cs="David" w:hint="cs"/>
          <w:rtl/>
        </w:rPr>
        <w:t>עם הזמן, התקיימו עילות מוכנות מראש לזימון למשפט (בדומה למשפט הרומי) זאת בכדי שלא יהיה ניתן לזמן למשפט בכל עילה.</w:t>
      </w:r>
    </w:p>
    <w:p w:rsidR="00B34C8A" w:rsidRPr="008D1DBA" w:rsidRDefault="00B34C8A" w:rsidP="00530D3A">
      <w:pPr>
        <w:pStyle w:val="a9"/>
        <w:ind w:left="360"/>
        <w:rPr>
          <w:rFonts w:cs="David"/>
          <w:rtl/>
        </w:rPr>
      </w:pPr>
      <w:r w:rsidRPr="008D1DBA">
        <w:rPr>
          <w:rFonts w:cs="David" w:hint="cs"/>
          <w:rtl/>
        </w:rPr>
        <w:t xml:space="preserve">תקנות אוקספורד </w:t>
      </w:r>
      <w:r w:rsidRPr="008D1DBA">
        <w:rPr>
          <w:rFonts w:cs="David"/>
          <w:rtl/>
        </w:rPr>
        <w:t>–</w:t>
      </w:r>
      <w:r w:rsidRPr="008D1DBA">
        <w:rPr>
          <w:rFonts w:cs="David" w:hint="cs"/>
          <w:rtl/>
        </w:rPr>
        <w:t xml:space="preserve"> מונעות </w:t>
      </w:r>
      <w:proofErr w:type="spellStart"/>
      <w:r w:rsidRPr="008D1DBA">
        <w:rPr>
          <w:rFonts w:cs="David" w:hint="cs"/>
          <w:rtl/>
        </w:rPr>
        <w:t>מהצ'נסלור</w:t>
      </w:r>
      <w:proofErr w:type="spellEnd"/>
      <w:r w:rsidRPr="008D1DBA">
        <w:rPr>
          <w:rFonts w:cs="David" w:hint="cs"/>
          <w:rtl/>
        </w:rPr>
        <w:t xml:space="preserve"> להמציא עילות חדשות לצווי זימון למשפט. תרם ליציבות המשפט אך פגע בגמישותה (דומה למשפט הרומי).</w:t>
      </w:r>
    </w:p>
    <w:p w:rsidR="00B34C8A" w:rsidRPr="008D1DBA" w:rsidRDefault="00B34C8A" w:rsidP="00530D3A">
      <w:pPr>
        <w:pStyle w:val="a9"/>
        <w:numPr>
          <w:ilvl w:val="0"/>
          <w:numId w:val="17"/>
        </w:numPr>
        <w:rPr>
          <w:rFonts w:cs="David"/>
        </w:rPr>
      </w:pPr>
      <w:r w:rsidRPr="008D1DBA">
        <w:rPr>
          <w:rFonts w:cs="David" w:hint="cs"/>
          <w:u w:val="single"/>
          <w:rtl/>
        </w:rPr>
        <w:t>פרוצדורה נוקשה בביהמ"ש</w:t>
      </w:r>
      <w:r w:rsidRPr="008D1DBA">
        <w:rPr>
          <w:rFonts w:cs="David" w:hint="cs"/>
          <w:rtl/>
        </w:rPr>
        <w:t xml:space="preserve"> </w:t>
      </w:r>
      <w:r w:rsidRPr="008D1DBA">
        <w:rPr>
          <w:rFonts w:cs="David"/>
          <w:rtl/>
        </w:rPr>
        <w:t>–</w:t>
      </w:r>
      <w:r w:rsidRPr="008D1DBA">
        <w:rPr>
          <w:rFonts w:cs="David" w:hint="cs"/>
          <w:rtl/>
        </w:rPr>
        <w:t xml:space="preserve"> גמישות מועטה לשופט ביכולת החקירה שלו במהלך המשפט, יש להתמיד בסדר מובנה של ההליך השיפוטי </w:t>
      </w:r>
      <w:r w:rsidRPr="008D1DBA">
        <w:rPr>
          <w:rFonts w:cs="David"/>
          <w:rtl/>
        </w:rPr>
        <w:t>–</w:t>
      </w:r>
      <w:r w:rsidRPr="008D1DBA">
        <w:rPr>
          <w:rFonts w:cs="David" w:hint="cs"/>
          <w:rtl/>
        </w:rPr>
        <w:t xml:space="preserve"> זאת, ע"ב השיטה האדברסרית. הפרוצדורה כ</w:t>
      </w:r>
      <w:r w:rsidR="007542A0" w:rsidRPr="008D1DBA">
        <w:rPr>
          <w:rFonts w:cs="David" w:hint="cs"/>
          <w:rtl/>
        </w:rPr>
        <w:t>"</w:t>
      </w:r>
      <w:r w:rsidRPr="008D1DBA">
        <w:rPr>
          <w:rFonts w:cs="David" w:hint="cs"/>
          <w:rtl/>
        </w:rPr>
        <w:t>שומרת הראש של הצדק</w:t>
      </w:r>
      <w:r w:rsidR="007542A0" w:rsidRPr="008D1DBA">
        <w:rPr>
          <w:rFonts w:cs="David" w:hint="cs"/>
          <w:rtl/>
        </w:rPr>
        <w:t>"</w:t>
      </w:r>
      <w:r w:rsidRPr="008D1DBA">
        <w:rPr>
          <w:rFonts w:cs="David" w:hint="cs"/>
          <w:rtl/>
        </w:rPr>
        <w:t>.</w:t>
      </w:r>
    </w:p>
    <w:p w:rsidR="00B34C8A" w:rsidRPr="008D1DBA" w:rsidRDefault="00B34C8A" w:rsidP="00530D3A">
      <w:pPr>
        <w:pStyle w:val="a9"/>
        <w:numPr>
          <w:ilvl w:val="0"/>
          <w:numId w:val="17"/>
        </w:numPr>
        <w:rPr>
          <w:rFonts w:cs="David"/>
        </w:rPr>
      </w:pPr>
      <w:r w:rsidRPr="008D1DBA">
        <w:rPr>
          <w:rFonts w:cs="David" w:hint="cs"/>
          <w:u w:val="single"/>
          <w:rtl/>
        </w:rPr>
        <w:t>התקדים המחייב</w:t>
      </w:r>
      <w:r w:rsidRPr="008D1DBA">
        <w:rPr>
          <w:rFonts w:cs="David" w:hint="cs"/>
          <w:rtl/>
        </w:rPr>
        <w:t xml:space="preserve"> </w:t>
      </w:r>
      <w:r w:rsidRPr="008D1DBA">
        <w:rPr>
          <w:rFonts w:cs="David"/>
          <w:rtl/>
        </w:rPr>
        <w:t>–</w:t>
      </w:r>
      <w:r w:rsidRPr="008D1DBA">
        <w:rPr>
          <w:rFonts w:cs="David" w:hint="cs"/>
          <w:rtl/>
        </w:rPr>
        <w:t xml:space="preserve"> קביעת עיקרון התקדים כמחייב את השופטים.  </w:t>
      </w:r>
    </w:p>
    <w:p w:rsidR="00B571C1" w:rsidRPr="008D1DBA" w:rsidRDefault="00B34C8A" w:rsidP="00530D3A">
      <w:pPr>
        <w:pStyle w:val="a9"/>
        <w:numPr>
          <w:ilvl w:val="0"/>
          <w:numId w:val="17"/>
        </w:numPr>
        <w:rPr>
          <w:rFonts w:cs="David"/>
        </w:rPr>
      </w:pPr>
      <w:proofErr w:type="spellStart"/>
      <w:r w:rsidRPr="008D1DBA">
        <w:rPr>
          <w:rFonts w:cs="David" w:hint="cs"/>
          <w:u w:val="single"/>
          <w:rtl/>
        </w:rPr>
        <w:t>גמירות</w:t>
      </w:r>
      <w:proofErr w:type="spellEnd"/>
      <w:r w:rsidRPr="008D1DBA">
        <w:rPr>
          <w:rFonts w:cs="David" w:hint="cs"/>
          <w:u w:val="single"/>
          <w:rtl/>
        </w:rPr>
        <w:t xml:space="preserve"> הדעת </w:t>
      </w:r>
      <w:r w:rsidRPr="008D1DBA">
        <w:rPr>
          <w:rFonts w:cs="David"/>
          <w:rtl/>
        </w:rPr>
        <w:t>–</w:t>
      </w:r>
      <w:r w:rsidRPr="008D1DBA">
        <w:rPr>
          <w:rFonts w:cs="David" w:hint="cs"/>
          <w:rtl/>
        </w:rPr>
        <w:t xml:space="preserve"> דרישה לכתב וחתימה, ולא לבחינת הסיבה ההגיונית לכריתת החוזה.</w:t>
      </w:r>
    </w:p>
    <w:p w:rsidR="00B571C1" w:rsidRPr="008D1DBA" w:rsidRDefault="00B571C1" w:rsidP="00530D3A">
      <w:pPr>
        <w:rPr>
          <w:rFonts w:cs="David"/>
          <w:rtl/>
        </w:rPr>
      </w:pPr>
    </w:p>
    <w:p w:rsidR="00B571C1" w:rsidRPr="008D1DBA" w:rsidRDefault="00B571C1" w:rsidP="00530D3A">
      <w:pPr>
        <w:rPr>
          <w:rFonts w:cs="David"/>
          <w:rtl/>
        </w:rPr>
      </w:pPr>
      <w:r w:rsidRPr="008D1DBA">
        <w:rPr>
          <w:rFonts w:cs="David" w:hint="cs"/>
          <w:b/>
          <w:bCs/>
          <w:u w:val="single"/>
          <w:rtl/>
        </w:rPr>
        <w:t>דרכים להגמשת המשפט האנגלי</w:t>
      </w:r>
      <w:r w:rsidRPr="008D1DBA">
        <w:rPr>
          <w:rFonts w:cs="David" w:hint="cs"/>
          <w:rtl/>
        </w:rPr>
        <w:t>: בשל שימת דגש על פורמליזם נהיה המשפט האנגלי מסורבל ולעיתים חסר צדק. נמצאו דרכים שונות להגמשת המשפט:</w:t>
      </w:r>
    </w:p>
    <w:p w:rsidR="00B571C1" w:rsidRPr="008D1DBA" w:rsidRDefault="00B571C1" w:rsidP="00530D3A">
      <w:pPr>
        <w:pStyle w:val="a9"/>
        <w:numPr>
          <w:ilvl w:val="0"/>
          <w:numId w:val="18"/>
        </w:numPr>
        <w:rPr>
          <w:rFonts w:cs="David"/>
        </w:rPr>
      </w:pPr>
      <w:r w:rsidRPr="008D1DBA">
        <w:rPr>
          <w:rFonts w:cs="David" w:hint="cs"/>
          <w:u w:val="single"/>
          <w:rtl/>
        </w:rPr>
        <w:t>פרשנות ויצירה שיפוטית</w:t>
      </w:r>
      <w:r w:rsidRPr="008D1DBA">
        <w:rPr>
          <w:rFonts w:cs="David" w:hint="cs"/>
          <w:rtl/>
        </w:rPr>
        <w:t xml:space="preserve"> </w:t>
      </w:r>
      <w:r w:rsidRPr="008D1DBA">
        <w:rPr>
          <w:rFonts w:cs="David"/>
          <w:rtl/>
        </w:rPr>
        <w:t>–</w:t>
      </w:r>
      <w:r w:rsidRPr="008D1DBA">
        <w:rPr>
          <w:rFonts w:cs="David" w:hint="cs"/>
          <w:rtl/>
        </w:rPr>
        <w:t xml:space="preserve"> פירוש כללי הפרוצדורה ע"י השופט והשכל הישר, זאת כדי לא לפגוע בעקרונות הצדק.</w:t>
      </w:r>
    </w:p>
    <w:p w:rsidR="00B571C1" w:rsidRPr="008D1DBA" w:rsidRDefault="00B571C1" w:rsidP="00530D3A">
      <w:pPr>
        <w:pStyle w:val="a9"/>
        <w:numPr>
          <w:ilvl w:val="0"/>
          <w:numId w:val="18"/>
        </w:numPr>
        <w:rPr>
          <w:rFonts w:cs="David"/>
        </w:rPr>
      </w:pPr>
      <w:r w:rsidRPr="008D1DBA">
        <w:rPr>
          <w:rFonts w:cs="David" w:hint="cs"/>
          <w:u w:val="single"/>
          <w:rtl/>
        </w:rPr>
        <w:t xml:space="preserve">שינוי חקיקה </w:t>
      </w:r>
      <w:r w:rsidRPr="008D1DBA">
        <w:rPr>
          <w:rFonts w:cs="David"/>
          <w:rtl/>
        </w:rPr>
        <w:t>–</w:t>
      </w:r>
      <w:r w:rsidRPr="008D1DBA">
        <w:rPr>
          <w:rFonts w:cs="David" w:hint="cs"/>
          <w:rtl/>
        </w:rPr>
        <w:t xml:space="preserve"> פתרון הסיבוך הפרוצדורלי באמצעותו.</w:t>
      </w:r>
    </w:p>
    <w:p w:rsidR="00B571C1" w:rsidRPr="008D1DBA" w:rsidRDefault="00B571C1" w:rsidP="00530D3A">
      <w:pPr>
        <w:rPr>
          <w:rFonts w:cs="David"/>
          <w:rtl/>
        </w:rPr>
      </w:pPr>
    </w:p>
    <w:p w:rsidR="00B571C1" w:rsidRPr="008D1DBA" w:rsidRDefault="00B571C1" w:rsidP="00530D3A">
      <w:pPr>
        <w:rPr>
          <w:rFonts w:cs="David"/>
          <w:rtl/>
        </w:rPr>
      </w:pPr>
      <w:r w:rsidRPr="008D1DBA">
        <w:rPr>
          <w:rFonts w:cs="David" w:hint="cs"/>
          <w:b/>
          <w:bCs/>
          <w:u w:val="single"/>
          <w:rtl/>
        </w:rPr>
        <w:t>מערכות ביהמ"ש המקבילות</w:t>
      </w:r>
      <w:r w:rsidRPr="008D1DBA">
        <w:rPr>
          <w:rFonts w:cs="David" w:hint="cs"/>
          <w:rtl/>
        </w:rPr>
        <w:t>: בתי המשפט הנוספים שימשו דרך נוספת להגמשת המשפט. בנוסף ל-3 מערכות המשפט שהתקיימו בפרלמנט, התקיימו מערכות נוספות:</w:t>
      </w:r>
    </w:p>
    <w:p w:rsidR="00B571C1" w:rsidRPr="008D1DBA" w:rsidRDefault="00B571C1" w:rsidP="00530D3A">
      <w:pPr>
        <w:rPr>
          <w:rFonts w:cs="David"/>
          <w:rtl/>
        </w:rPr>
      </w:pPr>
    </w:p>
    <w:p w:rsidR="00B571C1" w:rsidRPr="008D1DBA" w:rsidRDefault="00B571C1" w:rsidP="00530D3A">
      <w:pPr>
        <w:pStyle w:val="a9"/>
        <w:numPr>
          <w:ilvl w:val="0"/>
          <w:numId w:val="19"/>
        </w:numPr>
        <w:rPr>
          <w:rFonts w:cs="David"/>
        </w:rPr>
      </w:pPr>
      <w:r w:rsidRPr="008D1DBA">
        <w:rPr>
          <w:rFonts w:cs="David" w:hint="cs"/>
          <w:u w:val="single"/>
          <w:rtl/>
        </w:rPr>
        <w:t>ביהמ"ש מקומיים (נמוכים)</w:t>
      </w:r>
      <w:r w:rsidRPr="008D1DBA">
        <w:rPr>
          <w:rFonts w:cs="David" w:hint="cs"/>
          <w:rtl/>
        </w:rPr>
        <w:t xml:space="preserve">: </w:t>
      </w:r>
    </w:p>
    <w:p w:rsidR="00B571C1" w:rsidRPr="008D1DBA" w:rsidRDefault="00B571C1" w:rsidP="00530D3A">
      <w:pPr>
        <w:pStyle w:val="a9"/>
        <w:numPr>
          <w:ilvl w:val="1"/>
          <w:numId w:val="19"/>
        </w:numPr>
        <w:rPr>
          <w:rFonts w:cs="David"/>
        </w:rPr>
      </w:pPr>
      <w:r w:rsidRPr="008D1DBA">
        <w:rPr>
          <w:rFonts w:cs="David" w:hint="cs"/>
          <w:u w:val="single"/>
          <w:rtl/>
        </w:rPr>
        <w:t>ביהמ"ש השלום</w:t>
      </w:r>
      <w:r w:rsidRPr="008D1DBA">
        <w:rPr>
          <w:rFonts w:cs="David" w:hint="cs"/>
          <w:rtl/>
        </w:rPr>
        <w:t xml:space="preserve"> </w:t>
      </w:r>
      <w:r w:rsidRPr="008D1DBA">
        <w:rPr>
          <w:rFonts w:cs="David"/>
          <w:rtl/>
        </w:rPr>
        <w:t>–</w:t>
      </w:r>
      <w:r w:rsidRPr="008D1DBA">
        <w:rPr>
          <w:rFonts w:cs="David" w:hint="cs"/>
          <w:rtl/>
        </w:rPr>
        <w:t xml:space="preserve"> שיפוט האוכלוסייה המקומית. רוב האוכלוסייה השתמשה בשירותי ביהמ"ש זה.</w:t>
      </w:r>
    </w:p>
    <w:p w:rsidR="00B571C1" w:rsidRPr="008D1DBA" w:rsidRDefault="00B571C1" w:rsidP="00530D3A">
      <w:pPr>
        <w:pStyle w:val="a9"/>
        <w:numPr>
          <w:ilvl w:val="1"/>
          <w:numId w:val="19"/>
        </w:numPr>
        <w:rPr>
          <w:rFonts w:cs="David"/>
        </w:rPr>
      </w:pPr>
      <w:r w:rsidRPr="008D1DBA">
        <w:rPr>
          <w:rFonts w:cs="David" w:hint="cs"/>
          <w:u w:val="single"/>
          <w:rtl/>
        </w:rPr>
        <w:t xml:space="preserve">ביהמ"ש </w:t>
      </w:r>
      <w:proofErr w:type="spellStart"/>
      <w:r w:rsidRPr="008D1DBA">
        <w:rPr>
          <w:rFonts w:cs="David" w:hint="cs"/>
          <w:u w:val="single"/>
          <w:rtl/>
        </w:rPr>
        <w:t>המונוריאליים</w:t>
      </w:r>
      <w:proofErr w:type="spellEnd"/>
      <w:r w:rsidRPr="008D1DBA">
        <w:rPr>
          <w:rFonts w:cs="David" w:hint="cs"/>
          <w:u w:val="single"/>
          <w:rtl/>
        </w:rPr>
        <w:t xml:space="preserve"> </w:t>
      </w:r>
      <w:r w:rsidRPr="008D1DBA">
        <w:rPr>
          <w:rFonts w:cs="David"/>
          <w:rtl/>
        </w:rPr>
        <w:t>–</w:t>
      </w:r>
      <w:r w:rsidRPr="008D1DBA">
        <w:rPr>
          <w:rFonts w:cs="David" w:hint="cs"/>
          <w:rtl/>
        </w:rPr>
        <w:t xml:space="preserve"> שפיטה ע"י האצילים האזוריים, התקיים עד המאה ה-17 בלבד.</w:t>
      </w:r>
    </w:p>
    <w:p w:rsidR="00B571C1" w:rsidRPr="008D1DBA" w:rsidRDefault="00B571C1" w:rsidP="00530D3A">
      <w:pPr>
        <w:pStyle w:val="a9"/>
        <w:numPr>
          <w:ilvl w:val="1"/>
          <w:numId w:val="19"/>
        </w:numPr>
        <w:rPr>
          <w:rFonts w:cs="David"/>
        </w:rPr>
      </w:pPr>
      <w:r w:rsidRPr="008D1DBA">
        <w:rPr>
          <w:rFonts w:cs="David" w:hint="cs"/>
          <w:u w:val="single"/>
          <w:rtl/>
        </w:rPr>
        <w:t xml:space="preserve">ביהמ"ש הכנסייתיים </w:t>
      </w:r>
      <w:r w:rsidRPr="008D1DBA">
        <w:rPr>
          <w:rFonts w:cs="David" w:hint="cs"/>
          <w:rtl/>
        </w:rPr>
        <w:t>-  סמכותם הייתה מצומצמת לענייני משפחה וירושה בלבד. בוטלו/שולבו במאה ה-19 עם מערכת ביהמ"ש הכללית.</w:t>
      </w:r>
    </w:p>
    <w:p w:rsidR="00B571C1" w:rsidRPr="008D1DBA" w:rsidRDefault="00B571C1" w:rsidP="00530D3A">
      <w:pPr>
        <w:pStyle w:val="a9"/>
        <w:numPr>
          <w:ilvl w:val="1"/>
          <w:numId w:val="19"/>
        </w:numPr>
        <w:rPr>
          <w:rFonts w:cs="David"/>
        </w:rPr>
      </w:pPr>
      <w:r w:rsidRPr="008D1DBA">
        <w:rPr>
          <w:rFonts w:cs="David" w:hint="cs"/>
          <w:u w:val="single"/>
          <w:rtl/>
        </w:rPr>
        <w:t xml:space="preserve">ביהמ"ש לסוחרים וימאים </w:t>
      </w:r>
      <w:r w:rsidRPr="008D1DBA">
        <w:rPr>
          <w:rFonts w:cs="David"/>
          <w:rtl/>
        </w:rPr>
        <w:t>–</w:t>
      </w:r>
      <w:r w:rsidRPr="008D1DBA">
        <w:rPr>
          <w:rFonts w:cs="David" w:hint="cs"/>
          <w:rtl/>
        </w:rPr>
        <w:t xml:space="preserve"> גם אלה התקיימו בשל הפרוצדורה הסבוכה של ביהמ"ש של המלך, קיומן ייעל את המשפט. בוטל בתקופת הנרי ה-8.</w:t>
      </w:r>
    </w:p>
    <w:p w:rsidR="00172627" w:rsidRPr="008D1DBA" w:rsidRDefault="00172627" w:rsidP="00530D3A">
      <w:pPr>
        <w:pStyle w:val="a9"/>
        <w:numPr>
          <w:ilvl w:val="0"/>
          <w:numId w:val="19"/>
        </w:numPr>
        <w:rPr>
          <w:rFonts w:cs="David"/>
        </w:rPr>
      </w:pPr>
      <w:r w:rsidRPr="008D1DBA">
        <w:rPr>
          <w:rFonts w:cs="David" w:hint="cs"/>
          <w:u w:val="single"/>
          <w:rtl/>
        </w:rPr>
        <w:t>ביהמ"ש גבוהים</w:t>
      </w:r>
      <w:r w:rsidRPr="008D1DBA">
        <w:rPr>
          <w:rFonts w:cs="David" w:hint="cs"/>
          <w:rtl/>
        </w:rPr>
        <w:t xml:space="preserve"> </w:t>
      </w:r>
      <w:r w:rsidRPr="008D1DBA">
        <w:rPr>
          <w:rFonts w:cs="David"/>
          <w:rtl/>
        </w:rPr>
        <w:t>–</w:t>
      </w:r>
      <w:r w:rsidRPr="008D1DBA">
        <w:rPr>
          <w:rFonts w:cs="David" w:hint="cs"/>
          <w:rtl/>
        </w:rPr>
        <w:t xml:space="preserve"> כתוצאה מהכוח של השלטון הריכוזי ובמקרים בהם נעשה חוסר צדק במשפט, פנו אל המלך (שהיה ראש המדינה) יש לציין כי בתקופה זו לא התקיימו ערכאות ערעור.</w:t>
      </w:r>
    </w:p>
    <w:p w:rsidR="00172627" w:rsidRPr="008D1DBA" w:rsidRDefault="00172627" w:rsidP="00530D3A">
      <w:pPr>
        <w:pStyle w:val="a9"/>
        <w:numPr>
          <w:ilvl w:val="1"/>
          <w:numId w:val="19"/>
        </w:numPr>
        <w:rPr>
          <w:rFonts w:cs="David"/>
        </w:rPr>
      </w:pPr>
      <w:r w:rsidRPr="008D1DBA">
        <w:rPr>
          <w:rFonts w:cs="David" w:hint="cs"/>
          <w:u w:val="single"/>
          <w:rtl/>
        </w:rPr>
        <w:t xml:space="preserve">ביהמ"ש של </w:t>
      </w:r>
      <w:proofErr w:type="spellStart"/>
      <w:r w:rsidRPr="008D1DBA">
        <w:rPr>
          <w:rFonts w:cs="David" w:hint="cs"/>
          <w:u w:val="single"/>
          <w:rtl/>
        </w:rPr>
        <w:t>הצ'נסלור</w:t>
      </w:r>
      <w:proofErr w:type="spellEnd"/>
      <w:r w:rsidRPr="008D1DBA">
        <w:rPr>
          <w:rFonts w:cs="David" w:hint="cs"/>
          <w:u w:val="single"/>
          <w:rtl/>
        </w:rPr>
        <w:t xml:space="preserve"> </w:t>
      </w:r>
      <w:r w:rsidRPr="008D1DBA">
        <w:rPr>
          <w:rFonts w:cs="David"/>
          <w:rtl/>
        </w:rPr>
        <w:t>–</w:t>
      </w:r>
      <w:r w:rsidRPr="008D1DBA">
        <w:rPr>
          <w:rFonts w:cs="David" w:hint="cs"/>
          <w:rtl/>
        </w:rPr>
        <w:t xml:space="preserve"> כתוצאה מריבוי הפניות למלך, האציל מסמכותו השיפוטית </w:t>
      </w:r>
      <w:proofErr w:type="spellStart"/>
      <w:r w:rsidRPr="008D1DBA">
        <w:rPr>
          <w:rFonts w:cs="David" w:hint="cs"/>
          <w:rtl/>
        </w:rPr>
        <w:t>לצ'נסלור</w:t>
      </w:r>
      <w:proofErr w:type="spellEnd"/>
      <w:r w:rsidRPr="008D1DBA">
        <w:rPr>
          <w:rFonts w:cs="David" w:hint="cs"/>
          <w:rtl/>
        </w:rPr>
        <w:t xml:space="preserve"> (ששימש כרוה"מ). עם הזמן הפכה מערכת זו למקבילה למערכת הקיימת. </w:t>
      </w:r>
      <w:proofErr w:type="spellStart"/>
      <w:r w:rsidRPr="008D1DBA">
        <w:rPr>
          <w:rFonts w:cs="David" w:hint="cs"/>
          <w:rtl/>
        </w:rPr>
        <w:t>בבהימ"ש</w:t>
      </w:r>
      <w:proofErr w:type="spellEnd"/>
      <w:r w:rsidRPr="008D1DBA">
        <w:rPr>
          <w:rFonts w:cs="David" w:hint="cs"/>
          <w:rtl/>
        </w:rPr>
        <w:t xml:space="preserve"> אלה הצדק נתפס כמכריע יותר, זאת בניגוד לביהמ"ש של המלך אשר חיפשה סעד בכדי להפעיל זכות כתפיסת עולם שיפוטית.</w:t>
      </w:r>
    </w:p>
    <w:p w:rsidR="00172627" w:rsidRPr="008D1DBA" w:rsidRDefault="00172627" w:rsidP="00530D3A">
      <w:pPr>
        <w:pStyle w:val="a9"/>
        <w:ind w:left="1080"/>
        <w:rPr>
          <w:rFonts w:cs="David"/>
          <w:rtl/>
        </w:rPr>
      </w:pPr>
      <w:r w:rsidRPr="008D1DBA">
        <w:rPr>
          <w:rFonts w:cs="David" w:hint="cs"/>
          <w:rtl/>
        </w:rPr>
        <w:t>לביהמ"ש זה היו 5 תפקידים עיקריים: סעדים במקרים ספציפיים, סעדים חדשים, יצירת זכויות חדשות, ערכאות ערעור, והכנסת עקרונות הצדק למשפט.</w:t>
      </w:r>
    </w:p>
    <w:p w:rsidR="00172627" w:rsidRPr="008D1DBA" w:rsidRDefault="00172627" w:rsidP="00530D3A">
      <w:pPr>
        <w:pStyle w:val="a9"/>
        <w:ind w:left="1080"/>
        <w:rPr>
          <w:rFonts w:cs="David"/>
          <w:rtl/>
        </w:rPr>
      </w:pPr>
      <w:r w:rsidRPr="008D1DBA">
        <w:rPr>
          <w:rFonts w:cs="David" w:hint="cs"/>
          <w:rtl/>
        </w:rPr>
        <w:t xml:space="preserve">בשל השוני הרב, בין מערכת משפט זו, לזו של המלך, נפגע לעיתים עקרון </w:t>
      </w:r>
      <w:proofErr w:type="spellStart"/>
      <w:r w:rsidRPr="008D1DBA">
        <w:rPr>
          <w:rFonts w:cs="David" w:hint="cs"/>
          <w:rtl/>
        </w:rPr>
        <w:t>השיוון</w:t>
      </w:r>
      <w:proofErr w:type="spellEnd"/>
      <w:r w:rsidRPr="008D1DBA">
        <w:rPr>
          <w:rFonts w:cs="David" w:hint="cs"/>
          <w:rtl/>
        </w:rPr>
        <w:t>. ואף נוצרו בעיות פוליטיות.</w:t>
      </w:r>
    </w:p>
    <w:p w:rsidR="007A55ED" w:rsidRPr="008D1DBA" w:rsidRDefault="007A55ED" w:rsidP="00530D3A">
      <w:pPr>
        <w:pStyle w:val="a9"/>
        <w:numPr>
          <w:ilvl w:val="1"/>
          <w:numId w:val="19"/>
        </w:numPr>
        <w:rPr>
          <w:rFonts w:cs="David"/>
        </w:rPr>
      </w:pPr>
      <w:r w:rsidRPr="008D1DBA">
        <w:rPr>
          <w:rFonts w:cs="David" w:hint="cs"/>
          <w:u w:val="single"/>
          <w:rtl/>
        </w:rPr>
        <w:t>חדר הכוכב</w:t>
      </w:r>
      <w:r w:rsidRPr="008D1DBA">
        <w:rPr>
          <w:rFonts w:cs="David" w:hint="cs"/>
          <w:rtl/>
        </w:rPr>
        <w:t xml:space="preserve"> </w:t>
      </w:r>
      <w:r w:rsidRPr="008D1DBA">
        <w:rPr>
          <w:rFonts w:cs="David"/>
          <w:rtl/>
        </w:rPr>
        <w:t>–</w:t>
      </w:r>
      <w:r w:rsidRPr="008D1DBA">
        <w:rPr>
          <w:rFonts w:cs="David" w:hint="cs"/>
          <w:rtl/>
        </w:rPr>
        <w:t xml:space="preserve"> שימש כערכאת ערעור פלילית, זאת במטרה להביא לצדק במקרים בהם הקשתה הפרוצדורה על הליכי המשפט. בוטל ב-1614 ע"י הפרלמנט.</w:t>
      </w:r>
    </w:p>
    <w:p w:rsidR="00337D29" w:rsidRPr="008D1DBA" w:rsidRDefault="007A55ED" w:rsidP="00530D3A">
      <w:pPr>
        <w:pStyle w:val="a9"/>
        <w:numPr>
          <w:ilvl w:val="1"/>
          <w:numId w:val="19"/>
        </w:numPr>
        <w:rPr>
          <w:rFonts w:cs="David"/>
        </w:rPr>
      </w:pPr>
      <w:r w:rsidRPr="008D1DBA">
        <w:rPr>
          <w:rFonts w:cs="David" w:hint="cs"/>
          <w:u w:val="single"/>
          <w:rtl/>
        </w:rPr>
        <w:t xml:space="preserve">הפרלמנט הבריטי </w:t>
      </w:r>
      <w:r w:rsidRPr="008D1DBA">
        <w:rPr>
          <w:rFonts w:cs="David"/>
          <w:rtl/>
        </w:rPr>
        <w:t>–</w:t>
      </w:r>
      <w:r w:rsidRPr="008D1DBA">
        <w:rPr>
          <w:rFonts w:cs="David" w:hint="cs"/>
          <w:rtl/>
        </w:rPr>
        <w:t xml:space="preserve"> בתחילת המאה ה-14, לאחר חל</w:t>
      </w:r>
      <w:r w:rsidR="0056594F" w:rsidRPr="008D1DBA">
        <w:rPr>
          <w:rFonts w:cs="David" w:hint="cs"/>
          <w:rtl/>
        </w:rPr>
        <w:t>ו</w:t>
      </w:r>
      <w:r w:rsidRPr="008D1DBA">
        <w:rPr>
          <w:rFonts w:cs="David" w:hint="cs"/>
          <w:rtl/>
        </w:rPr>
        <w:t>קות הפרלמנט ל-2, וכחלק מתפיסת הפרלמנט כמייצג העליון של העם, עסק הפרלמנט בשיפוט. עד היום הפרלמנט הינו הערכאה השיפוטית הגבוהה ביותר באנגליה.</w:t>
      </w:r>
    </w:p>
    <w:p w:rsidR="00337D29" w:rsidRPr="008D1DBA" w:rsidRDefault="00337D29" w:rsidP="00530D3A">
      <w:pPr>
        <w:rPr>
          <w:rFonts w:cs="David"/>
          <w:rtl/>
        </w:rPr>
      </w:pPr>
      <w:r w:rsidRPr="008D1DBA">
        <w:rPr>
          <w:rFonts w:cs="David" w:hint="cs"/>
          <w:b/>
          <w:bCs/>
          <w:u w:val="single"/>
          <w:rtl/>
        </w:rPr>
        <w:t>מבנה מערכת המשפט כיום</w:t>
      </w:r>
      <w:r w:rsidRPr="008D1DBA">
        <w:rPr>
          <w:rFonts w:cs="David" w:hint="cs"/>
          <w:rtl/>
        </w:rPr>
        <w:t xml:space="preserve"> </w:t>
      </w:r>
      <w:r w:rsidRPr="008D1DBA">
        <w:rPr>
          <w:rFonts w:cs="David"/>
          <w:rtl/>
        </w:rPr>
        <w:t>–</w:t>
      </w:r>
      <w:r w:rsidRPr="008D1DBA">
        <w:rPr>
          <w:rFonts w:cs="David" w:hint="cs"/>
          <w:rtl/>
        </w:rPr>
        <w:t xml:space="preserve"> בעקבות שינויים שעורכים האנגלים במאה ה-19, אוחדה הפרוצדורה המשפטית ועלתה על הכתב, כמו כן, הפכה מע' ביהמ"ש למערכת אחת ואף נוצרה ערכאת ערעור.</w:t>
      </w:r>
    </w:p>
    <w:p w:rsidR="00337D29" w:rsidRPr="008D1DBA" w:rsidRDefault="00337D29" w:rsidP="00530D3A">
      <w:pPr>
        <w:rPr>
          <w:rFonts w:cs="David"/>
          <w:rtl/>
        </w:rPr>
      </w:pPr>
      <w:r w:rsidRPr="008D1DBA">
        <w:rPr>
          <w:rFonts w:cs="David" w:hint="cs"/>
          <w:rtl/>
        </w:rPr>
        <w:t>כיום מחולקת המערכת המשפטית ל-3 רמות עיקריות:</w:t>
      </w:r>
    </w:p>
    <w:p w:rsidR="00337D29" w:rsidRPr="008D1DBA" w:rsidRDefault="00337D29" w:rsidP="00530D3A">
      <w:pPr>
        <w:pStyle w:val="a9"/>
        <w:numPr>
          <w:ilvl w:val="0"/>
          <w:numId w:val="23"/>
        </w:numPr>
        <w:rPr>
          <w:rFonts w:cs="David"/>
        </w:rPr>
      </w:pPr>
      <w:r w:rsidRPr="008D1DBA">
        <w:rPr>
          <w:rFonts w:cs="David" w:hint="cs"/>
          <w:u w:val="single"/>
          <w:rtl/>
        </w:rPr>
        <w:t>ביהמ"ש השלום</w:t>
      </w:r>
      <w:r w:rsidRPr="008D1DBA">
        <w:rPr>
          <w:rFonts w:cs="David" w:hint="cs"/>
          <w:rtl/>
        </w:rPr>
        <w:t xml:space="preserve"> </w:t>
      </w:r>
      <w:r w:rsidRPr="008D1DBA">
        <w:rPr>
          <w:rFonts w:cs="David"/>
          <w:rtl/>
        </w:rPr>
        <w:t>–</w:t>
      </w:r>
      <w:r w:rsidRPr="008D1DBA">
        <w:rPr>
          <w:rFonts w:cs="David" w:hint="cs"/>
          <w:rtl/>
        </w:rPr>
        <w:t xml:space="preserve"> סמכות בתביעות קטנות.</w:t>
      </w:r>
    </w:p>
    <w:p w:rsidR="00F77434" w:rsidRPr="008D1DBA" w:rsidRDefault="00F77434" w:rsidP="00530D3A">
      <w:pPr>
        <w:pStyle w:val="a9"/>
        <w:ind w:left="360"/>
        <w:rPr>
          <w:rFonts w:cs="David"/>
        </w:rPr>
      </w:pPr>
      <w:r w:rsidRPr="008D1DBA">
        <w:rPr>
          <w:rFonts w:cs="David" w:hint="cs"/>
          <w:u w:val="single"/>
          <w:rtl/>
        </w:rPr>
        <w:t xml:space="preserve">ביהמ"ש לעניינים אזרחיים </w:t>
      </w:r>
      <w:r w:rsidRPr="008D1DBA">
        <w:rPr>
          <w:rFonts w:cs="David" w:hint="cs"/>
          <w:rtl/>
        </w:rPr>
        <w:t xml:space="preserve">- </w:t>
      </w:r>
    </w:p>
    <w:p w:rsidR="00A80EE4" w:rsidRPr="008D1DBA" w:rsidRDefault="00337D29" w:rsidP="00530D3A">
      <w:pPr>
        <w:pStyle w:val="a9"/>
        <w:numPr>
          <w:ilvl w:val="0"/>
          <w:numId w:val="23"/>
        </w:numPr>
        <w:rPr>
          <w:rFonts w:cs="David"/>
        </w:rPr>
      </w:pPr>
      <w:r w:rsidRPr="008D1DBA">
        <w:rPr>
          <w:rFonts w:cs="David" w:hint="cs"/>
          <w:u w:val="single"/>
          <w:rtl/>
        </w:rPr>
        <w:t xml:space="preserve">ביהמ"ש הגבוה לצדק </w:t>
      </w:r>
      <w:r w:rsidRPr="008D1DBA">
        <w:rPr>
          <w:rFonts w:cs="David"/>
          <w:rtl/>
        </w:rPr>
        <w:t>–</w:t>
      </w:r>
      <w:r w:rsidRPr="008D1DBA">
        <w:rPr>
          <w:rFonts w:cs="David" w:hint="cs"/>
          <w:rtl/>
        </w:rPr>
        <w:t xml:space="preserve"> יושב בלונדון בהרכב של 8 שופטים. ניתן לעיתים לפנות אליו ישירות ללא פנייה לביהמ"ש אזרחי.</w:t>
      </w:r>
    </w:p>
    <w:p w:rsidR="00ED506B" w:rsidRPr="008D1DBA" w:rsidRDefault="00A80EE4" w:rsidP="00530D3A">
      <w:pPr>
        <w:ind w:firstLine="360"/>
        <w:rPr>
          <w:rFonts w:cs="David"/>
          <w:rtl/>
        </w:rPr>
      </w:pPr>
      <w:r w:rsidRPr="008D1DBA">
        <w:rPr>
          <w:rFonts w:cs="David" w:hint="cs"/>
          <w:u w:val="single"/>
          <w:rtl/>
        </w:rPr>
        <w:t xml:space="preserve">ביהמ"ש של הכתר </w:t>
      </w:r>
      <w:r w:rsidRPr="008D1DBA">
        <w:rPr>
          <w:rFonts w:cs="David"/>
          <w:rtl/>
        </w:rPr>
        <w:t>–</w:t>
      </w:r>
      <w:r w:rsidRPr="008D1DBA">
        <w:rPr>
          <w:rFonts w:cs="David" w:hint="cs"/>
          <w:rtl/>
        </w:rPr>
        <w:t xml:space="preserve"> ביהמ"ש פלילי גבוה (מעל חצי שנת מאסר).</w:t>
      </w:r>
      <w:r w:rsidR="00337D29" w:rsidRPr="008D1DBA">
        <w:rPr>
          <w:rFonts w:cs="David" w:hint="cs"/>
          <w:rtl/>
        </w:rPr>
        <w:t xml:space="preserve"> </w:t>
      </w:r>
    </w:p>
    <w:p w:rsidR="00F77434" w:rsidRPr="008D1DBA" w:rsidRDefault="00F77434" w:rsidP="00530D3A">
      <w:pPr>
        <w:pStyle w:val="a9"/>
        <w:numPr>
          <w:ilvl w:val="0"/>
          <w:numId w:val="23"/>
        </w:numPr>
        <w:rPr>
          <w:rFonts w:cs="David"/>
        </w:rPr>
      </w:pPr>
      <w:r w:rsidRPr="008D1DBA">
        <w:rPr>
          <w:rFonts w:cs="David" w:hint="cs"/>
          <w:u w:val="single"/>
          <w:rtl/>
        </w:rPr>
        <w:t>ביהמ"ש הגבוה לערעורים</w:t>
      </w:r>
      <w:r w:rsidRPr="008D1DBA">
        <w:rPr>
          <w:rFonts w:cs="David" w:hint="cs"/>
          <w:rtl/>
        </w:rPr>
        <w:t xml:space="preserve"> </w:t>
      </w:r>
      <w:r w:rsidRPr="008D1DBA">
        <w:rPr>
          <w:rFonts w:cs="David"/>
          <w:rtl/>
        </w:rPr>
        <w:t>–</w:t>
      </w:r>
      <w:r w:rsidRPr="008D1DBA">
        <w:rPr>
          <w:rFonts w:cs="David" w:hint="cs"/>
          <w:rtl/>
        </w:rPr>
        <w:t xml:space="preserve"> </w:t>
      </w:r>
    </w:p>
    <w:p w:rsidR="00B533F8" w:rsidRPr="008D1DBA" w:rsidRDefault="00F77434" w:rsidP="00530D3A">
      <w:pPr>
        <w:pStyle w:val="a9"/>
        <w:ind w:left="360"/>
        <w:rPr>
          <w:rFonts w:cs="David"/>
          <w:rtl/>
        </w:rPr>
      </w:pPr>
      <w:r w:rsidRPr="008D1DBA">
        <w:rPr>
          <w:rFonts w:cs="David" w:hint="cs"/>
          <w:u w:val="single"/>
          <w:rtl/>
        </w:rPr>
        <w:t xml:space="preserve">ביהמ"ש הגבוה של אנגליה </w:t>
      </w:r>
      <w:r w:rsidRPr="008D1DBA">
        <w:rPr>
          <w:rFonts w:cs="David"/>
          <w:u w:val="single"/>
          <w:rtl/>
        </w:rPr>
        <w:t>–</w:t>
      </w:r>
      <w:r w:rsidRPr="008D1DBA">
        <w:rPr>
          <w:rFonts w:cs="David" w:hint="cs"/>
          <w:u w:val="single"/>
          <w:rtl/>
        </w:rPr>
        <w:t xml:space="preserve"> בית הלורדים</w:t>
      </w:r>
      <w:r w:rsidRPr="008D1DBA">
        <w:rPr>
          <w:rFonts w:cs="David" w:hint="cs"/>
          <w:rtl/>
        </w:rPr>
        <w:t xml:space="preserve"> </w:t>
      </w:r>
      <w:r w:rsidRPr="008D1DBA">
        <w:rPr>
          <w:rFonts w:cs="David"/>
          <w:rtl/>
        </w:rPr>
        <w:t>–</w:t>
      </w:r>
      <w:r w:rsidRPr="008D1DBA">
        <w:rPr>
          <w:rFonts w:cs="David" w:hint="cs"/>
          <w:rtl/>
        </w:rPr>
        <w:t xml:space="preserve"> מנוהל בידי 12 לורדים לענייני משפט, דורש אישור ערעור.</w:t>
      </w:r>
    </w:p>
    <w:p w:rsidR="00B533F8" w:rsidRPr="008D1DBA" w:rsidRDefault="00B533F8" w:rsidP="00530D3A">
      <w:pPr>
        <w:rPr>
          <w:rFonts w:cs="David"/>
          <w:rtl/>
        </w:rPr>
      </w:pPr>
      <w:r w:rsidRPr="008D1DBA">
        <w:rPr>
          <w:rFonts w:cs="David" w:hint="cs"/>
          <w:b/>
          <w:bCs/>
          <w:u w:val="single"/>
          <w:rtl/>
        </w:rPr>
        <w:t>המשפט האמריקני ומאפייניו</w:t>
      </w:r>
      <w:r w:rsidRPr="008D1DBA">
        <w:rPr>
          <w:rFonts w:cs="David" w:hint="cs"/>
          <w:rtl/>
        </w:rPr>
        <w:t>:</w:t>
      </w:r>
      <w:r w:rsidR="00FB76FA" w:rsidRPr="008D1DBA">
        <w:rPr>
          <w:rFonts w:cs="David" w:hint="cs"/>
          <w:rtl/>
        </w:rPr>
        <w:t xml:space="preserve"> שיטת המשפט האמריקנית דומה לשיטה האנגלית במספר היבטים: הדגש לבית המשפט, לפסיקה, למשפט המקובל, ל"חשד" במדינה, ולמחשבה הפרקטית. עם זאת, </w:t>
      </w:r>
      <w:r w:rsidR="00FB76FA" w:rsidRPr="008D1DBA">
        <w:rPr>
          <w:rFonts w:cs="David" w:hint="cs"/>
          <w:b/>
          <w:bCs/>
          <w:rtl/>
        </w:rPr>
        <w:t>קיימים מאפיינים ייחודיים</w:t>
      </w:r>
      <w:r w:rsidR="00FB76FA" w:rsidRPr="008D1DBA">
        <w:rPr>
          <w:rFonts w:cs="David" w:hint="cs"/>
          <w:rtl/>
        </w:rPr>
        <w:t>. יש להבין כי המשפט בחברה האמריקנית תופס מקום מאוד מרכזי, לכך מספר סיבות:</w:t>
      </w:r>
    </w:p>
    <w:p w:rsidR="00FB76FA" w:rsidRPr="008D1DBA" w:rsidRDefault="00FB76FA" w:rsidP="00530D3A">
      <w:pPr>
        <w:pStyle w:val="a9"/>
        <w:numPr>
          <w:ilvl w:val="0"/>
          <w:numId w:val="24"/>
        </w:numPr>
        <w:rPr>
          <w:rFonts w:cs="David"/>
        </w:rPr>
      </w:pPr>
      <w:r w:rsidRPr="008D1DBA">
        <w:rPr>
          <w:rFonts w:cs="David" w:hint="cs"/>
          <w:rtl/>
        </w:rPr>
        <w:t xml:space="preserve">ארה"ב היא מדינת מהגרים נאורים, עיקר המהגרים הינם אירופאים מהמעמד הבינוני </w:t>
      </w:r>
      <w:r w:rsidRPr="008D1DBA">
        <w:rPr>
          <w:rFonts w:cs="David"/>
          <w:rtl/>
        </w:rPr>
        <w:t>–</w:t>
      </w:r>
      <w:r w:rsidRPr="008D1DBA">
        <w:rPr>
          <w:rFonts w:cs="David" w:hint="cs"/>
          <w:rtl/>
        </w:rPr>
        <w:t xml:space="preserve"> דבר היוצר חברה אחידה, המאמינה ברעיונות ההשכלה.</w:t>
      </w:r>
    </w:p>
    <w:p w:rsidR="00FB76FA" w:rsidRPr="008D1DBA" w:rsidRDefault="00FB76FA" w:rsidP="00530D3A">
      <w:pPr>
        <w:pStyle w:val="a9"/>
        <w:numPr>
          <w:ilvl w:val="0"/>
          <w:numId w:val="24"/>
        </w:numPr>
        <w:rPr>
          <w:rFonts w:cs="David"/>
        </w:rPr>
      </w:pPr>
      <w:r w:rsidRPr="008D1DBA">
        <w:rPr>
          <w:rFonts w:cs="David" w:hint="cs"/>
          <w:rtl/>
        </w:rPr>
        <w:t>מכי</w:t>
      </w:r>
      <w:r w:rsidR="009238CB" w:rsidRPr="008D1DBA">
        <w:rPr>
          <w:rFonts w:cs="David" w:hint="cs"/>
          <w:rtl/>
        </w:rPr>
        <w:t>ו</w:t>
      </w:r>
      <w:r w:rsidRPr="008D1DBA">
        <w:rPr>
          <w:rFonts w:cs="David" w:hint="cs"/>
          <w:rtl/>
        </w:rPr>
        <w:t xml:space="preserve">ון שאין רעיון תרבותי או דתי מלכד הקושר סביבו יחדיו את החברה האמריקנית </w:t>
      </w:r>
      <w:r w:rsidRPr="008D1DBA">
        <w:rPr>
          <w:rFonts w:cs="David"/>
          <w:rtl/>
        </w:rPr>
        <w:t>–</w:t>
      </w:r>
      <w:r w:rsidRPr="008D1DBA">
        <w:rPr>
          <w:rFonts w:cs="David" w:hint="cs"/>
          <w:rtl/>
        </w:rPr>
        <w:t xml:space="preserve"> תפס המשפט את תפקיד המאגד החברתי.</w:t>
      </w:r>
    </w:p>
    <w:p w:rsidR="00FB76FA" w:rsidRPr="008D1DBA" w:rsidRDefault="00FB76FA" w:rsidP="00530D3A">
      <w:pPr>
        <w:rPr>
          <w:rFonts w:cs="David"/>
          <w:rtl/>
        </w:rPr>
      </w:pPr>
      <w:r w:rsidRPr="008D1DBA">
        <w:rPr>
          <w:rFonts w:cs="David" w:hint="cs"/>
          <w:b/>
          <w:bCs/>
          <w:u w:val="single"/>
          <w:rtl/>
        </w:rPr>
        <w:t xml:space="preserve">המאפיינים </w:t>
      </w:r>
      <w:proofErr w:type="spellStart"/>
      <w:r w:rsidRPr="008D1DBA">
        <w:rPr>
          <w:rFonts w:cs="David" w:hint="cs"/>
          <w:b/>
          <w:bCs/>
          <w:u w:val="single"/>
          <w:rtl/>
        </w:rPr>
        <w:t>היחודיים</w:t>
      </w:r>
      <w:proofErr w:type="spellEnd"/>
      <w:r w:rsidRPr="008D1DBA">
        <w:rPr>
          <w:rFonts w:cs="David" w:hint="cs"/>
          <w:rtl/>
        </w:rPr>
        <w:t>: (בהשוואה למשפט האנגלי):</w:t>
      </w:r>
    </w:p>
    <w:p w:rsidR="00FB76FA" w:rsidRPr="008D1DBA" w:rsidRDefault="00FB76FA" w:rsidP="00530D3A">
      <w:pPr>
        <w:rPr>
          <w:rFonts w:cs="David"/>
          <w:rtl/>
        </w:rPr>
      </w:pPr>
      <w:r w:rsidRPr="008D1DBA">
        <w:rPr>
          <w:rFonts w:cs="David" w:hint="cs"/>
          <w:rtl/>
        </w:rPr>
        <w:lastRenderedPageBreak/>
        <w:t xml:space="preserve">נתינת יחס </w:t>
      </w:r>
      <w:r w:rsidRPr="008D1DBA">
        <w:rPr>
          <w:rFonts w:cs="David" w:hint="cs"/>
          <w:b/>
          <w:bCs/>
          <w:rtl/>
        </w:rPr>
        <w:t>מדעי</w:t>
      </w:r>
      <w:r w:rsidRPr="008D1DBA">
        <w:rPr>
          <w:rFonts w:cs="David" w:hint="cs"/>
          <w:rtl/>
        </w:rPr>
        <w:t xml:space="preserve"> למשפט, לצד הסתמכות על </w:t>
      </w:r>
      <w:r w:rsidRPr="008D1DBA">
        <w:rPr>
          <w:rFonts w:cs="David" w:hint="cs"/>
          <w:b/>
          <w:bCs/>
          <w:rtl/>
        </w:rPr>
        <w:t>הפסיקה</w:t>
      </w:r>
      <w:r w:rsidRPr="008D1DBA">
        <w:rPr>
          <w:rFonts w:cs="David" w:hint="cs"/>
          <w:rtl/>
        </w:rPr>
        <w:t xml:space="preserve">. הימצאות </w:t>
      </w:r>
      <w:r w:rsidRPr="008D1DBA">
        <w:rPr>
          <w:rFonts w:cs="David" w:hint="cs"/>
          <w:b/>
          <w:bCs/>
          <w:rtl/>
        </w:rPr>
        <w:t>כתיבה מחקרית רבה</w:t>
      </w:r>
      <w:r w:rsidRPr="008D1DBA">
        <w:rPr>
          <w:rFonts w:cs="David" w:hint="cs"/>
          <w:rtl/>
        </w:rPr>
        <w:t xml:space="preserve"> (בדומה למשפט האירופאי), תוך נתינת חשיבות לרעיונות ההשכלה.</w:t>
      </w:r>
    </w:p>
    <w:p w:rsidR="00FB76FA" w:rsidRPr="008D1DBA" w:rsidRDefault="00FB76FA" w:rsidP="00530D3A">
      <w:pPr>
        <w:rPr>
          <w:rFonts w:cs="David"/>
          <w:rtl/>
        </w:rPr>
      </w:pPr>
      <w:r w:rsidRPr="008D1DBA">
        <w:rPr>
          <w:rFonts w:cs="David" w:hint="cs"/>
          <w:u w:val="single"/>
          <w:rtl/>
        </w:rPr>
        <w:t xml:space="preserve">המשפט הוא </w:t>
      </w:r>
      <w:r w:rsidRPr="008D1DBA">
        <w:rPr>
          <w:rFonts w:cs="David" w:hint="cs"/>
          <w:b/>
          <w:bCs/>
          <w:u w:val="single"/>
          <w:rtl/>
        </w:rPr>
        <w:t>דמוקרטי</w:t>
      </w:r>
      <w:r w:rsidRPr="008D1DBA">
        <w:rPr>
          <w:rFonts w:cs="David" w:hint="cs"/>
          <w:u w:val="single"/>
          <w:rtl/>
        </w:rPr>
        <w:t xml:space="preserve"> ומשתף את הציבור מספר סיבות/מאפיינים לכך</w:t>
      </w:r>
      <w:r w:rsidRPr="008D1DBA">
        <w:rPr>
          <w:rFonts w:cs="David" w:hint="cs"/>
          <w:rtl/>
        </w:rPr>
        <w:t>:</w:t>
      </w:r>
    </w:p>
    <w:p w:rsidR="00FB76FA" w:rsidRPr="008D1DBA" w:rsidRDefault="00FB76FA" w:rsidP="00530D3A">
      <w:pPr>
        <w:pStyle w:val="a9"/>
        <w:numPr>
          <w:ilvl w:val="0"/>
          <w:numId w:val="25"/>
        </w:numPr>
        <w:rPr>
          <w:rFonts w:cs="David"/>
        </w:rPr>
      </w:pPr>
      <w:r w:rsidRPr="008D1DBA">
        <w:rPr>
          <w:rFonts w:cs="David" w:hint="cs"/>
          <w:rtl/>
        </w:rPr>
        <w:t xml:space="preserve">כמו באנגליה, האמריקנים תופסים את המשפט </w:t>
      </w:r>
      <w:r w:rsidRPr="008D1DBA">
        <w:rPr>
          <w:rFonts w:cs="David" w:hint="cs"/>
          <w:b/>
          <w:bCs/>
          <w:rtl/>
        </w:rPr>
        <w:t>כמגן זכויות האזרח</w:t>
      </w:r>
      <w:r w:rsidRPr="008D1DBA">
        <w:rPr>
          <w:rFonts w:cs="David" w:hint="cs"/>
          <w:rtl/>
        </w:rPr>
        <w:t xml:space="preserve"> ולא ככלי מדיני (כמו באירופה).</w:t>
      </w:r>
    </w:p>
    <w:p w:rsidR="00FB76FA" w:rsidRPr="008D1DBA" w:rsidRDefault="00E077C4" w:rsidP="00530D3A">
      <w:pPr>
        <w:pStyle w:val="a9"/>
        <w:numPr>
          <w:ilvl w:val="0"/>
          <w:numId w:val="25"/>
        </w:numPr>
        <w:rPr>
          <w:rFonts w:cs="David"/>
        </w:rPr>
      </w:pPr>
      <w:r w:rsidRPr="008D1DBA">
        <w:rPr>
          <w:rFonts w:cs="David" w:hint="cs"/>
          <w:rtl/>
        </w:rPr>
        <w:t xml:space="preserve">בעלי </w:t>
      </w:r>
      <w:r w:rsidR="00D84D3E" w:rsidRPr="008D1DBA">
        <w:rPr>
          <w:rFonts w:cs="David" w:hint="cs"/>
          <w:rtl/>
        </w:rPr>
        <w:t>המשרות המשפטיות הבכירות</w:t>
      </w:r>
      <w:r w:rsidR="00842A04" w:rsidRPr="008D1DBA">
        <w:rPr>
          <w:rFonts w:cs="David" w:hint="cs"/>
          <w:rtl/>
        </w:rPr>
        <w:t xml:space="preserve"> נבחרות</w:t>
      </w:r>
      <w:r w:rsidR="00FB76FA" w:rsidRPr="008D1DBA">
        <w:rPr>
          <w:rFonts w:cs="David" w:hint="cs"/>
          <w:rtl/>
        </w:rPr>
        <w:t xml:space="preserve"> ע"י העם בבחירות.</w:t>
      </w:r>
    </w:p>
    <w:p w:rsidR="00FB76FA" w:rsidRPr="008D1DBA" w:rsidRDefault="00FB76FA" w:rsidP="00530D3A">
      <w:pPr>
        <w:pStyle w:val="a9"/>
        <w:numPr>
          <w:ilvl w:val="0"/>
          <w:numId w:val="25"/>
        </w:numPr>
        <w:rPr>
          <w:rFonts w:cs="David"/>
        </w:rPr>
      </w:pPr>
      <w:r w:rsidRPr="008D1DBA">
        <w:rPr>
          <w:rFonts w:cs="David" w:hint="cs"/>
          <w:rtl/>
        </w:rPr>
        <w:t>שימוש במושבעים (קבוע בתיקונים לחוקה).</w:t>
      </w:r>
    </w:p>
    <w:p w:rsidR="00FB76FA" w:rsidRPr="008D1DBA" w:rsidRDefault="00FB76FA" w:rsidP="00530D3A">
      <w:pPr>
        <w:pStyle w:val="a9"/>
        <w:numPr>
          <w:ilvl w:val="0"/>
          <w:numId w:val="25"/>
        </w:numPr>
        <w:rPr>
          <w:rFonts w:cs="David"/>
        </w:rPr>
      </w:pPr>
      <w:r w:rsidRPr="008D1DBA">
        <w:rPr>
          <w:rFonts w:cs="David" w:hint="cs"/>
          <w:rtl/>
        </w:rPr>
        <w:t>ביטול עקרונות מפלים במשפט.</w:t>
      </w:r>
    </w:p>
    <w:p w:rsidR="0090287A" w:rsidRPr="008D1DBA" w:rsidRDefault="00FB76FA" w:rsidP="00530D3A">
      <w:pPr>
        <w:pStyle w:val="a9"/>
        <w:numPr>
          <w:ilvl w:val="0"/>
          <w:numId w:val="25"/>
        </w:numPr>
        <w:rPr>
          <w:rFonts w:cs="David"/>
        </w:rPr>
      </w:pPr>
      <w:r w:rsidRPr="008D1DBA">
        <w:rPr>
          <w:rFonts w:cs="David" w:hint="cs"/>
          <w:rtl/>
        </w:rPr>
        <w:t xml:space="preserve">תמיכה בקודיפיקציה </w:t>
      </w:r>
      <w:r w:rsidRPr="008D1DBA">
        <w:rPr>
          <w:rFonts w:cs="David"/>
          <w:rtl/>
        </w:rPr>
        <w:t>–</w:t>
      </w:r>
      <w:r w:rsidRPr="008D1DBA">
        <w:rPr>
          <w:rFonts w:cs="David" w:hint="cs"/>
          <w:rtl/>
        </w:rPr>
        <w:t xml:space="preserve"> כנותנת נגישות החקיקה לכלל העם.</w:t>
      </w:r>
    </w:p>
    <w:p w:rsidR="0090287A" w:rsidRPr="008D1DBA" w:rsidRDefault="0090287A" w:rsidP="00530D3A">
      <w:pPr>
        <w:rPr>
          <w:rFonts w:cs="David"/>
          <w:b/>
          <w:bCs/>
          <w:u w:val="single"/>
          <w:rtl/>
        </w:rPr>
      </w:pPr>
      <w:r w:rsidRPr="008D1DBA">
        <w:rPr>
          <w:rFonts w:cs="David" w:hint="cs"/>
          <w:b/>
          <w:bCs/>
          <w:u w:val="single"/>
          <w:rtl/>
        </w:rPr>
        <w:t>הממשל הפדרלי ומערכות ביהמ"ש</w:t>
      </w:r>
    </w:p>
    <w:p w:rsidR="0090287A" w:rsidRPr="008D1DBA" w:rsidRDefault="0090287A" w:rsidP="00530D3A">
      <w:pPr>
        <w:pStyle w:val="a9"/>
        <w:numPr>
          <w:ilvl w:val="0"/>
          <w:numId w:val="26"/>
        </w:numPr>
        <w:rPr>
          <w:rFonts w:cs="David"/>
          <w:b/>
          <w:bCs/>
          <w:u w:val="single"/>
        </w:rPr>
      </w:pPr>
      <w:r w:rsidRPr="008D1DBA">
        <w:rPr>
          <w:rFonts w:cs="David" w:hint="cs"/>
          <w:b/>
          <w:bCs/>
          <w:u w:val="single"/>
          <w:rtl/>
        </w:rPr>
        <w:t>המשמעות המשפטית של הפדרציה</w:t>
      </w:r>
      <w:r w:rsidRPr="008D1DBA">
        <w:rPr>
          <w:rFonts w:cs="David" w:hint="cs"/>
          <w:b/>
          <w:bCs/>
          <w:rtl/>
        </w:rPr>
        <w:t xml:space="preserve"> </w:t>
      </w:r>
      <w:r w:rsidRPr="008D1DBA">
        <w:rPr>
          <w:rFonts w:cs="David"/>
          <w:b/>
          <w:bCs/>
          <w:rtl/>
        </w:rPr>
        <w:t>–</w:t>
      </w:r>
      <w:r w:rsidRPr="008D1DBA">
        <w:rPr>
          <w:rFonts w:cs="David" w:hint="cs"/>
          <w:b/>
          <w:bCs/>
          <w:rtl/>
        </w:rPr>
        <w:t xml:space="preserve"> </w:t>
      </w:r>
      <w:r w:rsidRPr="008D1DBA">
        <w:rPr>
          <w:rFonts w:cs="David" w:hint="cs"/>
          <w:rtl/>
        </w:rPr>
        <w:t xml:space="preserve">בתרבות האנגלוסקסית קיים מקום מרכזי למשפט ופסיקה. בארה"ב אף משמשות </w:t>
      </w:r>
      <w:r w:rsidRPr="008D1DBA">
        <w:rPr>
          <w:rFonts w:cs="David" w:hint="cs"/>
          <w:b/>
          <w:bCs/>
          <w:rtl/>
        </w:rPr>
        <w:t>לביקורת שיפוטית</w:t>
      </w:r>
      <w:r w:rsidRPr="008D1DBA">
        <w:rPr>
          <w:rFonts w:cs="David" w:hint="cs"/>
          <w:rtl/>
        </w:rPr>
        <w:t xml:space="preserve"> על החלטות מחוקק. ארה"ב מורכבת מ-50 מדינות אוטו</w:t>
      </w:r>
      <w:r w:rsidR="00C76FAD" w:rsidRPr="008D1DBA">
        <w:rPr>
          <w:rFonts w:cs="David" w:hint="cs"/>
          <w:rtl/>
        </w:rPr>
        <w:t>נו</w:t>
      </w:r>
      <w:r w:rsidRPr="008D1DBA">
        <w:rPr>
          <w:rFonts w:cs="David" w:hint="cs"/>
          <w:rtl/>
        </w:rPr>
        <w:t xml:space="preserve">מיות, לכל מדינה מושל, פרלמנט, מע' חוקים ומשפט נפרדת וחוקה משלה </w:t>
      </w:r>
      <w:r w:rsidRPr="008D1DBA">
        <w:rPr>
          <w:rFonts w:cs="David"/>
          <w:rtl/>
        </w:rPr>
        <w:t>–</w:t>
      </w:r>
      <w:r w:rsidRPr="008D1DBA">
        <w:rPr>
          <w:rFonts w:cs="David" w:hint="cs"/>
          <w:rtl/>
        </w:rPr>
        <w:t xml:space="preserve">כלומר </w:t>
      </w:r>
      <w:r w:rsidRPr="008D1DBA">
        <w:rPr>
          <w:rFonts w:cs="David" w:hint="cs"/>
          <w:b/>
          <w:bCs/>
          <w:rtl/>
        </w:rPr>
        <w:t>ישות</w:t>
      </w:r>
      <w:r w:rsidR="00DB5EF6" w:rsidRPr="008D1DBA">
        <w:rPr>
          <w:rFonts w:cs="David" w:hint="cs"/>
          <w:b/>
          <w:bCs/>
          <w:rtl/>
        </w:rPr>
        <w:t xml:space="preserve"> משפטית</w:t>
      </w:r>
      <w:r w:rsidRPr="008D1DBA">
        <w:rPr>
          <w:rFonts w:cs="David" w:hint="cs"/>
          <w:b/>
          <w:bCs/>
          <w:rtl/>
        </w:rPr>
        <w:t xml:space="preserve"> נפרדת</w:t>
      </w:r>
      <w:r w:rsidRPr="008D1DBA">
        <w:rPr>
          <w:rFonts w:cs="David" w:hint="cs"/>
          <w:rtl/>
        </w:rPr>
        <w:t>.</w:t>
      </w:r>
    </w:p>
    <w:p w:rsidR="0090287A" w:rsidRPr="008D1DBA" w:rsidRDefault="0090287A" w:rsidP="00530D3A">
      <w:pPr>
        <w:pStyle w:val="a9"/>
        <w:ind w:left="360"/>
        <w:rPr>
          <w:rFonts w:cs="David"/>
          <w:rtl/>
        </w:rPr>
      </w:pPr>
      <w:r w:rsidRPr="008D1DBA">
        <w:rPr>
          <w:rFonts w:cs="David" w:hint="cs"/>
          <w:rtl/>
        </w:rPr>
        <w:t xml:space="preserve">בתחילה ארה"ב הייתה קונפדרציה (בדומה לאיחוד האירופאי) כלומר, איחוד של מדינות עצמאיות. עם הזמן הפכו לפדרציה (כלומר, התמזגות המדינות לאיחוד </w:t>
      </w:r>
      <w:r w:rsidRPr="008D1DBA">
        <w:rPr>
          <w:rFonts w:cs="David"/>
          <w:rtl/>
        </w:rPr>
        <w:t>–</w:t>
      </w:r>
      <w:r w:rsidRPr="008D1DBA">
        <w:rPr>
          <w:rFonts w:cs="David" w:hint="cs"/>
          <w:rtl/>
        </w:rPr>
        <w:t xml:space="preserve"> על אף האוטונומיה הניתנת לכל אחת). נוסח החוקה הוא זה המגדיר את סמכויות המדינה המאוחד מחד, והנפרדות מאידך.</w:t>
      </w:r>
    </w:p>
    <w:p w:rsidR="0090287A" w:rsidRPr="008D1DBA" w:rsidRDefault="0090287A" w:rsidP="00530D3A">
      <w:pPr>
        <w:pStyle w:val="a9"/>
        <w:numPr>
          <w:ilvl w:val="1"/>
          <w:numId w:val="26"/>
        </w:numPr>
        <w:rPr>
          <w:rFonts w:cs="David"/>
        </w:rPr>
      </w:pPr>
      <w:r w:rsidRPr="008D1DBA">
        <w:rPr>
          <w:rFonts w:cs="David" w:hint="cs"/>
          <w:b/>
          <w:bCs/>
          <w:u w:val="single"/>
          <w:rtl/>
        </w:rPr>
        <w:t>פיצול שיטות המשפט</w:t>
      </w:r>
      <w:r w:rsidRPr="008D1DBA">
        <w:rPr>
          <w:rFonts w:cs="David" w:hint="cs"/>
          <w:rtl/>
        </w:rPr>
        <w:t xml:space="preserve"> </w:t>
      </w:r>
      <w:r w:rsidRPr="008D1DBA">
        <w:rPr>
          <w:rFonts w:cs="David"/>
          <w:rtl/>
        </w:rPr>
        <w:t>–</w:t>
      </w:r>
      <w:r w:rsidRPr="008D1DBA">
        <w:rPr>
          <w:rFonts w:cs="David" w:hint="cs"/>
          <w:rtl/>
        </w:rPr>
        <w:t xml:space="preserve"> לכל מדינה מערכת חוקים עצמאית, זאת בנוסף לפדרלית.</w:t>
      </w:r>
    </w:p>
    <w:p w:rsidR="0090287A" w:rsidRPr="008D1DBA" w:rsidRDefault="0090287A" w:rsidP="00530D3A">
      <w:pPr>
        <w:pStyle w:val="a9"/>
        <w:numPr>
          <w:ilvl w:val="1"/>
          <w:numId w:val="26"/>
        </w:numPr>
        <w:rPr>
          <w:rFonts w:cs="David"/>
        </w:rPr>
      </w:pPr>
      <w:r w:rsidRPr="008D1DBA">
        <w:rPr>
          <w:rFonts w:cs="David" w:hint="cs"/>
          <w:b/>
          <w:bCs/>
          <w:u w:val="single"/>
          <w:rtl/>
        </w:rPr>
        <w:t xml:space="preserve">משפט בינ"ל פרטי </w:t>
      </w:r>
      <w:r w:rsidRPr="008D1DBA">
        <w:rPr>
          <w:rFonts w:cs="David"/>
          <w:rtl/>
        </w:rPr>
        <w:t>–</w:t>
      </w:r>
      <w:r w:rsidRPr="008D1DBA">
        <w:rPr>
          <w:rFonts w:cs="David" w:hint="cs"/>
          <w:rtl/>
        </w:rPr>
        <w:t xml:space="preserve"> מפותח מאוד ועוסק בסכסוכים בין תושבי המדינות השונות.</w:t>
      </w:r>
    </w:p>
    <w:p w:rsidR="0090287A" w:rsidRPr="008D1DBA" w:rsidRDefault="0090287A" w:rsidP="00530D3A">
      <w:pPr>
        <w:pStyle w:val="a9"/>
        <w:numPr>
          <w:ilvl w:val="1"/>
          <w:numId w:val="26"/>
        </w:numPr>
        <w:rPr>
          <w:rFonts w:cs="David"/>
        </w:rPr>
      </w:pPr>
      <w:r w:rsidRPr="008D1DBA">
        <w:rPr>
          <w:rFonts w:cs="David" w:hint="cs"/>
          <w:b/>
          <w:bCs/>
          <w:u w:val="single"/>
          <w:rtl/>
        </w:rPr>
        <w:t xml:space="preserve">תחרות באמצעות משפט </w:t>
      </w:r>
      <w:r w:rsidRPr="008D1DBA">
        <w:rPr>
          <w:rFonts w:cs="David"/>
          <w:rtl/>
        </w:rPr>
        <w:t>–</w:t>
      </w:r>
      <w:r w:rsidRPr="008D1DBA">
        <w:rPr>
          <w:rFonts w:cs="David" w:hint="cs"/>
          <w:rtl/>
        </w:rPr>
        <w:t xml:space="preserve"> הגמשת חוקי המדינות כדי למשוך אליהם הכנסות (למשל התרת הימורים </w:t>
      </w:r>
      <w:proofErr w:type="spellStart"/>
      <w:r w:rsidRPr="008D1DBA">
        <w:rPr>
          <w:rFonts w:cs="David" w:hint="cs"/>
          <w:rtl/>
        </w:rPr>
        <w:t>בנאבדה</w:t>
      </w:r>
      <w:proofErr w:type="spellEnd"/>
      <w:r w:rsidRPr="008D1DBA">
        <w:rPr>
          <w:rFonts w:cs="David" w:hint="cs"/>
          <w:rtl/>
        </w:rPr>
        <w:t>).</w:t>
      </w:r>
    </w:p>
    <w:p w:rsidR="004A1E6F" w:rsidRPr="008D1DBA" w:rsidRDefault="00F51016" w:rsidP="00530D3A">
      <w:pPr>
        <w:pStyle w:val="a9"/>
        <w:numPr>
          <w:ilvl w:val="0"/>
          <w:numId w:val="26"/>
        </w:numPr>
        <w:rPr>
          <w:rFonts w:cs="David"/>
        </w:rPr>
      </w:pPr>
      <w:r w:rsidRPr="008D1DBA">
        <w:rPr>
          <w:rFonts w:cs="David" w:hint="cs"/>
          <w:b/>
          <w:bCs/>
          <w:u w:val="single"/>
          <w:rtl/>
        </w:rPr>
        <w:t>דרכים וסיבות להאחדת החוק בין המדינות</w:t>
      </w:r>
      <w:r w:rsidRPr="008D1DBA">
        <w:rPr>
          <w:rFonts w:cs="David" w:hint="cs"/>
          <w:rtl/>
        </w:rPr>
        <w:t xml:space="preserve"> </w:t>
      </w:r>
      <w:r w:rsidR="004A1E6F" w:rsidRPr="008D1DBA">
        <w:rPr>
          <w:rFonts w:cs="David"/>
          <w:rtl/>
        </w:rPr>
        <w:t>–</w:t>
      </w:r>
      <w:r w:rsidRPr="008D1DBA">
        <w:rPr>
          <w:rFonts w:cs="David" w:hint="cs"/>
          <w:rtl/>
        </w:rPr>
        <w:t xml:space="preserve"> </w:t>
      </w:r>
    </w:p>
    <w:p w:rsidR="004A1E6F" w:rsidRPr="008D1DBA" w:rsidRDefault="004A1E6F" w:rsidP="00530D3A">
      <w:pPr>
        <w:pStyle w:val="a9"/>
        <w:numPr>
          <w:ilvl w:val="1"/>
          <w:numId w:val="26"/>
        </w:numPr>
        <w:rPr>
          <w:rFonts w:cs="David"/>
        </w:rPr>
      </w:pPr>
      <w:r w:rsidRPr="008D1DBA">
        <w:rPr>
          <w:rFonts w:cs="David" w:hint="cs"/>
          <w:rtl/>
        </w:rPr>
        <w:t>שיפור התחבורה והתקשורת הפכה את מערכת המשפט נגישה לכל, מה שסייע להפיכת החוק לדומה.</w:t>
      </w:r>
    </w:p>
    <w:p w:rsidR="004A1E6F" w:rsidRPr="008D1DBA" w:rsidRDefault="004A1E6F" w:rsidP="00530D3A">
      <w:pPr>
        <w:pStyle w:val="a9"/>
        <w:numPr>
          <w:ilvl w:val="1"/>
          <w:numId w:val="26"/>
        </w:numPr>
        <w:rPr>
          <w:rFonts w:cs="David"/>
        </w:rPr>
      </w:pPr>
      <w:r w:rsidRPr="008D1DBA">
        <w:rPr>
          <w:rFonts w:cs="David" w:hint="cs"/>
          <w:rtl/>
        </w:rPr>
        <w:t>הממשל הפדרלי משפיע בשיטותיו על הפיכת החוק לדומה:</w:t>
      </w:r>
    </w:p>
    <w:p w:rsidR="004A1E6F" w:rsidRPr="008D1DBA" w:rsidRDefault="004A1E6F" w:rsidP="00530D3A">
      <w:pPr>
        <w:pStyle w:val="a9"/>
        <w:numPr>
          <w:ilvl w:val="2"/>
          <w:numId w:val="26"/>
        </w:numPr>
        <w:rPr>
          <w:rFonts w:cs="David"/>
        </w:rPr>
      </w:pPr>
      <w:r w:rsidRPr="008D1DBA">
        <w:rPr>
          <w:rFonts w:cs="David" w:hint="cs"/>
          <w:u w:val="single"/>
          <w:rtl/>
        </w:rPr>
        <w:t>נשיא</w:t>
      </w:r>
      <w:r w:rsidRPr="008D1DBA">
        <w:rPr>
          <w:rFonts w:cs="David" w:hint="cs"/>
          <w:rtl/>
        </w:rPr>
        <w:t xml:space="preserve"> </w:t>
      </w:r>
      <w:r w:rsidRPr="008D1DBA">
        <w:rPr>
          <w:rFonts w:cs="David"/>
          <w:rtl/>
        </w:rPr>
        <w:t>–</w:t>
      </w:r>
      <w:r w:rsidRPr="008D1DBA">
        <w:rPr>
          <w:rFonts w:cs="David" w:hint="cs"/>
          <w:rtl/>
        </w:rPr>
        <w:t xml:space="preserve"> השפעה על המדינות באמצעות חלוקת תקציבים.</w:t>
      </w:r>
    </w:p>
    <w:p w:rsidR="004A1E6F" w:rsidRPr="008D1DBA" w:rsidRDefault="004A1E6F" w:rsidP="00530D3A">
      <w:pPr>
        <w:pStyle w:val="a9"/>
        <w:numPr>
          <w:ilvl w:val="2"/>
          <w:numId w:val="26"/>
        </w:numPr>
        <w:rPr>
          <w:rFonts w:cs="David"/>
        </w:rPr>
      </w:pPr>
      <w:r w:rsidRPr="008D1DBA">
        <w:rPr>
          <w:rFonts w:cs="David" w:hint="cs"/>
          <w:u w:val="single"/>
          <w:rtl/>
        </w:rPr>
        <w:t>קונגרס</w:t>
      </w:r>
      <w:r w:rsidRPr="008D1DBA">
        <w:rPr>
          <w:rFonts w:cs="David" w:hint="cs"/>
          <w:rtl/>
        </w:rPr>
        <w:t xml:space="preserve"> </w:t>
      </w:r>
      <w:r w:rsidRPr="008D1DBA">
        <w:rPr>
          <w:rFonts w:cs="David"/>
          <w:rtl/>
        </w:rPr>
        <w:t>–</w:t>
      </w:r>
      <w:r w:rsidRPr="008D1DBA">
        <w:rPr>
          <w:rFonts w:cs="David" w:hint="cs"/>
          <w:rtl/>
        </w:rPr>
        <w:t xml:space="preserve"> שני סעיפים בחוקה המאפשרים לקונגרס להשפיע על המשפט. למשל: סעיף המאפשר לקונגרס להסדיר את המסחר הבינ"ל והבין-מדינתי, דוגמאות לכך:</w:t>
      </w:r>
    </w:p>
    <w:p w:rsidR="004A1E6F" w:rsidRPr="008D1DBA" w:rsidRDefault="004A1E6F" w:rsidP="00530D3A">
      <w:pPr>
        <w:pStyle w:val="a9"/>
        <w:numPr>
          <w:ilvl w:val="3"/>
          <w:numId w:val="26"/>
        </w:numPr>
        <w:rPr>
          <w:rFonts w:cs="David"/>
        </w:rPr>
      </w:pPr>
      <w:r w:rsidRPr="008D1DBA">
        <w:rPr>
          <w:rFonts w:cs="David" w:hint="cs"/>
          <w:rtl/>
        </w:rPr>
        <w:t>איסור העסקת ילדים בארה"ב.</w:t>
      </w:r>
    </w:p>
    <w:p w:rsidR="005169C0" w:rsidRPr="008D1DBA" w:rsidRDefault="004A1E6F" w:rsidP="00530D3A">
      <w:pPr>
        <w:pStyle w:val="a9"/>
        <w:numPr>
          <w:ilvl w:val="3"/>
          <w:numId w:val="26"/>
        </w:numPr>
        <w:rPr>
          <w:rFonts w:cs="David"/>
        </w:rPr>
      </w:pPr>
      <w:r w:rsidRPr="008D1DBA">
        <w:rPr>
          <w:rFonts w:cs="David" w:hint="cs"/>
          <w:rtl/>
        </w:rPr>
        <w:t>ביטול ההפרדה הגזעית בשנות ה-60.</w:t>
      </w:r>
    </w:p>
    <w:p w:rsidR="005169C0" w:rsidRPr="008D1DBA" w:rsidRDefault="005169C0" w:rsidP="00530D3A">
      <w:pPr>
        <w:pStyle w:val="a9"/>
        <w:numPr>
          <w:ilvl w:val="2"/>
          <w:numId w:val="26"/>
        </w:numPr>
        <w:rPr>
          <w:rFonts w:cs="David"/>
        </w:rPr>
      </w:pPr>
      <w:r w:rsidRPr="008D1DBA">
        <w:rPr>
          <w:rFonts w:cs="David" w:hint="cs"/>
          <w:u w:val="single"/>
          <w:rtl/>
        </w:rPr>
        <w:t>חינוך משפטי</w:t>
      </w:r>
      <w:r w:rsidRPr="008D1DBA">
        <w:rPr>
          <w:rFonts w:cs="David" w:hint="cs"/>
          <w:rtl/>
        </w:rPr>
        <w:t xml:space="preserve"> </w:t>
      </w:r>
      <w:r w:rsidRPr="008D1DBA">
        <w:rPr>
          <w:rFonts w:cs="David"/>
          <w:rtl/>
        </w:rPr>
        <w:t>–</w:t>
      </w:r>
      <w:r w:rsidRPr="008D1DBA">
        <w:rPr>
          <w:rFonts w:cs="David" w:hint="cs"/>
          <w:rtl/>
        </w:rPr>
        <w:t xml:space="preserve"> ביה"ס למשפט מלמדים את עקרונות המשפט הכלליים.</w:t>
      </w:r>
    </w:p>
    <w:p w:rsidR="006D79FD" w:rsidRPr="008D1DBA" w:rsidRDefault="005169C0" w:rsidP="00530D3A">
      <w:pPr>
        <w:pStyle w:val="a9"/>
        <w:numPr>
          <w:ilvl w:val="2"/>
          <w:numId w:val="26"/>
        </w:numPr>
        <w:rPr>
          <w:rFonts w:cs="David"/>
        </w:rPr>
      </w:pPr>
      <w:r w:rsidRPr="008D1DBA">
        <w:rPr>
          <w:rFonts w:cs="David" w:hint="cs"/>
          <w:u w:val="single"/>
          <w:rtl/>
        </w:rPr>
        <w:t>ספרות מחקר משפטי</w:t>
      </w:r>
      <w:r w:rsidRPr="008D1DBA">
        <w:rPr>
          <w:rFonts w:cs="David" w:hint="cs"/>
          <w:rtl/>
        </w:rPr>
        <w:t xml:space="preserve"> </w:t>
      </w:r>
      <w:r w:rsidRPr="008D1DBA">
        <w:rPr>
          <w:rFonts w:cs="David"/>
          <w:rtl/>
        </w:rPr>
        <w:t>–</w:t>
      </w:r>
      <w:r w:rsidRPr="008D1DBA">
        <w:rPr>
          <w:rFonts w:cs="David" w:hint="cs"/>
          <w:rtl/>
        </w:rPr>
        <w:t xml:space="preserve"> כללית ולא מדינתית.</w:t>
      </w:r>
    </w:p>
    <w:p w:rsidR="006D79FD" w:rsidRPr="008D1DBA" w:rsidRDefault="006D79FD" w:rsidP="00530D3A">
      <w:pPr>
        <w:rPr>
          <w:rFonts w:cs="David"/>
          <w:rtl/>
        </w:rPr>
      </w:pPr>
      <w:r w:rsidRPr="008D1DBA">
        <w:rPr>
          <w:rFonts w:cs="David" w:hint="cs"/>
          <w:rtl/>
        </w:rPr>
        <w:t xml:space="preserve">איחוד החקיקה הפרטית באמצעות </w:t>
      </w:r>
      <w:r w:rsidRPr="008D1DBA">
        <w:rPr>
          <w:rFonts w:cs="David"/>
        </w:rPr>
        <w:t xml:space="preserve">Restatement's </w:t>
      </w:r>
      <w:r w:rsidRPr="008D1DBA">
        <w:rPr>
          <w:rFonts w:cs="David" w:hint="cs"/>
          <w:rtl/>
        </w:rPr>
        <w:t xml:space="preserve">  עריכת קודקס, בכל תחום המשפט הפרטי, המגדיר את עקרונות המשפט האמריקני הכללי, ולאחריו הסבר העיקרון בדוגמא משיטות משפט שונות הנהוגות במדינה.</w:t>
      </w:r>
    </w:p>
    <w:p w:rsidR="006D79FD" w:rsidRPr="008D1DBA" w:rsidRDefault="006D79FD" w:rsidP="00530D3A">
      <w:pPr>
        <w:rPr>
          <w:rFonts w:cs="David"/>
          <w:rtl/>
        </w:rPr>
      </w:pPr>
      <w:r w:rsidRPr="008D1DBA">
        <w:rPr>
          <w:rFonts w:cs="David" w:hint="cs"/>
          <w:b/>
          <w:bCs/>
          <w:u w:val="single"/>
          <w:rtl/>
        </w:rPr>
        <w:t>חקיקה אחידה</w:t>
      </w:r>
      <w:r w:rsidRPr="008D1DBA">
        <w:rPr>
          <w:rFonts w:cs="David" w:hint="cs"/>
          <w:rtl/>
        </w:rPr>
        <w:t xml:space="preserve"> </w:t>
      </w:r>
      <w:r w:rsidRPr="008D1DBA">
        <w:rPr>
          <w:rFonts w:cs="David"/>
          <w:rtl/>
        </w:rPr>
        <w:t>–</w:t>
      </w:r>
      <w:r w:rsidRPr="008D1DBA">
        <w:rPr>
          <w:rFonts w:cs="David" w:hint="cs"/>
          <w:rtl/>
        </w:rPr>
        <w:t xml:space="preserve"> </w:t>
      </w:r>
    </w:p>
    <w:p w:rsidR="006D79FD" w:rsidRPr="008D1DBA" w:rsidRDefault="006D79FD" w:rsidP="00530D3A">
      <w:pPr>
        <w:rPr>
          <w:rFonts w:cs="David"/>
          <w:rtl/>
        </w:rPr>
      </w:pPr>
      <w:proofErr w:type="gramStart"/>
      <w:r w:rsidRPr="008D1DBA">
        <w:rPr>
          <w:rFonts w:cs="David"/>
        </w:rPr>
        <w:t xml:space="preserve">Model </w:t>
      </w:r>
      <w:proofErr w:type="spellStart"/>
      <w:r w:rsidRPr="008D1DBA">
        <w:rPr>
          <w:rFonts w:cs="David"/>
        </w:rPr>
        <w:t>Peual</w:t>
      </w:r>
      <w:proofErr w:type="spellEnd"/>
      <w:r w:rsidRPr="008D1DBA">
        <w:rPr>
          <w:rFonts w:cs="David"/>
        </w:rPr>
        <w:t xml:space="preserve"> Code</w:t>
      </w:r>
      <w:r w:rsidRPr="008D1DBA">
        <w:rPr>
          <w:rFonts w:cs="David" w:hint="cs"/>
          <w:rtl/>
        </w:rPr>
        <w:t xml:space="preserve"> </w:t>
      </w:r>
      <w:r w:rsidRPr="008D1DBA">
        <w:rPr>
          <w:rFonts w:cs="David"/>
          <w:rtl/>
        </w:rPr>
        <w:t>–</w:t>
      </w:r>
      <w:r w:rsidRPr="008D1DBA">
        <w:rPr>
          <w:rFonts w:cs="David" w:hint="cs"/>
          <w:rtl/>
        </w:rPr>
        <w:t xml:space="preserve"> איחוד חוקי העונשין במדינה, "מודל" להצעת חוק </w:t>
      </w:r>
      <w:r w:rsidRPr="008D1DBA">
        <w:rPr>
          <w:rFonts w:cs="David"/>
          <w:rtl/>
        </w:rPr>
        <w:t>–</w:t>
      </w:r>
      <w:r w:rsidRPr="008D1DBA">
        <w:rPr>
          <w:rFonts w:cs="David" w:hint="cs"/>
          <w:rtl/>
        </w:rPr>
        <w:t xml:space="preserve"> התקבל באופן דומה ברוב מדינות ארה"ב.</w:t>
      </w:r>
      <w:proofErr w:type="gramEnd"/>
    </w:p>
    <w:p w:rsidR="00327FE6" w:rsidRPr="008D1DBA" w:rsidRDefault="00327FE6" w:rsidP="00530D3A">
      <w:pPr>
        <w:rPr>
          <w:rFonts w:cs="David"/>
          <w:rtl/>
        </w:rPr>
      </w:pPr>
      <w:proofErr w:type="gramStart"/>
      <w:r w:rsidRPr="008D1DBA">
        <w:rPr>
          <w:rFonts w:cs="David"/>
        </w:rPr>
        <w:t xml:space="preserve">UCC </w:t>
      </w:r>
      <w:r w:rsidRPr="008D1DBA">
        <w:rPr>
          <w:rFonts w:cs="David"/>
          <w:rtl/>
        </w:rPr>
        <w:t>–</w:t>
      </w:r>
      <w:r w:rsidRPr="008D1DBA">
        <w:rPr>
          <w:rFonts w:cs="David" w:hint="cs"/>
          <w:rtl/>
        </w:rPr>
        <w:t xml:space="preserve"> האחדת חוקי המסחר, קודקס מסחרי.</w:t>
      </w:r>
      <w:proofErr w:type="gramEnd"/>
      <w:r w:rsidRPr="008D1DBA">
        <w:rPr>
          <w:rFonts w:cs="David" w:hint="cs"/>
          <w:rtl/>
        </w:rPr>
        <w:t xml:space="preserve"> התקבל בכל מדינות ארה"ב.</w:t>
      </w:r>
    </w:p>
    <w:p w:rsidR="00327FE6" w:rsidRPr="008D1DBA" w:rsidRDefault="00327FE6" w:rsidP="00530D3A">
      <w:pPr>
        <w:pStyle w:val="a9"/>
        <w:numPr>
          <w:ilvl w:val="0"/>
          <w:numId w:val="28"/>
        </w:numPr>
        <w:rPr>
          <w:rFonts w:cs="David"/>
        </w:rPr>
      </w:pPr>
      <w:r w:rsidRPr="008D1DBA">
        <w:rPr>
          <w:rFonts w:cs="David" w:hint="cs"/>
          <w:b/>
          <w:bCs/>
          <w:u w:val="single"/>
          <w:rtl/>
        </w:rPr>
        <w:t>מערכת בתי המשפט בארה"ב</w:t>
      </w:r>
      <w:r w:rsidRPr="008D1DBA">
        <w:rPr>
          <w:rFonts w:cs="David" w:hint="cs"/>
          <w:rtl/>
        </w:rPr>
        <w:t xml:space="preserve"> </w:t>
      </w:r>
      <w:r w:rsidRPr="008D1DBA">
        <w:rPr>
          <w:rFonts w:cs="David"/>
          <w:rtl/>
        </w:rPr>
        <w:t>–</w:t>
      </w:r>
      <w:r w:rsidRPr="008D1DBA">
        <w:rPr>
          <w:rFonts w:cs="David" w:hint="cs"/>
          <w:rtl/>
        </w:rPr>
        <w:t xml:space="preserve"> </w:t>
      </w:r>
    </w:p>
    <w:p w:rsidR="00327FE6" w:rsidRPr="008D1DBA" w:rsidRDefault="00327FE6" w:rsidP="00530D3A">
      <w:pPr>
        <w:pStyle w:val="a9"/>
        <w:ind w:left="360"/>
        <w:rPr>
          <w:rFonts w:cs="David"/>
          <w:rtl/>
        </w:rPr>
      </w:pPr>
      <w:r w:rsidRPr="008D1DBA">
        <w:rPr>
          <w:rFonts w:cs="David" w:hint="cs"/>
          <w:b/>
          <w:bCs/>
          <w:u w:val="single"/>
          <w:rtl/>
        </w:rPr>
        <w:t xml:space="preserve">המערכת המדינית </w:t>
      </w:r>
      <w:r w:rsidRPr="008D1DBA">
        <w:rPr>
          <w:rFonts w:cs="David"/>
          <w:rtl/>
        </w:rPr>
        <w:t>–</w:t>
      </w:r>
      <w:r w:rsidRPr="008D1DBA">
        <w:rPr>
          <w:rFonts w:cs="David" w:hint="cs"/>
          <w:rtl/>
        </w:rPr>
        <w:t xml:space="preserve"> רוב המדינות: 2 ערכאות: ערכאת דיון ומעליה ביהמ"ש עליון, המשמש גם כבהמ"ש לערעורים.</w:t>
      </w:r>
    </w:p>
    <w:p w:rsidR="00327FE6" w:rsidRPr="008D1DBA" w:rsidRDefault="00327FE6" w:rsidP="00530D3A">
      <w:pPr>
        <w:pStyle w:val="a9"/>
        <w:ind w:left="360"/>
        <w:rPr>
          <w:rFonts w:cs="David"/>
          <w:rtl/>
        </w:rPr>
      </w:pPr>
      <w:r w:rsidRPr="008D1DBA">
        <w:rPr>
          <w:rFonts w:cs="David" w:hint="cs"/>
          <w:b/>
          <w:bCs/>
          <w:u w:val="single"/>
          <w:rtl/>
        </w:rPr>
        <w:t xml:space="preserve">15 המדינות הגדולות </w:t>
      </w:r>
      <w:r w:rsidRPr="008D1DBA">
        <w:rPr>
          <w:rFonts w:cs="David"/>
          <w:rtl/>
        </w:rPr>
        <w:t>–</w:t>
      </w:r>
      <w:r w:rsidRPr="008D1DBA">
        <w:rPr>
          <w:rFonts w:cs="David" w:hint="cs"/>
          <w:rtl/>
        </w:rPr>
        <w:t xml:space="preserve"> 3 ערכאות: ערכאת דיון, ערכאת ערעור, וביהמ"ש עליון מעליהם (בשל גודל המדינה ומספר המקרים המשפטיים).</w:t>
      </w:r>
    </w:p>
    <w:p w:rsidR="004E1381" w:rsidRPr="008D1DBA" w:rsidRDefault="004E1381" w:rsidP="00530D3A">
      <w:pPr>
        <w:pStyle w:val="a9"/>
        <w:ind w:left="360"/>
        <w:rPr>
          <w:rFonts w:cs="David"/>
          <w:rtl/>
        </w:rPr>
      </w:pPr>
      <w:r w:rsidRPr="008D1DBA">
        <w:rPr>
          <w:rFonts w:cs="David" w:hint="cs"/>
          <w:b/>
          <w:bCs/>
          <w:u w:val="single"/>
          <w:rtl/>
        </w:rPr>
        <w:t xml:space="preserve">המערכת הפדרלית </w:t>
      </w:r>
      <w:r w:rsidRPr="008D1DBA">
        <w:rPr>
          <w:rFonts w:cs="David"/>
          <w:b/>
          <w:bCs/>
          <w:rtl/>
        </w:rPr>
        <w:t>–</w:t>
      </w:r>
      <w:r w:rsidRPr="008D1DBA">
        <w:rPr>
          <w:rFonts w:cs="David" w:hint="cs"/>
          <w:b/>
          <w:bCs/>
          <w:rtl/>
        </w:rPr>
        <w:t xml:space="preserve"> </w:t>
      </w:r>
      <w:r w:rsidRPr="008D1DBA">
        <w:rPr>
          <w:rFonts w:cs="David" w:hint="cs"/>
          <w:rtl/>
        </w:rPr>
        <w:t>3 ערכאות: דיון, ערעור, עליון.</w:t>
      </w:r>
    </w:p>
    <w:p w:rsidR="00391624" w:rsidRPr="008D1DBA" w:rsidRDefault="004E1381" w:rsidP="00530D3A">
      <w:pPr>
        <w:pStyle w:val="a9"/>
        <w:ind w:left="360"/>
        <w:rPr>
          <w:rFonts w:cs="David"/>
          <w:rtl/>
        </w:rPr>
      </w:pPr>
      <w:r w:rsidRPr="008D1DBA">
        <w:rPr>
          <w:rFonts w:cs="David" w:hint="cs"/>
          <w:rtl/>
        </w:rPr>
        <w:lastRenderedPageBreak/>
        <w:t>לפדרציה סמכות לדון רק בעניינים פדרליים (</w:t>
      </w:r>
      <w:proofErr w:type="spellStart"/>
      <w:r w:rsidRPr="008D1DBA">
        <w:rPr>
          <w:rFonts w:cs="David" w:hint="cs"/>
          <w:rtl/>
        </w:rPr>
        <w:t>פלילי+אזרחי</w:t>
      </w:r>
      <w:proofErr w:type="spellEnd"/>
      <w:r w:rsidRPr="008D1DBA">
        <w:rPr>
          <w:rFonts w:cs="David" w:hint="cs"/>
          <w:rtl/>
        </w:rPr>
        <w:t>), סכסוכים בין מדינה לפרט (מנהלי או פלילי), סכסוכים בין מדינתיים, בין תושבי מדינה אחת לאחרת, וסכסוכים בין פרטים מ-2 מדינות.</w:t>
      </w:r>
    </w:p>
    <w:p w:rsidR="00391624" w:rsidRPr="008D1DBA" w:rsidRDefault="00391624" w:rsidP="00530D3A">
      <w:pPr>
        <w:pStyle w:val="a9"/>
        <w:ind w:left="360"/>
        <w:rPr>
          <w:rFonts w:cs="David"/>
          <w:rtl/>
        </w:rPr>
      </w:pPr>
      <w:r w:rsidRPr="008D1DBA">
        <w:rPr>
          <w:rFonts w:cs="David" w:hint="cs"/>
          <w:b/>
          <w:bCs/>
          <w:u w:val="single"/>
          <w:rtl/>
        </w:rPr>
        <w:t>מבנה ביהמ"ש הפדרלי</w:t>
      </w:r>
      <w:r w:rsidRPr="008D1DBA">
        <w:rPr>
          <w:rFonts w:cs="David" w:hint="cs"/>
          <w:rtl/>
        </w:rPr>
        <w:t xml:space="preserve"> </w:t>
      </w:r>
      <w:r w:rsidRPr="008D1DBA">
        <w:rPr>
          <w:rFonts w:cs="David"/>
          <w:rtl/>
        </w:rPr>
        <w:t>–</w:t>
      </w:r>
      <w:r w:rsidRPr="008D1DBA">
        <w:rPr>
          <w:rFonts w:cs="David" w:hint="cs"/>
          <w:rtl/>
        </w:rPr>
        <w:t xml:space="preserve"> </w:t>
      </w:r>
    </w:p>
    <w:p w:rsidR="00391624" w:rsidRPr="008D1DBA" w:rsidRDefault="00391624" w:rsidP="00530D3A">
      <w:pPr>
        <w:pStyle w:val="a9"/>
        <w:ind w:left="360"/>
        <w:rPr>
          <w:rFonts w:cs="David"/>
          <w:rtl/>
        </w:rPr>
      </w:pPr>
      <w:r w:rsidRPr="008D1DBA">
        <w:rPr>
          <w:rFonts w:cs="David" w:hint="cs"/>
          <w:rtl/>
        </w:rPr>
        <w:t xml:space="preserve">ערכאת דיון </w:t>
      </w:r>
      <w:r w:rsidRPr="008D1DBA">
        <w:rPr>
          <w:rFonts w:cs="David"/>
          <w:rtl/>
        </w:rPr>
        <w:t>–</w:t>
      </w:r>
      <w:r w:rsidRPr="008D1DBA">
        <w:rPr>
          <w:rFonts w:cs="David" w:hint="cs"/>
          <w:rtl/>
        </w:rPr>
        <w:t xml:space="preserve"> 100 ביהמ"ש (לפי מדינות).</w:t>
      </w:r>
    </w:p>
    <w:p w:rsidR="00391624" w:rsidRPr="008D1DBA" w:rsidRDefault="00391624" w:rsidP="00530D3A">
      <w:pPr>
        <w:pStyle w:val="a9"/>
        <w:ind w:left="360"/>
        <w:rPr>
          <w:rFonts w:cs="David"/>
          <w:rtl/>
        </w:rPr>
      </w:pPr>
      <w:r w:rsidRPr="008D1DBA">
        <w:rPr>
          <w:rFonts w:cs="David" w:hint="cs"/>
          <w:rtl/>
        </w:rPr>
        <w:t xml:space="preserve">ערכאת ערעור </w:t>
      </w:r>
      <w:r w:rsidRPr="008D1DBA">
        <w:rPr>
          <w:rFonts w:cs="David"/>
          <w:rtl/>
        </w:rPr>
        <w:t>–</w:t>
      </w:r>
      <w:r w:rsidRPr="008D1DBA">
        <w:rPr>
          <w:rFonts w:cs="David" w:hint="cs"/>
          <w:rtl/>
        </w:rPr>
        <w:t xml:space="preserve"> 12 ביהמ"ש (לפי מחוזות).</w:t>
      </w:r>
    </w:p>
    <w:p w:rsidR="00391624" w:rsidRPr="008D1DBA" w:rsidRDefault="00391624" w:rsidP="00530D3A">
      <w:pPr>
        <w:pStyle w:val="a9"/>
        <w:ind w:left="360"/>
        <w:rPr>
          <w:rFonts w:cs="David"/>
          <w:rtl/>
        </w:rPr>
      </w:pPr>
      <w:r w:rsidRPr="008D1DBA">
        <w:rPr>
          <w:rFonts w:cs="David" w:hint="cs"/>
          <w:rtl/>
        </w:rPr>
        <w:t xml:space="preserve">ביהמ"ש העליון </w:t>
      </w:r>
      <w:r w:rsidRPr="008D1DBA">
        <w:rPr>
          <w:rFonts w:cs="David"/>
          <w:rtl/>
        </w:rPr>
        <w:t>–</w:t>
      </w:r>
      <w:r w:rsidRPr="008D1DBA">
        <w:rPr>
          <w:rFonts w:cs="David" w:hint="cs"/>
          <w:rtl/>
        </w:rPr>
        <w:t xml:space="preserve"> 9 שופטים, ביהמ"ש מפקח </w:t>
      </w:r>
      <w:r w:rsidRPr="008D1DBA">
        <w:rPr>
          <w:rFonts w:cs="David"/>
          <w:rtl/>
        </w:rPr>
        <w:t>–</w:t>
      </w:r>
      <w:r w:rsidRPr="008D1DBA">
        <w:rPr>
          <w:rFonts w:cs="David" w:hint="cs"/>
          <w:rtl/>
        </w:rPr>
        <w:t xml:space="preserve"> ניתן להגיע אליו רק אחרי בקשת ערעור מביהמ"ש לערעורים </w:t>
      </w:r>
      <w:r w:rsidRPr="008D1DBA">
        <w:rPr>
          <w:rFonts w:cs="David"/>
          <w:rtl/>
        </w:rPr>
        <w:t>–</w:t>
      </w:r>
      <w:r w:rsidRPr="008D1DBA">
        <w:rPr>
          <w:rFonts w:cs="David" w:hint="cs"/>
          <w:rtl/>
        </w:rPr>
        <w:t xml:space="preserve"> או ביהמ"ש לערעורים של מדינה ספציפית (אם מדובר בעניין פדרלי). מטפל רק במאות תיקים בשנה.</w:t>
      </w:r>
    </w:p>
    <w:p w:rsidR="00391624" w:rsidRPr="008D1DBA" w:rsidRDefault="00391624" w:rsidP="00530D3A">
      <w:pPr>
        <w:pStyle w:val="a9"/>
        <w:ind w:left="360"/>
        <w:rPr>
          <w:rFonts w:cs="David"/>
          <w:rtl/>
        </w:rPr>
      </w:pPr>
    </w:p>
    <w:p w:rsidR="008D0190" w:rsidRPr="008D1DBA" w:rsidRDefault="00391624" w:rsidP="00530D3A">
      <w:pPr>
        <w:pStyle w:val="a9"/>
        <w:ind w:left="360"/>
        <w:rPr>
          <w:rFonts w:cs="David"/>
          <w:rtl/>
        </w:rPr>
      </w:pPr>
      <w:r w:rsidRPr="008D1DBA">
        <w:rPr>
          <w:rFonts w:cs="David" w:hint="cs"/>
          <w:b/>
          <w:bCs/>
          <w:u w:val="single"/>
          <w:rtl/>
        </w:rPr>
        <w:t>החוקה האמריקנית והרשות השופטת</w:t>
      </w:r>
      <w:r w:rsidRPr="008D1DBA">
        <w:rPr>
          <w:rFonts w:cs="David" w:hint="cs"/>
          <w:rtl/>
        </w:rPr>
        <w:t xml:space="preserve"> </w:t>
      </w:r>
      <w:r w:rsidRPr="008D1DBA">
        <w:rPr>
          <w:rFonts w:cs="David"/>
          <w:rtl/>
        </w:rPr>
        <w:t>–</w:t>
      </w:r>
      <w:r w:rsidRPr="008D1DBA">
        <w:rPr>
          <w:rFonts w:cs="David" w:hint="cs"/>
          <w:rtl/>
        </w:rPr>
        <w:t xml:space="preserve"> מטרתה הכללית של חוקה הינה הסדרת מבנה המשטר וזכויות האדם. מטרתה של החוקה האמריקנית הינה פיקוח על החברה בידי חוק משוריין כתוב, זאת תוך שמירה על אי פגיעת האזרח ע"י ראשי המדינה.</w:t>
      </w:r>
    </w:p>
    <w:p w:rsidR="008D0190" w:rsidRPr="008D1DBA" w:rsidRDefault="008D0190" w:rsidP="00530D3A">
      <w:pPr>
        <w:pStyle w:val="a9"/>
        <w:ind w:left="360"/>
        <w:rPr>
          <w:rFonts w:cs="David"/>
          <w:rtl/>
        </w:rPr>
      </w:pPr>
      <w:r w:rsidRPr="008D1DBA">
        <w:rPr>
          <w:rFonts w:cs="David" w:hint="cs"/>
          <w:b/>
          <w:bCs/>
          <w:u w:val="single"/>
          <w:rtl/>
        </w:rPr>
        <w:t xml:space="preserve">מרכיבי החוקה האמריקנית </w:t>
      </w:r>
      <w:r w:rsidRPr="008D1DBA">
        <w:rPr>
          <w:rFonts w:cs="David"/>
          <w:rtl/>
        </w:rPr>
        <w:t>–</w:t>
      </w:r>
      <w:r w:rsidRPr="008D1DBA">
        <w:rPr>
          <w:rFonts w:cs="David" w:hint="cs"/>
          <w:rtl/>
        </w:rPr>
        <w:t xml:space="preserve"> החוקה האמריקנית מיישמת את הפיקוח על השלטון זאת באמצעות חוק כתוב, ובאמצעות יצירת "מאזני כוח" במדינה. בחוקה קיימים שלושה מרכיבי איזון:</w:t>
      </w:r>
    </w:p>
    <w:p w:rsidR="008D0190" w:rsidRPr="008D1DBA" w:rsidRDefault="008D0190" w:rsidP="00530D3A">
      <w:pPr>
        <w:pStyle w:val="a9"/>
        <w:numPr>
          <w:ilvl w:val="0"/>
          <w:numId w:val="29"/>
        </w:numPr>
        <w:rPr>
          <w:rFonts w:cs="David"/>
        </w:rPr>
      </w:pPr>
      <w:r w:rsidRPr="008D1DBA">
        <w:rPr>
          <w:rFonts w:cs="David" w:hint="cs"/>
          <w:b/>
          <w:bCs/>
          <w:u w:val="single"/>
          <w:rtl/>
        </w:rPr>
        <w:t>דמוקרטיה</w:t>
      </w:r>
      <w:r w:rsidRPr="008D1DBA">
        <w:rPr>
          <w:rFonts w:cs="David" w:hint="cs"/>
          <w:rtl/>
        </w:rPr>
        <w:t xml:space="preserve"> </w:t>
      </w:r>
      <w:r w:rsidRPr="008D1DBA">
        <w:rPr>
          <w:rFonts w:cs="David"/>
          <w:rtl/>
        </w:rPr>
        <w:t>–</w:t>
      </w:r>
      <w:r w:rsidRPr="008D1DBA">
        <w:rPr>
          <w:rFonts w:cs="David" w:hint="cs"/>
          <w:rtl/>
        </w:rPr>
        <w:t xml:space="preserve"> כל רשויות השלטון תלויות בבחירתן המחודשת, דבר היוצר פיקוח על הרשויות.</w:t>
      </w:r>
    </w:p>
    <w:p w:rsidR="00B77736" w:rsidRPr="008D1DBA" w:rsidRDefault="008D0190" w:rsidP="00530D3A">
      <w:pPr>
        <w:pStyle w:val="a9"/>
        <w:numPr>
          <w:ilvl w:val="0"/>
          <w:numId w:val="29"/>
        </w:numPr>
        <w:rPr>
          <w:rFonts w:cs="David"/>
        </w:rPr>
      </w:pPr>
      <w:r w:rsidRPr="008D1DBA">
        <w:rPr>
          <w:rFonts w:cs="David" w:hint="cs"/>
          <w:b/>
          <w:bCs/>
          <w:u w:val="single"/>
          <w:rtl/>
        </w:rPr>
        <w:t>הפרדת רשויות</w:t>
      </w:r>
      <w:r w:rsidRPr="008D1DBA">
        <w:rPr>
          <w:rFonts w:cs="David" w:hint="cs"/>
          <w:rtl/>
        </w:rPr>
        <w:t xml:space="preserve"> </w:t>
      </w:r>
      <w:r w:rsidRPr="008D1DBA">
        <w:rPr>
          <w:rFonts w:cs="David"/>
          <w:rtl/>
        </w:rPr>
        <w:t>–</w:t>
      </w:r>
      <w:r w:rsidRPr="008D1DBA">
        <w:rPr>
          <w:rFonts w:cs="David" w:hint="cs"/>
          <w:rtl/>
        </w:rPr>
        <w:t xml:space="preserve"> היוצרת פיקוח ואיזון הדדיים בין הרשויות השונות.</w:t>
      </w:r>
    </w:p>
    <w:p w:rsidR="006E5114" w:rsidRPr="008D1DBA" w:rsidRDefault="00B77736" w:rsidP="00530D3A">
      <w:pPr>
        <w:pStyle w:val="a9"/>
        <w:numPr>
          <w:ilvl w:val="0"/>
          <w:numId w:val="29"/>
        </w:numPr>
        <w:rPr>
          <w:rFonts w:cs="David"/>
        </w:rPr>
      </w:pPr>
      <w:r w:rsidRPr="008D1DBA">
        <w:rPr>
          <w:rFonts w:cs="David" w:hint="cs"/>
          <w:b/>
          <w:bCs/>
          <w:u w:val="single"/>
          <w:rtl/>
        </w:rPr>
        <w:t xml:space="preserve">המבנה הפדרלי </w:t>
      </w:r>
      <w:r w:rsidRPr="008D1DBA">
        <w:rPr>
          <w:rFonts w:cs="David"/>
          <w:rtl/>
        </w:rPr>
        <w:t>–</w:t>
      </w:r>
      <w:r w:rsidRPr="008D1DBA">
        <w:rPr>
          <w:rFonts w:cs="David" w:hint="cs"/>
          <w:rtl/>
        </w:rPr>
        <w:t xml:space="preserve"> אזרחים של 2 מדינות. "הגדולה" מגינה על האזרח מפני "הקטנה", ו"הקטנה" מגינה על האזרח מפני "הגדולה".</w:t>
      </w:r>
    </w:p>
    <w:p w:rsidR="006E45B7" w:rsidRPr="008D1DBA" w:rsidRDefault="006E5114" w:rsidP="00530D3A">
      <w:pPr>
        <w:rPr>
          <w:rFonts w:cs="David"/>
          <w:rtl/>
        </w:rPr>
      </w:pPr>
      <w:r w:rsidRPr="008D1DBA">
        <w:rPr>
          <w:rFonts w:cs="David" w:hint="cs"/>
          <w:b/>
          <w:bCs/>
          <w:u w:val="single"/>
          <w:rtl/>
        </w:rPr>
        <w:t>יצירת החוקה</w:t>
      </w:r>
      <w:r w:rsidRPr="008D1DBA">
        <w:rPr>
          <w:rFonts w:cs="David" w:hint="cs"/>
          <w:rtl/>
        </w:rPr>
        <w:t>: המדינה בהתחלה קונפדרציה, ומשיקולי יעילות הופכת לפדרציה. החוקה הינה בעצם המס</w:t>
      </w:r>
      <w:r w:rsidR="007E7B94" w:rsidRPr="008D1DBA">
        <w:rPr>
          <w:rFonts w:cs="David" w:hint="cs"/>
          <w:rtl/>
        </w:rPr>
        <w:t>מ</w:t>
      </w:r>
      <w:r w:rsidRPr="008D1DBA">
        <w:rPr>
          <w:rFonts w:cs="David" w:hint="cs"/>
          <w:rtl/>
        </w:rPr>
        <w:t>ך היוצר של המדינה.</w:t>
      </w:r>
      <w:r w:rsidR="006E45B7" w:rsidRPr="008D1DBA">
        <w:rPr>
          <w:rFonts w:cs="David" w:hint="cs"/>
          <w:rtl/>
        </w:rPr>
        <w:t xml:space="preserve"> בתהליך הכנתו התעוררו 2 בעיות מרכזיות:</w:t>
      </w:r>
    </w:p>
    <w:p w:rsidR="00C42AFA" w:rsidRPr="008D1DBA" w:rsidRDefault="00C42AFA" w:rsidP="00530D3A">
      <w:pPr>
        <w:pStyle w:val="a9"/>
        <w:numPr>
          <w:ilvl w:val="0"/>
          <w:numId w:val="30"/>
        </w:numPr>
        <w:rPr>
          <w:rFonts w:cs="David"/>
        </w:rPr>
      </w:pPr>
      <w:r w:rsidRPr="008D1DBA">
        <w:rPr>
          <w:rFonts w:cs="David" w:hint="cs"/>
          <w:u w:val="single"/>
          <w:rtl/>
        </w:rPr>
        <w:t>עבדות</w:t>
      </w:r>
      <w:r w:rsidRPr="008D1DBA">
        <w:rPr>
          <w:rFonts w:cs="David" w:hint="cs"/>
          <w:rtl/>
        </w:rPr>
        <w:t xml:space="preserve"> </w:t>
      </w:r>
      <w:r w:rsidRPr="008D1DBA">
        <w:rPr>
          <w:rFonts w:cs="David"/>
          <w:rtl/>
        </w:rPr>
        <w:t>–</w:t>
      </w:r>
      <w:r w:rsidRPr="008D1DBA">
        <w:rPr>
          <w:rFonts w:cs="David" w:hint="cs"/>
          <w:rtl/>
        </w:rPr>
        <w:t xml:space="preserve"> מכי</w:t>
      </w:r>
      <w:r w:rsidR="004B439C" w:rsidRPr="008D1DBA">
        <w:rPr>
          <w:rFonts w:cs="David" w:hint="cs"/>
          <w:rtl/>
        </w:rPr>
        <w:t>ו</w:t>
      </w:r>
      <w:r w:rsidRPr="008D1DBA">
        <w:rPr>
          <w:rFonts w:cs="David" w:hint="cs"/>
          <w:rtl/>
        </w:rPr>
        <w:t>ון שהכלכלה בדרום התבססה על העבדות, לא נדונה בחוקה.</w:t>
      </w:r>
    </w:p>
    <w:p w:rsidR="00C42AFA" w:rsidRPr="008D1DBA" w:rsidRDefault="00C42AFA" w:rsidP="00530D3A">
      <w:pPr>
        <w:pStyle w:val="a9"/>
        <w:numPr>
          <w:ilvl w:val="0"/>
          <w:numId w:val="30"/>
        </w:numPr>
        <w:rPr>
          <w:rFonts w:cs="David"/>
        </w:rPr>
      </w:pPr>
      <w:r w:rsidRPr="008D1DBA">
        <w:rPr>
          <w:rFonts w:cs="David" w:hint="cs"/>
          <w:u w:val="single"/>
          <w:rtl/>
        </w:rPr>
        <w:t xml:space="preserve">שלטון ריכוזי חזק </w:t>
      </w:r>
      <w:r w:rsidRPr="008D1DBA">
        <w:rPr>
          <w:rFonts w:cs="David"/>
          <w:rtl/>
        </w:rPr>
        <w:t>–</w:t>
      </w:r>
      <w:r w:rsidRPr="008D1DBA">
        <w:rPr>
          <w:rFonts w:cs="David" w:hint="cs"/>
          <w:rtl/>
        </w:rPr>
        <w:t xml:space="preserve"> חשש המדינות הקטנות והאזרח, מנתינת כוח רב מדי למדינה, אשר יפגע בהם.</w:t>
      </w:r>
    </w:p>
    <w:p w:rsidR="00C42AFA" w:rsidRPr="008D1DBA" w:rsidRDefault="00C42AFA" w:rsidP="00530D3A">
      <w:pPr>
        <w:pStyle w:val="a9"/>
        <w:ind w:left="418"/>
        <w:rPr>
          <w:rFonts w:cs="David"/>
          <w:rtl/>
        </w:rPr>
      </w:pPr>
      <w:r w:rsidRPr="008D1DBA">
        <w:rPr>
          <w:rFonts w:cs="David"/>
        </w:rPr>
        <w:sym w:font="Wingdings" w:char="F0EF"/>
      </w:r>
      <w:r w:rsidRPr="008D1DBA">
        <w:rPr>
          <w:rFonts w:cs="David"/>
        </w:rPr>
        <w:sym w:font="Wingdings" w:char="F0EF"/>
      </w:r>
      <w:r w:rsidRPr="008D1DBA">
        <w:rPr>
          <w:rFonts w:cs="David" w:hint="cs"/>
          <w:rtl/>
        </w:rPr>
        <w:t xml:space="preserve"> לכן, הוגבלה כוחה של הפדרציה (בעיקר בתיקון העשירי) והרשויות המחוקקות חולקו ל-2:</w:t>
      </w:r>
    </w:p>
    <w:p w:rsidR="00C42AFA" w:rsidRPr="008D1DBA" w:rsidRDefault="00C42AFA" w:rsidP="00530D3A">
      <w:pPr>
        <w:pStyle w:val="a9"/>
        <w:ind w:left="418"/>
        <w:rPr>
          <w:rFonts w:cs="David"/>
          <w:rtl/>
        </w:rPr>
      </w:pPr>
      <w:r w:rsidRPr="008D1DBA">
        <w:rPr>
          <w:rFonts w:cs="David" w:hint="cs"/>
          <w:b/>
          <w:bCs/>
          <w:u w:val="single"/>
          <w:rtl/>
        </w:rPr>
        <w:t>סנאט</w:t>
      </w:r>
      <w:r w:rsidRPr="008D1DBA">
        <w:rPr>
          <w:rFonts w:cs="David" w:hint="cs"/>
          <w:rtl/>
        </w:rPr>
        <w:t xml:space="preserve"> </w:t>
      </w:r>
      <w:r w:rsidRPr="008D1DBA">
        <w:rPr>
          <w:rFonts w:cs="David"/>
          <w:rtl/>
        </w:rPr>
        <w:t>–</w:t>
      </w:r>
      <w:r w:rsidRPr="008D1DBA">
        <w:rPr>
          <w:rFonts w:cs="David" w:hint="cs"/>
          <w:rtl/>
        </w:rPr>
        <w:t xml:space="preserve"> 2 נציגים לכל מדינה </w:t>
      </w:r>
      <w:r w:rsidRPr="008D1DBA">
        <w:rPr>
          <w:rFonts w:cs="David"/>
          <w:rtl/>
        </w:rPr>
        <w:t>–</w:t>
      </w:r>
      <w:r w:rsidRPr="008D1DBA">
        <w:rPr>
          <w:rFonts w:cs="David" w:hint="cs"/>
          <w:rtl/>
        </w:rPr>
        <w:t xml:space="preserve"> ללא התחשבות בגודלה היחסי של המדינה.</w:t>
      </w:r>
    </w:p>
    <w:p w:rsidR="00C42AFA" w:rsidRPr="008D1DBA" w:rsidRDefault="00C42AFA" w:rsidP="00530D3A">
      <w:pPr>
        <w:pStyle w:val="a9"/>
        <w:ind w:left="418"/>
        <w:rPr>
          <w:rFonts w:cs="David"/>
          <w:rtl/>
        </w:rPr>
      </w:pPr>
      <w:r w:rsidRPr="008D1DBA">
        <w:rPr>
          <w:rFonts w:cs="David" w:hint="cs"/>
          <w:b/>
          <w:bCs/>
          <w:u w:val="single"/>
          <w:rtl/>
        </w:rPr>
        <w:t xml:space="preserve">בית נבחרים </w:t>
      </w:r>
      <w:r w:rsidRPr="008D1DBA">
        <w:rPr>
          <w:rFonts w:cs="David"/>
          <w:rtl/>
        </w:rPr>
        <w:t>–</w:t>
      </w:r>
      <w:r w:rsidRPr="008D1DBA">
        <w:rPr>
          <w:rFonts w:cs="David" w:hint="cs"/>
          <w:rtl/>
        </w:rPr>
        <w:t xml:space="preserve"> נציגים ביחס לגודל האוכלוסייה במדינה.</w:t>
      </w:r>
    </w:p>
    <w:p w:rsidR="00327FE6" w:rsidRPr="008D1DBA" w:rsidRDefault="00C42AFA" w:rsidP="00530D3A">
      <w:pPr>
        <w:rPr>
          <w:rFonts w:cs="David"/>
          <w:rtl/>
        </w:rPr>
      </w:pPr>
      <w:r w:rsidRPr="008D1DBA">
        <w:rPr>
          <w:rFonts w:cs="David" w:hint="cs"/>
          <w:rtl/>
        </w:rPr>
        <w:t xml:space="preserve">כמו כן, נוספו לחוקה 10 התיקונים המשמשים כמגילת זכויות האדם.  </w:t>
      </w:r>
    </w:p>
    <w:p w:rsidR="00880582" w:rsidRPr="008D1DBA" w:rsidRDefault="00880582" w:rsidP="00530D3A">
      <w:pPr>
        <w:rPr>
          <w:rFonts w:cs="David"/>
          <w:rtl/>
        </w:rPr>
      </w:pPr>
      <w:r w:rsidRPr="008D1DBA">
        <w:rPr>
          <w:rFonts w:cs="David" w:hint="cs"/>
          <w:b/>
          <w:bCs/>
          <w:u w:val="single"/>
          <w:rtl/>
        </w:rPr>
        <w:t>מבנה החוקה האמריקנית</w:t>
      </w:r>
      <w:r w:rsidRPr="008D1DBA">
        <w:rPr>
          <w:rFonts w:cs="David" w:hint="cs"/>
          <w:rtl/>
        </w:rPr>
        <w:t>: ביסוס מנגנון פדרלי כמסגרת על לברית המדינות: מורכב מ-7 חלקים:</w:t>
      </w:r>
    </w:p>
    <w:p w:rsidR="00880582" w:rsidRPr="008D1DBA" w:rsidRDefault="00880582" w:rsidP="00530D3A">
      <w:pPr>
        <w:pStyle w:val="a9"/>
        <w:numPr>
          <w:ilvl w:val="0"/>
          <w:numId w:val="32"/>
        </w:numPr>
        <w:rPr>
          <w:rFonts w:cs="David"/>
        </w:rPr>
      </w:pPr>
      <w:r w:rsidRPr="008D1DBA">
        <w:rPr>
          <w:rFonts w:cs="David" w:hint="cs"/>
          <w:rtl/>
        </w:rPr>
        <w:t xml:space="preserve">חלק ראשון </w:t>
      </w:r>
      <w:r w:rsidRPr="008D1DBA">
        <w:rPr>
          <w:rFonts w:cs="David"/>
          <w:rtl/>
        </w:rPr>
        <w:t>–</w:t>
      </w:r>
      <w:r w:rsidRPr="008D1DBA">
        <w:rPr>
          <w:rFonts w:cs="David" w:hint="cs"/>
          <w:rtl/>
        </w:rPr>
        <w:t xml:space="preserve"> הסדרת הרשת המחוקקת.</w:t>
      </w:r>
    </w:p>
    <w:p w:rsidR="00880582" w:rsidRPr="008D1DBA" w:rsidRDefault="00880582" w:rsidP="00530D3A">
      <w:pPr>
        <w:pStyle w:val="a9"/>
        <w:numPr>
          <w:ilvl w:val="0"/>
          <w:numId w:val="32"/>
        </w:numPr>
        <w:rPr>
          <w:rFonts w:cs="David"/>
        </w:rPr>
      </w:pPr>
      <w:r w:rsidRPr="008D1DBA">
        <w:rPr>
          <w:rFonts w:cs="David" w:hint="cs"/>
          <w:rtl/>
        </w:rPr>
        <w:t xml:space="preserve">חלק שני </w:t>
      </w:r>
      <w:r w:rsidRPr="008D1DBA">
        <w:rPr>
          <w:rFonts w:cs="David"/>
          <w:rtl/>
        </w:rPr>
        <w:t>–</w:t>
      </w:r>
      <w:r w:rsidRPr="008D1DBA">
        <w:rPr>
          <w:rFonts w:cs="David" w:hint="cs"/>
          <w:rtl/>
        </w:rPr>
        <w:t xml:space="preserve"> הסדרת הרשות המבצעת.</w:t>
      </w:r>
    </w:p>
    <w:p w:rsidR="00880582" w:rsidRPr="008D1DBA" w:rsidRDefault="00880582" w:rsidP="00530D3A">
      <w:pPr>
        <w:pStyle w:val="a9"/>
        <w:numPr>
          <w:ilvl w:val="0"/>
          <w:numId w:val="32"/>
        </w:numPr>
        <w:rPr>
          <w:rFonts w:cs="David"/>
        </w:rPr>
      </w:pPr>
      <w:r w:rsidRPr="008D1DBA">
        <w:rPr>
          <w:rFonts w:cs="David" w:hint="cs"/>
          <w:rtl/>
        </w:rPr>
        <w:t xml:space="preserve">חלק שלישי </w:t>
      </w:r>
      <w:r w:rsidRPr="008D1DBA">
        <w:rPr>
          <w:rFonts w:cs="David"/>
          <w:rtl/>
        </w:rPr>
        <w:t>–</w:t>
      </w:r>
      <w:r w:rsidRPr="008D1DBA">
        <w:rPr>
          <w:rFonts w:cs="David" w:hint="cs"/>
          <w:rtl/>
        </w:rPr>
        <w:t xml:space="preserve"> הסדרת הרשות השופטת.</w:t>
      </w:r>
    </w:p>
    <w:p w:rsidR="00880582" w:rsidRPr="008D1DBA" w:rsidRDefault="00880582" w:rsidP="00530D3A">
      <w:pPr>
        <w:pStyle w:val="a9"/>
        <w:numPr>
          <w:ilvl w:val="0"/>
          <w:numId w:val="32"/>
        </w:numPr>
        <w:rPr>
          <w:rFonts w:cs="David"/>
        </w:rPr>
      </w:pPr>
      <w:r w:rsidRPr="008D1DBA">
        <w:rPr>
          <w:rFonts w:cs="David" w:hint="cs"/>
          <w:rtl/>
        </w:rPr>
        <w:t xml:space="preserve">חלק רביעי </w:t>
      </w:r>
      <w:r w:rsidRPr="008D1DBA">
        <w:rPr>
          <w:rFonts w:cs="David"/>
          <w:rtl/>
        </w:rPr>
        <w:t>–</w:t>
      </w:r>
      <w:r w:rsidRPr="008D1DBA">
        <w:rPr>
          <w:rFonts w:cs="David" w:hint="cs"/>
          <w:rtl/>
        </w:rPr>
        <w:t xml:space="preserve"> כבוד משפטי הדדי בין המדינות.</w:t>
      </w:r>
    </w:p>
    <w:p w:rsidR="00880582" w:rsidRPr="008D1DBA" w:rsidRDefault="00880582" w:rsidP="00530D3A">
      <w:pPr>
        <w:pStyle w:val="a9"/>
        <w:numPr>
          <w:ilvl w:val="0"/>
          <w:numId w:val="32"/>
        </w:numPr>
        <w:rPr>
          <w:rFonts w:cs="David"/>
        </w:rPr>
      </w:pPr>
      <w:r w:rsidRPr="008D1DBA">
        <w:rPr>
          <w:rFonts w:cs="David" w:hint="cs"/>
          <w:rtl/>
        </w:rPr>
        <w:t xml:space="preserve">חלק חמישי </w:t>
      </w:r>
      <w:r w:rsidRPr="008D1DBA">
        <w:rPr>
          <w:rFonts w:cs="David"/>
          <w:rtl/>
        </w:rPr>
        <w:t>–</w:t>
      </w:r>
      <w:r w:rsidRPr="008D1DBA">
        <w:rPr>
          <w:rFonts w:cs="David" w:hint="cs"/>
          <w:rtl/>
        </w:rPr>
        <w:t xml:space="preserve"> שינוי החוקה ברוב.</w:t>
      </w:r>
    </w:p>
    <w:p w:rsidR="00880582" w:rsidRPr="008D1DBA" w:rsidRDefault="00880582" w:rsidP="00530D3A">
      <w:pPr>
        <w:pStyle w:val="a9"/>
        <w:numPr>
          <w:ilvl w:val="0"/>
          <w:numId w:val="32"/>
        </w:numPr>
        <w:rPr>
          <w:rFonts w:cs="David"/>
        </w:rPr>
      </w:pPr>
      <w:r w:rsidRPr="008D1DBA">
        <w:rPr>
          <w:rFonts w:cs="David" w:hint="cs"/>
          <w:rtl/>
        </w:rPr>
        <w:t xml:space="preserve">חלק שישי </w:t>
      </w:r>
      <w:r w:rsidRPr="008D1DBA">
        <w:rPr>
          <w:rFonts w:cs="David"/>
          <w:rtl/>
        </w:rPr>
        <w:t>–</w:t>
      </w:r>
      <w:r w:rsidRPr="008D1DBA">
        <w:rPr>
          <w:rFonts w:cs="David" w:hint="cs"/>
          <w:rtl/>
        </w:rPr>
        <w:t xml:space="preserve"> עליונות החוקה.</w:t>
      </w:r>
    </w:p>
    <w:p w:rsidR="00880582" w:rsidRPr="008D1DBA" w:rsidRDefault="00880582" w:rsidP="00530D3A">
      <w:pPr>
        <w:pStyle w:val="a9"/>
        <w:numPr>
          <w:ilvl w:val="0"/>
          <w:numId w:val="32"/>
        </w:numPr>
        <w:rPr>
          <w:rFonts w:cs="David"/>
        </w:rPr>
      </w:pPr>
      <w:r w:rsidRPr="008D1DBA">
        <w:rPr>
          <w:rFonts w:cs="David" w:hint="cs"/>
          <w:rtl/>
        </w:rPr>
        <w:t>הסדרת הרוב הדרוש לאישור החוקה.</w:t>
      </w:r>
    </w:p>
    <w:p w:rsidR="00880582" w:rsidRPr="008D1DBA" w:rsidRDefault="00880582" w:rsidP="00530D3A">
      <w:pPr>
        <w:rPr>
          <w:rFonts w:cs="David"/>
          <w:rtl/>
        </w:rPr>
      </w:pPr>
      <w:r w:rsidRPr="008D1DBA">
        <w:rPr>
          <w:rFonts w:cs="David" w:hint="cs"/>
          <w:rtl/>
        </w:rPr>
        <w:t>עשרת התיקונים הראשונים הינם מגילת זכויות האדם. 16 תיקונים נוספים הכוללים את זכות ההצבעה לנשים ושחורים, חוק היובש וביטולו, הורדת גיל ההצבעה ל-18 ועוד.</w:t>
      </w:r>
    </w:p>
    <w:p w:rsidR="006D79FD" w:rsidRPr="008D1DBA" w:rsidRDefault="00DF312A" w:rsidP="00530D3A">
      <w:pPr>
        <w:rPr>
          <w:rFonts w:cs="David"/>
          <w:rtl/>
        </w:rPr>
      </w:pPr>
      <w:r w:rsidRPr="008D1DBA">
        <w:rPr>
          <w:rFonts w:cs="David" w:hint="cs"/>
          <w:b/>
          <w:bCs/>
          <w:u w:val="single"/>
          <w:rtl/>
        </w:rPr>
        <w:t>הפיקוח השיפוטי בארה"ב</w:t>
      </w:r>
      <w:r w:rsidRPr="008D1DBA">
        <w:rPr>
          <w:rFonts w:cs="David" w:hint="cs"/>
          <w:rtl/>
        </w:rPr>
        <w:t xml:space="preserve">: ביהמ"ש כאחראי על </w:t>
      </w:r>
      <w:r w:rsidRPr="008D1DBA">
        <w:rPr>
          <w:rFonts w:cs="David" w:hint="cs"/>
          <w:b/>
          <w:bCs/>
          <w:rtl/>
        </w:rPr>
        <w:t>הביקורת החוקתית</w:t>
      </w:r>
      <w:r w:rsidRPr="008D1DBA">
        <w:rPr>
          <w:rFonts w:cs="David" w:hint="cs"/>
          <w:rtl/>
        </w:rPr>
        <w:t>, 3 סיבות לכך:</w:t>
      </w:r>
    </w:p>
    <w:p w:rsidR="00DF312A" w:rsidRPr="008D1DBA" w:rsidRDefault="00DF312A" w:rsidP="00530D3A">
      <w:pPr>
        <w:pStyle w:val="a9"/>
        <w:numPr>
          <w:ilvl w:val="0"/>
          <w:numId w:val="31"/>
        </w:numPr>
        <w:rPr>
          <w:rFonts w:cs="David"/>
        </w:rPr>
      </w:pPr>
      <w:r w:rsidRPr="008D1DBA">
        <w:rPr>
          <w:rFonts w:cs="David" w:hint="cs"/>
          <w:rtl/>
        </w:rPr>
        <w:t>מסורת הרואה בביהמ"ש כגוף מרכזי.</w:t>
      </w:r>
    </w:p>
    <w:p w:rsidR="00DF312A" w:rsidRPr="008D1DBA" w:rsidRDefault="00DF312A" w:rsidP="00530D3A">
      <w:pPr>
        <w:pStyle w:val="a9"/>
        <w:numPr>
          <w:ilvl w:val="0"/>
          <w:numId w:val="31"/>
        </w:numPr>
        <w:rPr>
          <w:rFonts w:cs="David"/>
        </w:rPr>
      </w:pPr>
      <w:r w:rsidRPr="008D1DBA">
        <w:rPr>
          <w:rFonts w:cs="David" w:hint="cs"/>
          <w:rtl/>
        </w:rPr>
        <w:t>השחיתות בבתי הפרלמנט.</w:t>
      </w:r>
    </w:p>
    <w:p w:rsidR="00DF312A" w:rsidRPr="008D1DBA" w:rsidRDefault="00DF312A" w:rsidP="00530D3A">
      <w:pPr>
        <w:pStyle w:val="a9"/>
        <w:numPr>
          <w:ilvl w:val="0"/>
          <w:numId w:val="31"/>
        </w:numPr>
        <w:rPr>
          <w:rFonts w:cs="David"/>
        </w:rPr>
      </w:pPr>
      <w:r w:rsidRPr="008D1DBA">
        <w:rPr>
          <w:rFonts w:cs="David" w:hint="cs"/>
          <w:rtl/>
        </w:rPr>
        <w:t>תקדימי פסילת חקיקה, יכולתה של ביהמ"ש לפסול חוק.</w:t>
      </w:r>
    </w:p>
    <w:p w:rsidR="00DF312A" w:rsidRPr="008D1DBA" w:rsidRDefault="00DF312A" w:rsidP="00530D3A">
      <w:pPr>
        <w:rPr>
          <w:rFonts w:cs="David"/>
          <w:rtl/>
        </w:rPr>
      </w:pPr>
      <w:r w:rsidRPr="008D1DBA">
        <w:rPr>
          <w:rFonts w:cs="David" w:hint="cs"/>
          <w:rtl/>
        </w:rPr>
        <w:t xml:space="preserve">בשל כך, הוכרז בפס"ד </w:t>
      </w:r>
      <w:proofErr w:type="spellStart"/>
      <w:r w:rsidRPr="008D1DBA">
        <w:rPr>
          <w:rFonts w:cs="David" w:hint="cs"/>
          <w:b/>
          <w:bCs/>
          <w:rtl/>
        </w:rPr>
        <w:t>מרבורי</w:t>
      </w:r>
      <w:proofErr w:type="spellEnd"/>
      <w:r w:rsidRPr="008D1DBA">
        <w:rPr>
          <w:rFonts w:cs="David" w:hint="cs"/>
          <w:b/>
          <w:bCs/>
          <w:rtl/>
        </w:rPr>
        <w:t xml:space="preserve"> נ' מדיסון</w:t>
      </w:r>
      <w:r w:rsidRPr="008D1DBA">
        <w:rPr>
          <w:rFonts w:cs="David" w:hint="cs"/>
          <w:rtl/>
        </w:rPr>
        <w:t xml:space="preserve"> </w:t>
      </w:r>
      <w:r w:rsidR="00F94085" w:rsidRPr="008D1DBA">
        <w:rPr>
          <w:rFonts w:cs="David" w:hint="cs"/>
          <w:rtl/>
        </w:rPr>
        <w:t>על סמכותה של הרשות השופטת לבקר את רשויות השלטון כחלק מאחריותה הקבועה בחוקה לשמירת הצדק.</w:t>
      </w:r>
    </w:p>
    <w:p w:rsidR="000B4F15" w:rsidRPr="008D1DBA" w:rsidRDefault="000B4F15" w:rsidP="00530D3A">
      <w:pPr>
        <w:rPr>
          <w:rFonts w:cs="David"/>
          <w:rtl/>
        </w:rPr>
      </w:pPr>
    </w:p>
    <w:p w:rsidR="000B4F15" w:rsidRPr="008D1DBA" w:rsidRDefault="000B4F15" w:rsidP="00530D3A">
      <w:pPr>
        <w:rPr>
          <w:rFonts w:cs="David"/>
          <w:rtl/>
        </w:rPr>
      </w:pPr>
      <w:r w:rsidRPr="008D1DBA">
        <w:rPr>
          <w:rFonts w:cs="David" w:hint="cs"/>
          <w:b/>
          <w:bCs/>
          <w:u w:val="single"/>
          <w:rtl/>
        </w:rPr>
        <w:lastRenderedPageBreak/>
        <w:t>מאמר של ניר קידר על קודיפיקציה</w:t>
      </w:r>
      <w:r w:rsidRPr="008D1DBA">
        <w:rPr>
          <w:rFonts w:cs="David" w:hint="cs"/>
          <w:rtl/>
        </w:rPr>
        <w:t xml:space="preserve"> </w:t>
      </w:r>
      <w:r w:rsidRPr="008D1DBA">
        <w:rPr>
          <w:rFonts w:cs="David"/>
          <w:rtl/>
        </w:rPr>
        <w:t>–</w:t>
      </w:r>
      <w:r w:rsidRPr="008D1DBA">
        <w:rPr>
          <w:rFonts w:cs="David" w:hint="cs"/>
          <w:rtl/>
        </w:rPr>
        <w:t xml:space="preserve"> טוען שקיימות 3 סיבות לרצון לבנות קודיפיקציה בישראל:</w:t>
      </w:r>
    </w:p>
    <w:p w:rsidR="000B4F15" w:rsidRPr="008D1DBA" w:rsidRDefault="000B4F15" w:rsidP="00530D3A">
      <w:pPr>
        <w:pStyle w:val="a9"/>
        <w:numPr>
          <w:ilvl w:val="0"/>
          <w:numId w:val="33"/>
        </w:numPr>
        <w:rPr>
          <w:rFonts w:cs="David"/>
        </w:rPr>
      </w:pPr>
      <w:r w:rsidRPr="008D1DBA">
        <w:rPr>
          <w:rFonts w:cs="David" w:hint="cs"/>
          <w:u w:val="single"/>
          <w:rtl/>
        </w:rPr>
        <w:t>פשטות המשפט</w:t>
      </w:r>
      <w:r w:rsidRPr="008D1DBA">
        <w:rPr>
          <w:rFonts w:cs="David" w:hint="cs"/>
          <w:rtl/>
        </w:rPr>
        <w:t xml:space="preserve"> </w:t>
      </w:r>
      <w:r w:rsidRPr="008D1DBA">
        <w:rPr>
          <w:rFonts w:cs="David"/>
          <w:rtl/>
        </w:rPr>
        <w:t>–</w:t>
      </w:r>
      <w:r w:rsidRPr="008D1DBA">
        <w:rPr>
          <w:rFonts w:cs="David" w:hint="cs"/>
          <w:rtl/>
        </w:rPr>
        <w:t xml:space="preserve"> במקום להסתכל על הרבה עמודים </w:t>
      </w:r>
      <w:proofErr w:type="spellStart"/>
      <w:r w:rsidRPr="008D1DBA">
        <w:rPr>
          <w:rFonts w:cs="David" w:hint="cs"/>
          <w:rtl/>
        </w:rPr>
        <w:t>הכל</w:t>
      </w:r>
      <w:proofErr w:type="spellEnd"/>
      <w:r w:rsidRPr="008D1DBA">
        <w:rPr>
          <w:rFonts w:cs="David" w:hint="cs"/>
          <w:rtl/>
        </w:rPr>
        <w:t xml:space="preserve"> מרוכז במקום אחד. שולל, באומרו כי בעידן טכנולוגי של גוגל הצורך הזה מתבטל.</w:t>
      </w:r>
    </w:p>
    <w:p w:rsidR="000B4F15" w:rsidRPr="008D1DBA" w:rsidRDefault="000B4F15" w:rsidP="00530D3A">
      <w:pPr>
        <w:pStyle w:val="a9"/>
        <w:numPr>
          <w:ilvl w:val="0"/>
          <w:numId w:val="33"/>
        </w:numPr>
        <w:rPr>
          <w:rFonts w:cs="David"/>
        </w:rPr>
      </w:pPr>
      <w:r w:rsidRPr="008D1DBA">
        <w:rPr>
          <w:rFonts w:cs="David" w:hint="cs"/>
          <w:u w:val="single"/>
          <w:rtl/>
        </w:rPr>
        <w:t>קוהרנטיות</w:t>
      </w:r>
      <w:r w:rsidRPr="008D1DBA">
        <w:rPr>
          <w:rFonts w:cs="David" w:hint="cs"/>
          <w:rtl/>
        </w:rPr>
        <w:t xml:space="preserve"> </w:t>
      </w:r>
      <w:r w:rsidRPr="008D1DBA">
        <w:rPr>
          <w:rFonts w:cs="David"/>
          <w:rtl/>
        </w:rPr>
        <w:t>–</w:t>
      </w:r>
      <w:r w:rsidRPr="008D1DBA">
        <w:rPr>
          <w:rFonts w:cs="David" w:hint="cs"/>
          <w:rtl/>
        </w:rPr>
        <w:t xml:space="preserve"> שלא יהיו סתירות. שולל, באומרו כי קודקס אינו הסיבה היחידה המביאה לקוהרנטיות במשפט, ומביא את המשפט האנגלוסקסי כדוגמא למשפט קוהרנטי ללא קודקסים.</w:t>
      </w:r>
    </w:p>
    <w:p w:rsidR="00325186" w:rsidRPr="008D1DBA" w:rsidRDefault="00325186" w:rsidP="00530D3A">
      <w:pPr>
        <w:pStyle w:val="a9"/>
        <w:numPr>
          <w:ilvl w:val="0"/>
          <w:numId w:val="33"/>
        </w:numPr>
        <w:rPr>
          <w:rFonts w:cs="David"/>
        </w:rPr>
      </w:pPr>
      <w:r w:rsidRPr="008D1DBA">
        <w:rPr>
          <w:rFonts w:cs="David" w:hint="cs"/>
          <w:u w:val="single"/>
          <w:rtl/>
        </w:rPr>
        <w:t>רפורמה</w:t>
      </w:r>
      <w:r w:rsidRPr="008D1DBA">
        <w:rPr>
          <w:rFonts w:cs="David" w:hint="cs"/>
          <w:rtl/>
        </w:rPr>
        <w:t xml:space="preserve"> </w:t>
      </w:r>
      <w:r w:rsidRPr="008D1DBA">
        <w:rPr>
          <w:rFonts w:cs="David"/>
          <w:rtl/>
        </w:rPr>
        <w:t>–</w:t>
      </w:r>
      <w:r w:rsidRPr="008D1DBA">
        <w:rPr>
          <w:rFonts w:cs="David" w:hint="cs"/>
          <w:rtl/>
        </w:rPr>
        <w:t xml:space="preserve"> ביצוע שינויים של החוקים. שולל, באומרו כי אין צורך בכך. אם רוצים אפשר לבצע שינויים קטנים פה ושם בחוקים. חוץ מזה שקודקס אינו מביא לשינויים והוא מיושן.</w:t>
      </w:r>
    </w:p>
    <w:p w:rsidR="00325186" w:rsidRPr="008D1DBA" w:rsidRDefault="00325186" w:rsidP="00530D3A">
      <w:pPr>
        <w:rPr>
          <w:rFonts w:cs="David"/>
          <w:rtl/>
        </w:rPr>
      </w:pPr>
      <w:r w:rsidRPr="008D1DBA">
        <w:rPr>
          <w:rFonts w:cs="David" w:hint="cs"/>
          <w:rtl/>
        </w:rPr>
        <w:t>3 סיבות לקיומן של קודקסים באירופה החל מהמאה ה-18:</w:t>
      </w:r>
    </w:p>
    <w:p w:rsidR="00325186" w:rsidRPr="008D1DBA" w:rsidRDefault="00325186" w:rsidP="00530D3A">
      <w:pPr>
        <w:pStyle w:val="a9"/>
        <w:numPr>
          <w:ilvl w:val="0"/>
          <w:numId w:val="34"/>
        </w:numPr>
        <w:rPr>
          <w:rFonts w:cs="David"/>
        </w:rPr>
      </w:pPr>
      <w:r w:rsidRPr="008D1DBA">
        <w:rPr>
          <w:rFonts w:cs="David" w:hint="cs"/>
          <w:rtl/>
        </w:rPr>
        <w:t xml:space="preserve">מורשת </w:t>
      </w:r>
      <w:r w:rsidRPr="008D1DBA">
        <w:rPr>
          <w:rFonts w:cs="David"/>
          <w:rtl/>
        </w:rPr>
        <w:t>–</w:t>
      </w:r>
      <w:r w:rsidRPr="008D1DBA">
        <w:rPr>
          <w:rFonts w:cs="David" w:hint="cs"/>
          <w:rtl/>
        </w:rPr>
        <w:t xml:space="preserve"> ראייה בקודקס כחלק ממורשתה של אירופה והמערב, גישה זו הושפעה מהקודיפיקציה במשפט הרומי ובתק' </w:t>
      </w:r>
      <w:proofErr w:type="spellStart"/>
      <w:r w:rsidRPr="008D1DBA">
        <w:rPr>
          <w:rFonts w:cs="David" w:hint="cs"/>
          <w:rtl/>
        </w:rPr>
        <w:t>יוסטיניאנוס</w:t>
      </w:r>
      <w:proofErr w:type="spellEnd"/>
      <w:r w:rsidRPr="008D1DBA">
        <w:rPr>
          <w:rFonts w:cs="David" w:hint="cs"/>
          <w:rtl/>
        </w:rPr>
        <w:t>.</w:t>
      </w:r>
    </w:p>
    <w:p w:rsidR="00325186" w:rsidRPr="008D1DBA" w:rsidRDefault="00325186" w:rsidP="00530D3A">
      <w:pPr>
        <w:pStyle w:val="a9"/>
        <w:numPr>
          <w:ilvl w:val="0"/>
          <w:numId w:val="34"/>
        </w:numPr>
        <w:rPr>
          <w:rFonts w:cs="David"/>
        </w:rPr>
      </w:pPr>
      <w:r w:rsidRPr="008D1DBA">
        <w:rPr>
          <w:rFonts w:cs="David" w:hint="cs"/>
          <w:rtl/>
        </w:rPr>
        <w:t>השפעת הרעיונות מהרנסנס על המשפט (רציונאליות, תבונה, משפט טבע חילוני זכויות אדם, שלטון חוק, דמוקרטיה, הפרדת רשויות).</w:t>
      </w:r>
    </w:p>
    <w:p w:rsidR="00952E9E" w:rsidRPr="008D1DBA" w:rsidRDefault="00952E9E" w:rsidP="00530D3A">
      <w:pPr>
        <w:numPr>
          <w:ilvl w:val="0"/>
          <w:numId w:val="34"/>
        </w:numPr>
        <w:spacing w:after="0"/>
        <w:rPr>
          <w:rFonts w:cs="David"/>
        </w:rPr>
      </w:pPr>
      <w:r w:rsidRPr="008D1DBA">
        <w:rPr>
          <w:rFonts w:cs="David" w:hint="cs"/>
          <w:rtl/>
        </w:rPr>
        <w:t xml:space="preserve">עליית הלאומיות באירופה הביאה לשינויים במשפט- ריכוז הכוח הפוליטי לעומת מה שהיה לפני כן- משפט מפוזר, משפט מקומי, מנהגים. הריכוזיות גרמה </w:t>
      </w:r>
      <w:proofErr w:type="spellStart"/>
      <w:r w:rsidRPr="008D1DBA">
        <w:rPr>
          <w:rFonts w:cs="David" w:hint="cs"/>
          <w:rtl/>
        </w:rPr>
        <w:t>לפוזיטיבציה</w:t>
      </w:r>
      <w:proofErr w:type="spellEnd"/>
      <w:r w:rsidRPr="008D1DBA">
        <w:rPr>
          <w:rFonts w:cs="David" w:hint="cs"/>
          <w:rtl/>
        </w:rPr>
        <w:t>- כלומר להעלאת החוקים על הכתב כדי שיהיה שלטון מרוכז שיהיה נגיש ופשוט.</w:t>
      </w:r>
    </w:p>
    <w:p w:rsidR="00F51016" w:rsidRPr="008D1DBA" w:rsidRDefault="00F51016" w:rsidP="00530D3A">
      <w:pPr>
        <w:rPr>
          <w:rFonts w:cs="David"/>
        </w:rPr>
      </w:pPr>
      <w:r w:rsidRPr="008D1DBA">
        <w:rPr>
          <w:rFonts w:cs="David" w:hint="cs"/>
          <w:rtl/>
        </w:rPr>
        <w:t xml:space="preserve"> </w:t>
      </w:r>
    </w:p>
    <w:sectPr w:rsidR="00F51016" w:rsidRPr="008D1DBA" w:rsidSect="001B3CFD">
      <w:headerReference w:type="default"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51A" w:rsidRDefault="0093551A" w:rsidP="00866FF5">
      <w:pPr>
        <w:spacing w:after="0" w:line="240" w:lineRule="auto"/>
      </w:pPr>
      <w:r>
        <w:separator/>
      </w:r>
    </w:p>
  </w:endnote>
  <w:endnote w:type="continuationSeparator" w:id="0">
    <w:p w:rsidR="0093551A" w:rsidRDefault="0093551A" w:rsidP="00866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67589174"/>
      <w:docPartObj>
        <w:docPartGallery w:val="Page Numbers (Bottom of Page)"/>
        <w:docPartUnique/>
      </w:docPartObj>
    </w:sdtPr>
    <w:sdtEndPr>
      <w:rPr>
        <w:cs/>
      </w:rPr>
    </w:sdtEndPr>
    <w:sdtContent>
      <w:p w:rsidR="006D79FD" w:rsidRDefault="006D79FD">
        <w:pPr>
          <w:pStyle w:val="a5"/>
          <w:jc w:val="center"/>
          <w:rPr>
            <w:rtl/>
            <w:cs/>
          </w:rPr>
        </w:pPr>
        <w:r>
          <w:rPr>
            <w:noProof/>
          </w:rPr>
          <mc:AlternateContent>
            <mc:Choice Requires="wps">
              <w:drawing>
                <wp:inline distT="0" distB="0" distL="0" distR="0" wp14:editId="30D65B82">
                  <wp:extent cx="5467350" cy="45085"/>
                  <wp:effectExtent l="0" t="9525" r="9525" b="2540"/>
                  <wp:docPr id="648" name="צורה אוטומטית 1" descr="קו אופקי בהיר"/>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צורה אוטומטית 1" o:spid="_x0000_s1026" type="#_x0000_t110" alt="תיאור: קו אופקי בהיר" style="width:430.5pt;height:3.55pt;flip:x 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7bzQIAAIEFAAAOAAAAZHJzL2Uyb0RvYy54bWysVN1u0zAUvkfiHSzfd0lK0jbR0mlbKUMa&#10;MGnAves4jUViB9ttuiHeAaRNYjdcIZh4obwOx07WbYAQQkSKcxyf3+98Prt7m6pEa6Y0lyLFwY6P&#10;ERNUZlwsU/zq5XwwwUgbIjJSSsFSfMY03ps+fLDb1AkbykKWGVMInAidNHWKC2PqxPM0LVhF9I6s&#10;mYDDXKqKGNiqpZcp0oD3qvSGvj/yGqmyWknKtIa/s+4QT53/PGfUvMhzzQwqUwy5Gbcqty7s6k13&#10;SbJUpC447dMg/5BFRbiAoFtXM2IIWin+i6uKUyW1zM0OlZUn85xT5mqAagL/p2pOC1IzVwuAo+st&#10;TPr/uaXP1ycK8SzFoxBaJUgFTWq/tpftdXuB2g8gfIL3M6xX7XcUYJQxTQHA9lt72Z1/AfEKtR/b&#10;C1C5tog2tU7A8Wl9oiwmuj6W9I1GQh4WRCzZvlKyKRjJoI7A6nv3DOxGgylaNM9kBumQlZEO3E2u&#10;KpSXvD6yhk56bSUbBKBEG9fXs21f2cYgCj+j+FHojyOMKJyFkT+JXFSSWIfWuFbaPGGyQlZIcV7K&#10;BlJVZsYot8x2Ecj6WBub7a2+syXGzHlZ9ralOZLq3Bnky8NSOQDUcgEiWhPLQvf0CWxVFr/Vnbun&#10;1+1VbPg+pPUNNUJavdRR7l0cDEP/YBgP5qPJeBDOw2gQj/3JwA/ig3jkh3E4m7+3KQZhUvAsY+KY&#10;C3ZD/yD8O3r1F7EjrrsAqElxHA0jV72WJc8sMH9G4J5axQ1Mg5JXKZ5sYSKJ5cpjkbm7aggvO9m7&#10;n75rDKBx83WoOGZZMnWkXMjsDIilJDQZpgHMLRAK2y/UwAxIsX67IophVD4VQM44CEM7NNwmjMZD&#10;2Ki7J4u7J0RQcJVig1EnHppu0KxqxZcFROqYKuQ+EDrnjkuW7F1W/TWAe+4q6GeSHSR3907rdnJO&#10;fwAAAP//AwBQSwMEFAAGAAgAAAAhALM8pA/ZAAAAAwEAAA8AAABkcnMvZG93bnJldi54bWxMj0FL&#10;w0AQhe8F/8MygpdiN+mhrTGbIoLoSWj14HGbHbMh2dmQ2bTx3zt60cuDxxve+6bcz6FXZxy5jWQg&#10;X2WgkOroWmoMvL893e5AcbLkbB8JDXwhw766WpS2cPFCBzwfU6OkhLiwBnxKQ6E11x6D5VUckCT7&#10;jGOwSezYaDfai5SHXq+zbKODbUkWvB3w0WPdHadgoPPPvOTxbr18mXnKgsPu4/BqzM31/HAPKuGc&#10;/o7hB1/QoRKmU5zIseoNyCPpVyXbbXKxJwPbHHRV6v/s1TcAAAD//wMAUEsBAi0AFAAGAAgAAAAh&#10;ALaDOJL+AAAA4QEAABMAAAAAAAAAAAAAAAAAAAAAAFtDb250ZW50X1R5cGVzXS54bWxQSwECLQAU&#10;AAYACAAAACEAOP0h/9YAAACUAQAACwAAAAAAAAAAAAAAAAAvAQAAX3JlbHMvLnJlbHNQSwECLQAU&#10;AAYACAAAACEA2kCe280CAACBBQAADgAAAAAAAAAAAAAAAAAuAgAAZHJzL2Uyb0RvYy54bWxQSwEC&#10;LQAUAAYACAAAACEAszykD9kAAAADAQAADwAAAAAAAAAAAAAAAAAnBQAAZHJzL2Rvd25yZXYueG1s&#10;UEsFBgAAAAAEAAQA8wAAAC0GAAAAAA==&#10;" fillcolor="black" stroked="f">
                  <v:fill r:id="rId1" o:title="" type="pattern"/>
                  <w10:wrap anchorx="page"/>
                  <w10:anchorlock/>
                </v:shape>
              </w:pict>
            </mc:Fallback>
          </mc:AlternateContent>
        </w:r>
      </w:p>
      <w:p w:rsidR="006D79FD" w:rsidRDefault="006D79FD">
        <w:pPr>
          <w:pStyle w:val="a5"/>
          <w:jc w:val="center"/>
          <w:rPr>
            <w:rtl/>
            <w:cs/>
          </w:rPr>
        </w:pPr>
        <w:r>
          <w:fldChar w:fldCharType="begin"/>
        </w:r>
        <w:r>
          <w:rPr>
            <w:rtl/>
            <w:cs/>
          </w:rPr>
          <w:instrText>PAGE    \* MERGEFORMAT</w:instrText>
        </w:r>
        <w:r>
          <w:fldChar w:fldCharType="separate"/>
        </w:r>
        <w:r w:rsidR="00FD5DB9" w:rsidRPr="00FD5DB9">
          <w:rPr>
            <w:noProof/>
            <w:rtl/>
            <w:lang w:val="he-IL"/>
          </w:rPr>
          <w:t>1</w:t>
        </w:r>
        <w:r>
          <w:fldChar w:fldCharType="end"/>
        </w:r>
      </w:p>
    </w:sdtContent>
  </w:sdt>
  <w:p w:rsidR="006D79FD" w:rsidRDefault="006D79F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51A" w:rsidRDefault="0093551A" w:rsidP="00866FF5">
      <w:pPr>
        <w:spacing w:after="0" w:line="240" w:lineRule="auto"/>
      </w:pPr>
      <w:r>
        <w:separator/>
      </w:r>
    </w:p>
  </w:footnote>
  <w:footnote w:type="continuationSeparator" w:id="0">
    <w:p w:rsidR="0093551A" w:rsidRDefault="0093551A" w:rsidP="00866F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FD" w:rsidRDefault="006D79F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C9D"/>
    <w:multiLevelType w:val="hybridMultilevel"/>
    <w:tmpl w:val="C4C0B2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12BA4"/>
    <w:multiLevelType w:val="hybridMultilevel"/>
    <w:tmpl w:val="B700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C1C65"/>
    <w:multiLevelType w:val="hybridMultilevel"/>
    <w:tmpl w:val="C54A37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4C3DED"/>
    <w:multiLevelType w:val="hybridMultilevel"/>
    <w:tmpl w:val="C440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6399C"/>
    <w:multiLevelType w:val="hybridMultilevel"/>
    <w:tmpl w:val="890C17BA"/>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5">
    <w:nsid w:val="0E434E64"/>
    <w:multiLevelType w:val="hybridMultilevel"/>
    <w:tmpl w:val="3C06397C"/>
    <w:lvl w:ilvl="0" w:tplc="83304CA0">
      <w:start w:val="1"/>
      <w:numFmt w:val="decimal"/>
      <w:lvlText w:val="%1."/>
      <w:lvlJc w:val="left"/>
      <w:pPr>
        <w:ind w:left="41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6">
    <w:nsid w:val="0E4F204C"/>
    <w:multiLevelType w:val="hybridMultilevel"/>
    <w:tmpl w:val="6C00D4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160490A"/>
    <w:multiLevelType w:val="hybridMultilevel"/>
    <w:tmpl w:val="B0CE3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D27F38"/>
    <w:multiLevelType w:val="hybridMultilevel"/>
    <w:tmpl w:val="FC888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0012AB"/>
    <w:multiLevelType w:val="hybridMultilevel"/>
    <w:tmpl w:val="A78417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8D5636C"/>
    <w:multiLevelType w:val="hybridMultilevel"/>
    <w:tmpl w:val="CC8A7EAC"/>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11">
    <w:nsid w:val="19352C6D"/>
    <w:multiLevelType w:val="hybridMultilevel"/>
    <w:tmpl w:val="2DDA77D2"/>
    <w:lvl w:ilvl="0" w:tplc="83304C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43112"/>
    <w:multiLevelType w:val="hybridMultilevel"/>
    <w:tmpl w:val="F52E7B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F60BA5"/>
    <w:multiLevelType w:val="hybridMultilevel"/>
    <w:tmpl w:val="FC88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C31729"/>
    <w:multiLevelType w:val="hybridMultilevel"/>
    <w:tmpl w:val="847CE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690594"/>
    <w:multiLevelType w:val="hybridMultilevel"/>
    <w:tmpl w:val="80BE6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4796EB0"/>
    <w:multiLevelType w:val="hybridMultilevel"/>
    <w:tmpl w:val="16C2800A"/>
    <w:lvl w:ilvl="0" w:tplc="26A01B4A">
      <w:start w:val="3"/>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7">
    <w:nsid w:val="298509EE"/>
    <w:multiLevelType w:val="hybridMultilevel"/>
    <w:tmpl w:val="C54A37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17306"/>
    <w:multiLevelType w:val="hybridMultilevel"/>
    <w:tmpl w:val="EA964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D5B3FAE"/>
    <w:multiLevelType w:val="hybridMultilevel"/>
    <w:tmpl w:val="6C9C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A7A85"/>
    <w:multiLevelType w:val="hybridMultilevel"/>
    <w:tmpl w:val="3DC2C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406422"/>
    <w:multiLevelType w:val="hybridMultilevel"/>
    <w:tmpl w:val="4C20B8F8"/>
    <w:lvl w:ilvl="0" w:tplc="0409000F">
      <w:start w:val="1"/>
      <w:numFmt w:val="decimal"/>
      <w:lvlText w:val="%1."/>
      <w:lvlJc w:val="left"/>
      <w:pPr>
        <w:ind w:left="938" w:hanging="360"/>
      </w:p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2">
    <w:nsid w:val="3E7C52B1"/>
    <w:multiLevelType w:val="hybridMultilevel"/>
    <w:tmpl w:val="09126C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3">
    <w:nsid w:val="43403516"/>
    <w:multiLevelType w:val="hybridMultilevel"/>
    <w:tmpl w:val="74F68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E554AA"/>
    <w:multiLevelType w:val="hybridMultilevel"/>
    <w:tmpl w:val="7E586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7E1B3B"/>
    <w:multiLevelType w:val="hybridMultilevel"/>
    <w:tmpl w:val="A060F7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68628D9"/>
    <w:multiLevelType w:val="hybridMultilevel"/>
    <w:tmpl w:val="95C64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8F4448"/>
    <w:multiLevelType w:val="hybridMultilevel"/>
    <w:tmpl w:val="2BD4D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14280"/>
    <w:multiLevelType w:val="hybridMultilevel"/>
    <w:tmpl w:val="B95C7E6A"/>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29">
    <w:nsid w:val="67E33592"/>
    <w:multiLevelType w:val="hybridMultilevel"/>
    <w:tmpl w:val="F1E80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B28378F"/>
    <w:multiLevelType w:val="hybridMultilevel"/>
    <w:tmpl w:val="5D888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D2035D1"/>
    <w:multiLevelType w:val="hybridMultilevel"/>
    <w:tmpl w:val="CD2A40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2BB4371"/>
    <w:multiLevelType w:val="hybridMultilevel"/>
    <w:tmpl w:val="33F6D386"/>
    <w:lvl w:ilvl="0" w:tplc="83304C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DA254A"/>
    <w:multiLevelType w:val="hybridMultilevel"/>
    <w:tmpl w:val="61824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84C3EAF"/>
    <w:multiLevelType w:val="hybridMultilevel"/>
    <w:tmpl w:val="E2427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1"/>
  </w:num>
  <w:num w:numId="3">
    <w:abstractNumId w:val="20"/>
  </w:num>
  <w:num w:numId="4">
    <w:abstractNumId w:val="18"/>
  </w:num>
  <w:num w:numId="5">
    <w:abstractNumId w:val="8"/>
  </w:num>
  <w:num w:numId="6">
    <w:abstractNumId w:val="3"/>
  </w:num>
  <w:num w:numId="7">
    <w:abstractNumId w:val="29"/>
  </w:num>
  <w:num w:numId="8">
    <w:abstractNumId w:val="13"/>
  </w:num>
  <w:num w:numId="9">
    <w:abstractNumId w:val="23"/>
  </w:num>
  <w:num w:numId="10">
    <w:abstractNumId w:val="19"/>
  </w:num>
  <w:num w:numId="11">
    <w:abstractNumId w:val="22"/>
  </w:num>
  <w:num w:numId="12">
    <w:abstractNumId w:val="33"/>
  </w:num>
  <w:num w:numId="13">
    <w:abstractNumId w:val="25"/>
  </w:num>
  <w:num w:numId="14">
    <w:abstractNumId w:val="27"/>
  </w:num>
  <w:num w:numId="15">
    <w:abstractNumId w:val="6"/>
  </w:num>
  <w:num w:numId="16">
    <w:abstractNumId w:val="15"/>
  </w:num>
  <w:num w:numId="17">
    <w:abstractNumId w:val="26"/>
  </w:num>
  <w:num w:numId="18">
    <w:abstractNumId w:val="30"/>
  </w:num>
  <w:num w:numId="19">
    <w:abstractNumId w:val="9"/>
  </w:num>
  <w:num w:numId="20">
    <w:abstractNumId w:val="28"/>
  </w:num>
  <w:num w:numId="21">
    <w:abstractNumId w:val="10"/>
  </w:num>
  <w:num w:numId="22">
    <w:abstractNumId w:val="24"/>
  </w:num>
  <w:num w:numId="23">
    <w:abstractNumId w:val="2"/>
  </w:num>
  <w:num w:numId="24">
    <w:abstractNumId w:val="17"/>
  </w:num>
  <w:num w:numId="25">
    <w:abstractNumId w:val="7"/>
  </w:num>
  <w:num w:numId="26">
    <w:abstractNumId w:val="31"/>
  </w:num>
  <w:num w:numId="27">
    <w:abstractNumId w:val="0"/>
  </w:num>
  <w:num w:numId="28">
    <w:abstractNumId w:val="16"/>
  </w:num>
  <w:num w:numId="29">
    <w:abstractNumId w:val="32"/>
  </w:num>
  <w:num w:numId="30">
    <w:abstractNumId w:val="5"/>
  </w:num>
  <w:num w:numId="31">
    <w:abstractNumId w:val="11"/>
  </w:num>
  <w:num w:numId="32">
    <w:abstractNumId w:val="1"/>
  </w:num>
  <w:num w:numId="33">
    <w:abstractNumId w:val="4"/>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FF5"/>
    <w:rsid w:val="0000026E"/>
    <w:rsid w:val="0002037E"/>
    <w:rsid w:val="000375B9"/>
    <w:rsid w:val="000523BC"/>
    <w:rsid w:val="0005612F"/>
    <w:rsid w:val="00066223"/>
    <w:rsid w:val="000900C1"/>
    <w:rsid w:val="000A6E31"/>
    <w:rsid w:val="000B4F15"/>
    <w:rsid w:val="000C4800"/>
    <w:rsid w:val="000E06B5"/>
    <w:rsid w:val="00123DE6"/>
    <w:rsid w:val="00142A7E"/>
    <w:rsid w:val="00145827"/>
    <w:rsid w:val="0016707E"/>
    <w:rsid w:val="00172627"/>
    <w:rsid w:val="001774ED"/>
    <w:rsid w:val="001B3CFD"/>
    <w:rsid w:val="001C4907"/>
    <w:rsid w:val="002051A4"/>
    <w:rsid w:val="002125DE"/>
    <w:rsid w:val="002168E2"/>
    <w:rsid w:val="00225D72"/>
    <w:rsid w:val="00225DED"/>
    <w:rsid w:val="00246AF7"/>
    <w:rsid w:val="002A62BB"/>
    <w:rsid w:val="002C55F2"/>
    <w:rsid w:val="002F043A"/>
    <w:rsid w:val="00311A68"/>
    <w:rsid w:val="00325186"/>
    <w:rsid w:val="00327FE6"/>
    <w:rsid w:val="00337D29"/>
    <w:rsid w:val="00347048"/>
    <w:rsid w:val="003520E8"/>
    <w:rsid w:val="00391624"/>
    <w:rsid w:val="003A128B"/>
    <w:rsid w:val="003C1486"/>
    <w:rsid w:val="00421E4B"/>
    <w:rsid w:val="004840B4"/>
    <w:rsid w:val="004A0FC1"/>
    <w:rsid w:val="004A119A"/>
    <w:rsid w:val="004A1BD9"/>
    <w:rsid w:val="004A1E6F"/>
    <w:rsid w:val="004B0185"/>
    <w:rsid w:val="004B439C"/>
    <w:rsid w:val="004E1381"/>
    <w:rsid w:val="004E4DBA"/>
    <w:rsid w:val="0050379C"/>
    <w:rsid w:val="005169C0"/>
    <w:rsid w:val="00524941"/>
    <w:rsid w:val="005278A2"/>
    <w:rsid w:val="00530D3A"/>
    <w:rsid w:val="00546ADD"/>
    <w:rsid w:val="00554E22"/>
    <w:rsid w:val="0056594F"/>
    <w:rsid w:val="00572DD6"/>
    <w:rsid w:val="00583290"/>
    <w:rsid w:val="005B1208"/>
    <w:rsid w:val="005B3751"/>
    <w:rsid w:val="005B5658"/>
    <w:rsid w:val="005F4A92"/>
    <w:rsid w:val="005F6FA9"/>
    <w:rsid w:val="006867DF"/>
    <w:rsid w:val="00692405"/>
    <w:rsid w:val="006D79FD"/>
    <w:rsid w:val="006E45B7"/>
    <w:rsid w:val="006E5114"/>
    <w:rsid w:val="007542A0"/>
    <w:rsid w:val="0078659D"/>
    <w:rsid w:val="007A16FF"/>
    <w:rsid w:val="007A55ED"/>
    <w:rsid w:val="007E7B94"/>
    <w:rsid w:val="00834ADE"/>
    <w:rsid w:val="00842A04"/>
    <w:rsid w:val="00866FF5"/>
    <w:rsid w:val="00880582"/>
    <w:rsid w:val="008D0190"/>
    <w:rsid w:val="008D1DBA"/>
    <w:rsid w:val="0090287A"/>
    <w:rsid w:val="0090735B"/>
    <w:rsid w:val="009238CB"/>
    <w:rsid w:val="00924F39"/>
    <w:rsid w:val="0093551A"/>
    <w:rsid w:val="00952E9E"/>
    <w:rsid w:val="00956DE0"/>
    <w:rsid w:val="009B0380"/>
    <w:rsid w:val="009D3EDA"/>
    <w:rsid w:val="00A80EE4"/>
    <w:rsid w:val="00AF795C"/>
    <w:rsid w:val="00B26F4B"/>
    <w:rsid w:val="00B34C8A"/>
    <w:rsid w:val="00B533F8"/>
    <w:rsid w:val="00B571C1"/>
    <w:rsid w:val="00B77736"/>
    <w:rsid w:val="00B91385"/>
    <w:rsid w:val="00BA1661"/>
    <w:rsid w:val="00BA53BE"/>
    <w:rsid w:val="00C04E3E"/>
    <w:rsid w:val="00C30E97"/>
    <w:rsid w:val="00C42AFA"/>
    <w:rsid w:val="00C76FAD"/>
    <w:rsid w:val="00CD57F2"/>
    <w:rsid w:val="00CF0EE4"/>
    <w:rsid w:val="00D84D3E"/>
    <w:rsid w:val="00DB1E7C"/>
    <w:rsid w:val="00DB5EF6"/>
    <w:rsid w:val="00DC3176"/>
    <w:rsid w:val="00DF312A"/>
    <w:rsid w:val="00E077C4"/>
    <w:rsid w:val="00E83AC3"/>
    <w:rsid w:val="00EA1B7E"/>
    <w:rsid w:val="00ED506B"/>
    <w:rsid w:val="00ED6CAF"/>
    <w:rsid w:val="00EE4BB5"/>
    <w:rsid w:val="00EF4E88"/>
    <w:rsid w:val="00F51016"/>
    <w:rsid w:val="00F5159F"/>
    <w:rsid w:val="00F77434"/>
    <w:rsid w:val="00F94085"/>
    <w:rsid w:val="00FB76FA"/>
    <w:rsid w:val="00FD5D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FF5"/>
    <w:pPr>
      <w:tabs>
        <w:tab w:val="center" w:pos="4153"/>
        <w:tab w:val="right" w:pos="8306"/>
      </w:tabs>
      <w:spacing w:after="0" w:line="240" w:lineRule="auto"/>
    </w:pPr>
  </w:style>
  <w:style w:type="character" w:customStyle="1" w:styleId="a4">
    <w:name w:val="כותרת עליונה תו"/>
    <w:basedOn w:val="a0"/>
    <w:link w:val="a3"/>
    <w:uiPriority w:val="99"/>
    <w:rsid w:val="00866FF5"/>
  </w:style>
  <w:style w:type="paragraph" w:styleId="a5">
    <w:name w:val="footer"/>
    <w:basedOn w:val="a"/>
    <w:link w:val="a6"/>
    <w:uiPriority w:val="99"/>
    <w:unhideWhenUsed/>
    <w:rsid w:val="00866FF5"/>
    <w:pPr>
      <w:tabs>
        <w:tab w:val="center" w:pos="4153"/>
        <w:tab w:val="right" w:pos="8306"/>
      </w:tabs>
      <w:spacing w:after="0" w:line="240" w:lineRule="auto"/>
    </w:pPr>
  </w:style>
  <w:style w:type="character" w:customStyle="1" w:styleId="a6">
    <w:name w:val="כותרת תחתונה תו"/>
    <w:basedOn w:val="a0"/>
    <w:link w:val="a5"/>
    <w:uiPriority w:val="99"/>
    <w:rsid w:val="00866FF5"/>
  </w:style>
  <w:style w:type="paragraph" w:styleId="a7">
    <w:name w:val="Balloon Text"/>
    <w:basedOn w:val="a"/>
    <w:link w:val="a8"/>
    <w:uiPriority w:val="99"/>
    <w:semiHidden/>
    <w:unhideWhenUsed/>
    <w:rsid w:val="00866FF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66FF5"/>
    <w:rPr>
      <w:rFonts w:ascii="Tahoma" w:hAnsi="Tahoma" w:cs="Tahoma"/>
      <w:sz w:val="16"/>
      <w:szCs w:val="16"/>
    </w:rPr>
  </w:style>
  <w:style w:type="paragraph" w:styleId="a9">
    <w:name w:val="List Paragraph"/>
    <w:basedOn w:val="a"/>
    <w:uiPriority w:val="34"/>
    <w:qFormat/>
    <w:rsid w:val="00866F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6FF5"/>
    <w:pPr>
      <w:tabs>
        <w:tab w:val="center" w:pos="4153"/>
        <w:tab w:val="right" w:pos="8306"/>
      </w:tabs>
      <w:spacing w:after="0" w:line="240" w:lineRule="auto"/>
    </w:pPr>
  </w:style>
  <w:style w:type="character" w:customStyle="1" w:styleId="a4">
    <w:name w:val="כותרת עליונה תו"/>
    <w:basedOn w:val="a0"/>
    <w:link w:val="a3"/>
    <w:uiPriority w:val="99"/>
    <w:rsid w:val="00866FF5"/>
  </w:style>
  <w:style w:type="paragraph" w:styleId="a5">
    <w:name w:val="footer"/>
    <w:basedOn w:val="a"/>
    <w:link w:val="a6"/>
    <w:uiPriority w:val="99"/>
    <w:unhideWhenUsed/>
    <w:rsid w:val="00866FF5"/>
    <w:pPr>
      <w:tabs>
        <w:tab w:val="center" w:pos="4153"/>
        <w:tab w:val="right" w:pos="8306"/>
      </w:tabs>
      <w:spacing w:after="0" w:line="240" w:lineRule="auto"/>
    </w:pPr>
  </w:style>
  <w:style w:type="character" w:customStyle="1" w:styleId="a6">
    <w:name w:val="כותרת תחתונה תו"/>
    <w:basedOn w:val="a0"/>
    <w:link w:val="a5"/>
    <w:uiPriority w:val="99"/>
    <w:rsid w:val="00866FF5"/>
  </w:style>
  <w:style w:type="paragraph" w:styleId="a7">
    <w:name w:val="Balloon Text"/>
    <w:basedOn w:val="a"/>
    <w:link w:val="a8"/>
    <w:uiPriority w:val="99"/>
    <w:semiHidden/>
    <w:unhideWhenUsed/>
    <w:rsid w:val="00866FF5"/>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66FF5"/>
    <w:rPr>
      <w:rFonts w:ascii="Tahoma" w:hAnsi="Tahoma" w:cs="Tahoma"/>
      <w:sz w:val="16"/>
      <w:szCs w:val="16"/>
    </w:rPr>
  </w:style>
  <w:style w:type="paragraph" w:styleId="a9">
    <w:name w:val="List Paragraph"/>
    <w:basedOn w:val="a"/>
    <w:uiPriority w:val="34"/>
    <w:qFormat/>
    <w:rsid w:val="00866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13CAC-7576-4616-AD1A-ACEA7F30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9</Pages>
  <Words>3534</Words>
  <Characters>17671</Characters>
  <Application>Microsoft Office Word</Application>
  <DocSecurity>0</DocSecurity>
  <Lines>147</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ben hur</dc:creator>
  <cp:lastModifiedBy>Jonathan Ben Hur</cp:lastModifiedBy>
  <cp:revision>104</cp:revision>
  <dcterms:created xsi:type="dcterms:W3CDTF">2012-02-06T03:00:00Z</dcterms:created>
  <dcterms:modified xsi:type="dcterms:W3CDTF">2013-07-01T18:47:00Z</dcterms:modified>
</cp:coreProperties>
</file>