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6BF" w:rsidRDefault="00AE1C7C" w:rsidP="00AE1C7C">
      <w:pPr>
        <w:jc w:val="right"/>
        <w:rPr>
          <w:rFonts w:cs="David"/>
          <w:sz w:val="24"/>
          <w:szCs w:val="24"/>
          <w:rtl/>
        </w:rPr>
      </w:pPr>
      <w:r>
        <w:rPr>
          <w:rFonts w:cs="David" w:hint="cs"/>
          <w:sz w:val="24"/>
          <w:szCs w:val="24"/>
          <w:rtl/>
        </w:rPr>
        <w:t>טלי גוברמן</w:t>
      </w:r>
    </w:p>
    <w:p w:rsidR="00E30761" w:rsidRDefault="000446BF" w:rsidP="00AE1C7C">
      <w:pPr>
        <w:rPr>
          <w:rFonts w:cs="David"/>
          <w:sz w:val="24"/>
          <w:szCs w:val="24"/>
          <w:rtl/>
        </w:rPr>
      </w:pPr>
      <w:r>
        <w:rPr>
          <w:rFonts w:cs="David" w:hint="cs"/>
          <w:sz w:val="24"/>
          <w:szCs w:val="24"/>
          <w:rtl/>
        </w:rPr>
        <w:t>עבודה 1 בחוקתי</w:t>
      </w:r>
    </w:p>
    <w:p w:rsidR="000446BF" w:rsidRPr="00A85562" w:rsidRDefault="00A85562" w:rsidP="00FF65DD">
      <w:pPr>
        <w:spacing w:line="360" w:lineRule="auto"/>
        <w:rPr>
          <w:rFonts w:cs="David"/>
          <w:sz w:val="24"/>
          <w:szCs w:val="24"/>
          <w:rtl/>
        </w:rPr>
      </w:pPr>
      <w:r w:rsidRPr="00A85562">
        <w:rPr>
          <w:rFonts w:cs="David" w:hint="cs"/>
          <w:sz w:val="24"/>
          <w:szCs w:val="24"/>
          <w:rtl/>
        </w:rPr>
        <w:t>א.</w:t>
      </w:r>
      <w:r>
        <w:rPr>
          <w:rFonts w:cs="David" w:hint="cs"/>
          <w:sz w:val="24"/>
          <w:szCs w:val="24"/>
          <w:rtl/>
        </w:rPr>
        <w:t xml:space="preserve"> </w:t>
      </w:r>
      <w:r w:rsidR="000446BF" w:rsidRPr="00A85562">
        <w:rPr>
          <w:rFonts w:cs="David" w:hint="cs"/>
          <w:sz w:val="24"/>
          <w:szCs w:val="24"/>
          <w:rtl/>
        </w:rPr>
        <w:t xml:space="preserve">בבחינת הסעיף החדש לחוק העונשין, העוסק באיסור פרסום מודעות על טיפול רוחני או מיסטי </w:t>
      </w:r>
      <w:r w:rsidR="00B27428" w:rsidRPr="00A85562">
        <w:rPr>
          <w:rFonts w:cs="David" w:hint="cs"/>
          <w:sz w:val="24"/>
          <w:szCs w:val="24"/>
          <w:rtl/>
        </w:rPr>
        <w:t xml:space="preserve">יש </w:t>
      </w:r>
      <w:r w:rsidR="00377F6C" w:rsidRPr="00A85562">
        <w:rPr>
          <w:rFonts w:cs="David" w:hint="cs"/>
          <w:sz w:val="24"/>
          <w:szCs w:val="24"/>
          <w:rtl/>
        </w:rPr>
        <w:t xml:space="preserve">ראשית </w:t>
      </w:r>
      <w:r w:rsidR="00B27428" w:rsidRPr="00A85562">
        <w:rPr>
          <w:rFonts w:cs="David" w:hint="cs"/>
          <w:sz w:val="24"/>
          <w:szCs w:val="24"/>
          <w:rtl/>
        </w:rPr>
        <w:t xml:space="preserve">לבצע בחינה חוקתית בעלת שני שלבים- </w:t>
      </w:r>
      <w:r w:rsidR="0089459A" w:rsidRPr="00A85562">
        <w:rPr>
          <w:rFonts w:cs="David" w:hint="cs"/>
          <w:sz w:val="24"/>
          <w:szCs w:val="24"/>
          <w:rtl/>
        </w:rPr>
        <w:t xml:space="preserve">האם נפגעה זכות אדם, והאם </w:t>
      </w:r>
      <w:r w:rsidR="00FF65DD">
        <w:rPr>
          <w:rFonts w:cs="David" w:hint="cs"/>
          <w:sz w:val="24"/>
          <w:szCs w:val="24"/>
          <w:rtl/>
        </w:rPr>
        <w:t>ה</w:t>
      </w:r>
      <w:r w:rsidR="0089459A" w:rsidRPr="00A85562">
        <w:rPr>
          <w:rFonts w:cs="David" w:hint="cs"/>
          <w:sz w:val="24"/>
          <w:szCs w:val="24"/>
          <w:rtl/>
        </w:rPr>
        <w:t>זכות מעוגנת בחוק יסוד</w:t>
      </w:r>
      <w:r w:rsidR="0089459A">
        <w:rPr>
          <w:rStyle w:val="a5"/>
          <w:rFonts w:cs="David"/>
          <w:sz w:val="24"/>
          <w:szCs w:val="24"/>
          <w:rtl/>
        </w:rPr>
        <w:footnoteReference w:id="1"/>
      </w:r>
      <w:r w:rsidR="0089459A" w:rsidRPr="00A85562">
        <w:rPr>
          <w:rFonts w:cs="David" w:hint="cs"/>
          <w:sz w:val="24"/>
          <w:szCs w:val="24"/>
          <w:rtl/>
        </w:rPr>
        <w:t xml:space="preserve">.  </w:t>
      </w:r>
    </w:p>
    <w:p w:rsidR="004B0C64" w:rsidRDefault="004B0C64" w:rsidP="006722DC">
      <w:pPr>
        <w:spacing w:line="360" w:lineRule="auto"/>
        <w:rPr>
          <w:rFonts w:cs="David"/>
          <w:sz w:val="24"/>
          <w:szCs w:val="24"/>
          <w:rtl/>
        </w:rPr>
      </w:pPr>
      <w:r>
        <w:rPr>
          <w:rFonts w:cs="David" w:hint="cs"/>
          <w:sz w:val="24"/>
          <w:szCs w:val="24"/>
          <w:rtl/>
        </w:rPr>
        <w:t>הזכויות הנפגעות כתוצאה מהחוק- זכות לחופש העיסוק, כבוד, שו</w:t>
      </w:r>
      <w:r w:rsidR="00FF65DD">
        <w:rPr>
          <w:rFonts w:cs="David" w:hint="cs"/>
          <w:sz w:val="24"/>
          <w:szCs w:val="24"/>
          <w:rtl/>
        </w:rPr>
        <w:t>ויון, חופש הביטוי</w:t>
      </w:r>
      <w:r>
        <w:rPr>
          <w:rFonts w:cs="David" w:hint="cs"/>
          <w:sz w:val="24"/>
          <w:szCs w:val="24"/>
          <w:rtl/>
        </w:rPr>
        <w:t xml:space="preserve">, </w:t>
      </w:r>
      <w:r w:rsidR="000B1F17">
        <w:rPr>
          <w:rFonts w:cs="David" w:hint="cs"/>
          <w:sz w:val="24"/>
          <w:szCs w:val="24"/>
          <w:rtl/>
        </w:rPr>
        <w:t>וכן הזכות לקניין (בהטלת הקנס) ול</w:t>
      </w:r>
      <w:r>
        <w:rPr>
          <w:rFonts w:cs="David" w:hint="cs"/>
          <w:sz w:val="24"/>
          <w:szCs w:val="24"/>
          <w:rtl/>
        </w:rPr>
        <w:t>חירות (עונש המאסר)</w:t>
      </w:r>
      <w:r w:rsidR="000B1F17">
        <w:rPr>
          <w:rFonts w:cs="David" w:hint="cs"/>
          <w:sz w:val="24"/>
          <w:szCs w:val="24"/>
          <w:rtl/>
        </w:rPr>
        <w:t>.</w:t>
      </w:r>
      <w:r w:rsidR="005B446F">
        <w:rPr>
          <w:rFonts w:cs="David" w:hint="cs"/>
          <w:sz w:val="24"/>
          <w:szCs w:val="24"/>
          <w:rtl/>
        </w:rPr>
        <w:t xml:space="preserve"> </w:t>
      </w:r>
    </w:p>
    <w:p w:rsidR="003A1745" w:rsidRDefault="000B1F17" w:rsidP="00FF65DD">
      <w:pPr>
        <w:spacing w:line="360" w:lineRule="auto"/>
        <w:rPr>
          <w:rFonts w:cs="David"/>
          <w:sz w:val="24"/>
          <w:szCs w:val="24"/>
          <w:rtl/>
        </w:rPr>
      </w:pPr>
      <w:r>
        <w:rPr>
          <w:rFonts w:cs="David" w:hint="cs"/>
          <w:sz w:val="24"/>
          <w:szCs w:val="24"/>
          <w:rtl/>
        </w:rPr>
        <w:t>טענה ראשונה היא</w:t>
      </w:r>
      <w:r w:rsidR="0032769E">
        <w:rPr>
          <w:rFonts w:cs="David" w:hint="cs"/>
          <w:sz w:val="24"/>
          <w:szCs w:val="24"/>
          <w:rtl/>
        </w:rPr>
        <w:t xml:space="preserve"> </w:t>
      </w:r>
      <w:r>
        <w:rPr>
          <w:rFonts w:cs="David" w:hint="cs"/>
          <w:sz w:val="24"/>
          <w:szCs w:val="24"/>
          <w:rtl/>
        </w:rPr>
        <w:t>ש</w:t>
      </w:r>
      <w:r w:rsidR="0032769E">
        <w:rPr>
          <w:rFonts w:cs="David" w:hint="cs"/>
          <w:sz w:val="24"/>
          <w:szCs w:val="24"/>
          <w:rtl/>
        </w:rPr>
        <w:t xml:space="preserve">החוק פוגע </w:t>
      </w:r>
      <w:r>
        <w:rPr>
          <w:rFonts w:cs="David" w:hint="cs"/>
          <w:sz w:val="24"/>
          <w:szCs w:val="24"/>
          <w:rtl/>
        </w:rPr>
        <w:t>משמעותית</w:t>
      </w:r>
      <w:r w:rsidR="0032769E">
        <w:rPr>
          <w:rFonts w:cs="David" w:hint="cs"/>
          <w:sz w:val="24"/>
          <w:szCs w:val="24"/>
          <w:rtl/>
        </w:rPr>
        <w:t xml:space="preserve"> בחוק יסוד: חופש העיסוק</w:t>
      </w:r>
      <w:r w:rsidR="0032769E">
        <w:rPr>
          <w:rStyle w:val="a5"/>
          <w:rFonts w:cs="David"/>
          <w:sz w:val="24"/>
          <w:szCs w:val="24"/>
          <w:rtl/>
        </w:rPr>
        <w:footnoteReference w:id="2"/>
      </w:r>
      <w:r w:rsidR="0032769E">
        <w:rPr>
          <w:rFonts w:cs="David" w:hint="cs"/>
          <w:sz w:val="24"/>
          <w:szCs w:val="24"/>
          <w:rtl/>
        </w:rPr>
        <w:t xml:space="preserve">. </w:t>
      </w:r>
      <w:r w:rsidR="007B067E">
        <w:rPr>
          <w:rFonts w:cs="David" w:hint="cs"/>
          <w:sz w:val="24"/>
          <w:szCs w:val="24"/>
          <w:rtl/>
        </w:rPr>
        <w:t xml:space="preserve">דרך הפרסום פונה ללקוחות רבים, והיא יעילה ביותר למודעות הלקוחות למטפלים כאלה ואחרים. </w:t>
      </w:r>
      <w:r w:rsidR="003A1745">
        <w:rPr>
          <w:rFonts w:cs="David" w:hint="cs"/>
          <w:sz w:val="24"/>
          <w:szCs w:val="24"/>
          <w:rtl/>
        </w:rPr>
        <w:t xml:space="preserve">בעצם </w:t>
      </w:r>
      <w:r w:rsidR="00FF65DD">
        <w:rPr>
          <w:rFonts w:cs="David" w:hint="cs"/>
          <w:sz w:val="24"/>
          <w:szCs w:val="24"/>
          <w:rtl/>
        </w:rPr>
        <w:t>מניעת</w:t>
      </w:r>
      <w:r w:rsidR="003A1745">
        <w:rPr>
          <w:rFonts w:cs="David" w:hint="cs"/>
          <w:sz w:val="24"/>
          <w:szCs w:val="24"/>
          <w:rtl/>
        </w:rPr>
        <w:t xml:space="preserve"> </w:t>
      </w:r>
      <w:r w:rsidR="00FF65DD">
        <w:rPr>
          <w:rFonts w:cs="David" w:hint="cs"/>
          <w:sz w:val="24"/>
          <w:szCs w:val="24"/>
          <w:rtl/>
        </w:rPr>
        <w:t>ה</w:t>
      </w:r>
      <w:r w:rsidR="003A1745">
        <w:rPr>
          <w:rFonts w:cs="David" w:hint="cs"/>
          <w:sz w:val="24"/>
          <w:szCs w:val="24"/>
          <w:rtl/>
        </w:rPr>
        <w:t>פרסום של מטפלים רוחניים ומיסטיים</w:t>
      </w:r>
      <w:r w:rsidR="007B067E">
        <w:rPr>
          <w:rFonts w:cs="David" w:hint="cs"/>
          <w:sz w:val="24"/>
          <w:szCs w:val="24"/>
          <w:rtl/>
        </w:rPr>
        <w:t>,</w:t>
      </w:r>
      <w:r w:rsidR="003A1745">
        <w:rPr>
          <w:rFonts w:cs="David" w:hint="cs"/>
          <w:sz w:val="24"/>
          <w:szCs w:val="24"/>
          <w:rtl/>
        </w:rPr>
        <w:t xml:space="preserve"> יש פגיעה מהותית בחופש העיסוק שלהם </w:t>
      </w:r>
      <w:r w:rsidR="007B067E">
        <w:rPr>
          <w:rFonts w:cs="David" w:hint="cs"/>
          <w:sz w:val="24"/>
          <w:szCs w:val="24"/>
          <w:rtl/>
        </w:rPr>
        <w:t>מפני שהפרסום בדבר מתן השירותים היא הדרך המרכזית בה חושפים עצמם המטפלים אל קהל לקוחות</w:t>
      </w:r>
      <w:r w:rsidR="00FF65DD">
        <w:rPr>
          <w:rFonts w:cs="David" w:hint="cs"/>
          <w:sz w:val="24"/>
          <w:szCs w:val="24"/>
          <w:rtl/>
        </w:rPr>
        <w:t xml:space="preserve"> פוטנציאלי</w:t>
      </w:r>
      <w:r w:rsidR="001F1378">
        <w:rPr>
          <w:rFonts w:cs="David" w:hint="cs"/>
          <w:sz w:val="24"/>
          <w:szCs w:val="24"/>
          <w:rtl/>
        </w:rPr>
        <w:t>.</w:t>
      </w:r>
      <w:r w:rsidR="007B067E">
        <w:rPr>
          <w:rFonts w:cs="David" w:hint="cs"/>
          <w:sz w:val="24"/>
          <w:szCs w:val="24"/>
          <w:rtl/>
        </w:rPr>
        <w:t xml:space="preserve"> בשלילת אמצעי פרסום זה, יחול כרסום בנפח עבודתם שיכול להוות </w:t>
      </w:r>
      <w:r w:rsidR="001F1378">
        <w:rPr>
          <w:rFonts w:cs="David" w:hint="cs"/>
          <w:sz w:val="24"/>
          <w:szCs w:val="24"/>
          <w:rtl/>
        </w:rPr>
        <w:t>פגיעה ניכרת בפרנסתם, ומכאן הפגיעה בחו</w:t>
      </w:r>
      <w:r w:rsidR="003B7EE7">
        <w:rPr>
          <w:rFonts w:cs="David" w:hint="cs"/>
          <w:sz w:val="24"/>
          <w:szCs w:val="24"/>
          <w:rtl/>
        </w:rPr>
        <w:t xml:space="preserve">פש </w:t>
      </w:r>
      <w:r w:rsidR="001F1378">
        <w:rPr>
          <w:rFonts w:cs="David" w:hint="cs"/>
          <w:sz w:val="24"/>
          <w:szCs w:val="24"/>
          <w:rtl/>
        </w:rPr>
        <w:t>הע</w:t>
      </w:r>
      <w:r w:rsidR="003B7EE7">
        <w:rPr>
          <w:rFonts w:cs="David" w:hint="cs"/>
          <w:sz w:val="24"/>
          <w:szCs w:val="24"/>
          <w:rtl/>
        </w:rPr>
        <w:t>יסוק</w:t>
      </w:r>
      <w:r w:rsidR="001F1378">
        <w:rPr>
          <w:rFonts w:cs="David" w:hint="cs"/>
          <w:sz w:val="24"/>
          <w:szCs w:val="24"/>
          <w:rtl/>
        </w:rPr>
        <w:t>.</w:t>
      </w:r>
    </w:p>
    <w:p w:rsidR="0032769E" w:rsidRDefault="003A1745" w:rsidP="00FF65DD">
      <w:pPr>
        <w:spacing w:line="360" w:lineRule="auto"/>
        <w:rPr>
          <w:rFonts w:cs="David"/>
          <w:sz w:val="24"/>
          <w:szCs w:val="24"/>
          <w:rtl/>
        </w:rPr>
      </w:pPr>
      <w:r>
        <w:rPr>
          <w:rFonts w:cs="David" w:hint="cs"/>
          <w:sz w:val="24"/>
          <w:szCs w:val="24"/>
          <w:rtl/>
        </w:rPr>
        <w:t xml:space="preserve">המבחן השני הוא </w:t>
      </w:r>
      <w:r w:rsidR="001F1378">
        <w:rPr>
          <w:rFonts w:cs="David" w:hint="cs"/>
          <w:sz w:val="24"/>
          <w:szCs w:val="24"/>
          <w:rtl/>
        </w:rPr>
        <w:t>האם</w:t>
      </w:r>
      <w:r>
        <w:rPr>
          <w:rFonts w:cs="David" w:hint="cs"/>
          <w:sz w:val="24"/>
          <w:szCs w:val="24"/>
          <w:rtl/>
        </w:rPr>
        <w:t xml:space="preserve"> זכות האדם הנפגעת מעוגנת בחוק יסוד</w:t>
      </w:r>
      <w:r>
        <w:rPr>
          <w:rStyle w:val="a5"/>
          <w:rFonts w:cs="David"/>
          <w:sz w:val="24"/>
          <w:szCs w:val="24"/>
          <w:rtl/>
        </w:rPr>
        <w:footnoteReference w:id="3"/>
      </w:r>
      <w:r w:rsidR="009B7AA2">
        <w:rPr>
          <w:rFonts w:cs="David" w:hint="cs"/>
          <w:sz w:val="24"/>
          <w:szCs w:val="24"/>
          <w:rtl/>
        </w:rPr>
        <w:t xml:space="preserve">, </w:t>
      </w:r>
      <w:r w:rsidR="001F1378">
        <w:rPr>
          <w:rFonts w:cs="David" w:hint="cs"/>
          <w:sz w:val="24"/>
          <w:szCs w:val="24"/>
          <w:rtl/>
        </w:rPr>
        <w:t>לא כל פגיעה בזכו</w:t>
      </w:r>
      <w:r w:rsidR="00FF65DD">
        <w:rPr>
          <w:rFonts w:cs="David" w:hint="cs"/>
          <w:sz w:val="24"/>
          <w:szCs w:val="24"/>
          <w:rtl/>
        </w:rPr>
        <w:t>יות אדם מהווה פגיעה חוקתית. רק כאשר</w:t>
      </w:r>
      <w:r w:rsidR="001F1378">
        <w:rPr>
          <w:rFonts w:cs="David" w:hint="cs"/>
          <w:sz w:val="24"/>
          <w:szCs w:val="24"/>
          <w:rtl/>
        </w:rPr>
        <w:t xml:space="preserve"> </w:t>
      </w:r>
      <w:r w:rsidR="009B7AA2">
        <w:rPr>
          <w:rFonts w:cs="David" w:hint="cs"/>
          <w:sz w:val="24"/>
          <w:szCs w:val="24"/>
          <w:rtl/>
        </w:rPr>
        <w:t>זכו</w:t>
      </w:r>
      <w:r w:rsidR="001F1378">
        <w:rPr>
          <w:rFonts w:cs="David" w:hint="cs"/>
          <w:sz w:val="24"/>
          <w:szCs w:val="24"/>
          <w:rtl/>
        </w:rPr>
        <w:t xml:space="preserve">ת האדם הנפגעת מעוגנת בחוק יסוד, </w:t>
      </w:r>
      <w:r w:rsidR="009B7AA2">
        <w:rPr>
          <w:rFonts w:cs="David" w:hint="cs"/>
          <w:sz w:val="24"/>
          <w:szCs w:val="24"/>
          <w:rtl/>
        </w:rPr>
        <w:t xml:space="preserve">מתעוררת בעיה חוקתית. </w:t>
      </w:r>
    </w:p>
    <w:p w:rsidR="009B7AA2" w:rsidRDefault="009B7AA2" w:rsidP="006B6774">
      <w:pPr>
        <w:spacing w:line="360" w:lineRule="auto"/>
        <w:rPr>
          <w:rFonts w:cs="David"/>
          <w:sz w:val="24"/>
          <w:szCs w:val="24"/>
          <w:rtl/>
        </w:rPr>
      </w:pPr>
      <w:r>
        <w:rPr>
          <w:rFonts w:cs="David" w:hint="cs"/>
          <w:sz w:val="24"/>
          <w:szCs w:val="24"/>
          <w:rtl/>
        </w:rPr>
        <w:t>לאחר בדיקת מבחנים אלו, יש לבחון האם הפגיעה בזכויות החוקתיות היא כדין, כלומר, האם החוק עומד בפסקת ההגבלה</w:t>
      </w:r>
      <w:r w:rsidR="00D54E48">
        <w:rPr>
          <w:rFonts w:cs="David" w:hint="cs"/>
          <w:sz w:val="24"/>
          <w:szCs w:val="24"/>
          <w:rtl/>
        </w:rPr>
        <w:t>.</w:t>
      </w:r>
      <w:r>
        <w:rPr>
          <w:rFonts w:cs="David" w:hint="cs"/>
          <w:sz w:val="24"/>
          <w:szCs w:val="24"/>
          <w:rtl/>
        </w:rPr>
        <w:t xml:space="preserve"> </w:t>
      </w:r>
      <w:r w:rsidR="00B82DEC">
        <w:rPr>
          <w:rFonts w:cs="David" w:hint="cs"/>
          <w:sz w:val="24"/>
          <w:szCs w:val="24"/>
          <w:rtl/>
        </w:rPr>
        <w:t>פסקת ההגבלה נועדה למעשה לאפשר פגיעה בזכויות אדם, כי הן אינן מוחלטות, ובצד זכויות האדם עומדות חובות האדם כחלק מחברה. אך כל פגיעה בהן היא מוגבלת, וחייבת לעמוד במבחנים הבודקים את מטרתה, ואת האמצעים בהם היא נוקטת</w:t>
      </w:r>
      <w:r w:rsidR="00D54E48">
        <w:rPr>
          <w:rStyle w:val="a5"/>
          <w:rFonts w:cs="David"/>
          <w:sz w:val="24"/>
          <w:szCs w:val="24"/>
          <w:rtl/>
        </w:rPr>
        <w:footnoteReference w:id="4"/>
      </w:r>
      <w:r w:rsidR="00B82DEC">
        <w:rPr>
          <w:rFonts w:cs="David" w:hint="cs"/>
          <w:sz w:val="24"/>
          <w:szCs w:val="24"/>
          <w:rtl/>
        </w:rPr>
        <w:t>.</w:t>
      </w:r>
      <w:r w:rsidR="00D54E48">
        <w:rPr>
          <w:rFonts w:cs="David" w:hint="cs"/>
          <w:sz w:val="24"/>
          <w:szCs w:val="24"/>
          <w:rtl/>
        </w:rPr>
        <w:t xml:space="preserve"> </w:t>
      </w:r>
      <w:r w:rsidR="00EB0B92">
        <w:rPr>
          <w:rFonts w:cs="David" w:hint="cs"/>
          <w:sz w:val="24"/>
          <w:szCs w:val="24"/>
          <w:rtl/>
        </w:rPr>
        <w:t>מבחנים אל</w:t>
      </w:r>
      <w:r w:rsidR="006B6774">
        <w:rPr>
          <w:rFonts w:cs="David" w:hint="cs"/>
          <w:sz w:val="24"/>
          <w:szCs w:val="24"/>
          <w:rtl/>
        </w:rPr>
        <w:t>ו</w:t>
      </w:r>
      <w:r w:rsidR="00EB0B92">
        <w:rPr>
          <w:rFonts w:cs="David" w:hint="cs"/>
          <w:sz w:val="24"/>
          <w:szCs w:val="24"/>
          <w:rtl/>
        </w:rPr>
        <w:t xml:space="preserve"> הם מבחנים מצטברים</w:t>
      </w:r>
      <w:r w:rsidR="006B6774">
        <w:rPr>
          <w:rStyle w:val="a5"/>
          <w:rFonts w:cs="David"/>
          <w:sz w:val="24"/>
          <w:szCs w:val="24"/>
          <w:rtl/>
        </w:rPr>
        <w:footnoteReference w:id="5"/>
      </w:r>
      <w:r w:rsidR="00EB0B92">
        <w:rPr>
          <w:rFonts w:cs="David" w:hint="cs"/>
          <w:sz w:val="24"/>
          <w:szCs w:val="24"/>
          <w:rtl/>
        </w:rPr>
        <w:t>:</w:t>
      </w:r>
    </w:p>
    <w:p w:rsidR="008E3AC9" w:rsidRDefault="008E3AC9" w:rsidP="00B51946">
      <w:pPr>
        <w:pStyle w:val="a7"/>
        <w:numPr>
          <w:ilvl w:val="0"/>
          <w:numId w:val="1"/>
        </w:numPr>
        <w:spacing w:line="360" w:lineRule="auto"/>
        <w:rPr>
          <w:rFonts w:cs="David"/>
          <w:sz w:val="24"/>
          <w:szCs w:val="24"/>
        </w:rPr>
      </w:pPr>
      <w:r>
        <w:rPr>
          <w:rFonts w:cs="David" w:hint="cs"/>
          <w:sz w:val="24"/>
          <w:szCs w:val="24"/>
          <w:rtl/>
        </w:rPr>
        <w:t xml:space="preserve">הפגיעה </w:t>
      </w:r>
      <w:r w:rsidR="00B51946">
        <w:rPr>
          <w:rFonts w:cs="David" w:hint="cs"/>
          <w:sz w:val="24"/>
          <w:szCs w:val="24"/>
          <w:rtl/>
        </w:rPr>
        <w:t>נעשית</w:t>
      </w:r>
      <w:r w:rsidR="004A6786">
        <w:rPr>
          <w:rFonts w:cs="David" w:hint="cs"/>
          <w:sz w:val="24"/>
          <w:szCs w:val="24"/>
          <w:rtl/>
        </w:rPr>
        <w:t xml:space="preserve"> בחוק- הפגיעה במקרה זה היא ע"י הוספת סעיף לחוק העונשין</w:t>
      </w:r>
      <w:r w:rsidR="006B6774">
        <w:rPr>
          <w:rFonts w:cs="David" w:hint="cs"/>
          <w:sz w:val="24"/>
          <w:szCs w:val="24"/>
          <w:rtl/>
        </w:rPr>
        <w:t>, מבחן זה מתקיים</w:t>
      </w:r>
      <w:r w:rsidR="004A6786">
        <w:rPr>
          <w:rFonts w:cs="David" w:hint="cs"/>
          <w:sz w:val="24"/>
          <w:szCs w:val="24"/>
          <w:rtl/>
        </w:rPr>
        <w:t>.</w:t>
      </w:r>
    </w:p>
    <w:p w:rsidR="004A6786" w:rsidRDefault="006227EA" w:rsidP="003B7EE7">
      <w:pPr>
        <w:pStyle w:val="a7"/>
        <w:numPr>
          <w:ilvl w:val="0"/>
          <w:numId w:val="1"/>
        </w:numPr>
        <w:spacing w:line="360" w:lineRule="auto"/>
        <w:rPr>
          <w:rFonts w:cs="David"/>
          <w:sz w:val="24"/>
          <w:szCs w:val="24"/>
        </w:rPr>
      </w:pPr>
      <w:r w:rsidRPr="001537D1">
        <w:rPr>
          <w:rFonts w:cs="David" w:hint="cs"/>
          <w:sz w:val="24"/>
          <w:szCs w:val="24"/>
          <w:rtl/>
        </w:rPr>
        <w:t xml:space="preserve">החוק </w:t>
      </w:r>
      <w:r w:rsidR="008A4690" w:rsidRPr="001537D1">
        <w:rPr>
          <w:rFonts w:cs="David" w:hint="cs"/>
          <w:sz w:val="24"/>
          <w:szCs w:val="24"/>
          <w:rtl/>
        </w:rPr>
        <w:t>הולם</w:t>
      </w:r>
      <w:r w:rsidRPr="001537D1">
        <w:rPr>
          <w:rFonts w:cs="David" w:hint="cs"/>
          <w:sz w:val="24"/>
          <w:szCs w:val="24"/>
          <w:rtl/>
        </w:rPr>
        <w:t xml:space="preserve"> את  ערכיה של מדינת ישראל</w:t>
      </w:r>
      <w:r w:rsidR="003C0535">
        <w:rPr>
          <w:rFonts w:cs="David" w:hint="cs"/>
          <w:sz w:val="24"/>
          <w:szCs w:val="24"/>
          <w:rtl/>
        </w:rPr>
        <w:t xml:space="preserve">- </w:t>
      </w:r>
      <w:r w:rsidR="004A6786" w:rsidRPr="001537D1">
        <w:rPr>
          <w:rFonts w:cs="David" w:hint="cs"/>
          <w:sz w:val="24"/>
          <w:szCs w:val="24"/>
          <w:rtl/>
        </w:rPr>
        <w:t>מחד,</w:t>
      </w:r>
      <w:r w:rsidR="009956AC" w:rsidRPr="001537D1">
        <w:rPr>
          <w:rFonts w:cs="David" w:hint="cs"/>
          <w:sz w:val="24"/>
          <w:szCs w:val="24"/>
          <w:rtl/>
        </w:rPr>
        <w:t xml:space="preserve"> החוק מגלם את ערכיה של מדינת ישראל בתור מדינה דמוקרטית, שכן </w:t>
      </w:r>
      <w:r w:rsidR="000B1F17" w:rsidRPr="001537D1">
        <w:rPr>
          <w:rFonts w:cs="David" w:hint="cs"/>
          <w:sz w:val="24"/>
          <w:szCs w:val="24"/>
          <w:rtl/>
        </w:rPr>
        <w:t>הוא</w:t>
      </w:r>
      <w:r w:rsidR="009956AC" w:rsidRPr="001537D1">
        <w:rPr>
          <w:rFonts w:cs="David" w:hint="cs"/>
          <w:sz w:val="24"/>
          <w:szCs w:val="24"/>
          <w:rtl/>
        </w:rPr>
        <w:t xml:space="preserve"> נועד להגן על הציבור</w:t>
      </w:r>
      <w:r w:rsidR="001537D1" w:rsidRPr="001537D1">
        <w:rPr>
          <w:rFonts w:cs="David" w:hint="cs"/>
          <w:sz w:val="24"/>
          <w:szCs w:val="24"/>
          <w:rtl/>
        </w:rPr>
        <w:t xml:space="preserve"> מפני ניצול כלכלי ופיסי</w:t>
      </w:r>
      <w:r w:rsidR="009956AC" w:rsidRPr="001537D1">
        <w:rPr>
          <w:rFonts w:cs="David" w:hint="cs"/>
          <w:sz w:val="24"/>
          <w:szCs w:val="24"/>
          <w:rtl/>
        </w:rPr>
        <w:t>.</w:t>
      </w:r>
      <w:r w:rsidR="009956AC">
        <w:rPr>
          <w:rFonts w:cs="David" w:hint="cs"/>
          <w:sz w:val="24"/>
          <w:szCs w:val="24"/>
          <w:rtl/>
        </w:rPr>
        <w:t xml:space="preserve"> </w:t>
      </w:r>
      <w:r w:rsidR="004A6786">
        <w:rPr>
          <w:rFonts w:cs="David" w:hint="cs"/>
          <w:sz w:val="24"/>
          <w:szCs w:val="24"/>
          <w:rtl/>
        </w:rPr>
        <w:t xml:space="preserve"> מאידך, ערך יסוד במדינת ישראל הוא </w:t>
      </w:r>
      <w:r w:rsidR="00A02FB2">
        <w:rPr>
          <w:rFonts w:cs="David" w:hint="cs"/>
          <w:sz w:val="24"/>
          <w:szCs w:val="24"/>
          <w:rtl/>
        </w:rPr>
        <w:t>חו</w:t>
      </w:r>
      <w:r w:rsidR="003B7EE7">
        <w:rPr>
          <w:rFonts w:cs="David" w:hint="cs"/>
          <w:sz w:val="24"/>
          <w:szCs w:val="24"/>
          <w:rtl/>
        </w:rPr>
        <w:t xml:space="preserve">פש </w:t>
      </w:r>
      <w:r w:rsidR="00A02FB2">
        <w:rPr>
          <w:rFonts w:cs="David" w:hint="cs"/>
          <w:sz w:val="24"/>
          <w:szCs w:val="24"/>
          <w:rtl/>
        </w:rPr>
        <w:t>הע</w:t>
      </w:r>
      <w:r w:rsidR="003B7EE7">
        <w:rPr>
          <w:rFonts w:cs="David" w:hint="cs"/>
          <w:sz w:val="24"/>
          <w:szCs w:val="24"/>
          <w:rtl/>
        </w:rPr>
        <w:t>יסוק</w:t>
      </w:r>
      <w:r w:rsidR="004A6786">
        <w:rPr>
          <w:rFonts w:cs="David" w:hint="cs"/>
          <w:sz w:val="24"/>
          <w:szCs w:val="24"/>
          <w:rtl/>
        </w:rPr>
        <w:t>, הוא אף מעוגן בחוק יסוד. כלומר, הגבלת חופש עיסוקם של המטפלים הרוחניים לא הול</w:t>
      </w:r>
      <w:r w:rsidR="004F7B05">
        <w:rPr>
          <w:rFonts w:cs="David" w:hint="cs"/>
          <w:sz w:val="24"/>
          <w:szCs w:val="24"/>
          <w:rtl/>
        </w:rPr>
        <w:t>מת</w:t>
      </w:r>
      <w:r w:rsidR="004A6786">
        <w:rPr>
          <w:rFonts w:cs="David" w:hint="cs"/>
          <w:sz w:val="24"/>
          <w:szCs w:val="24"/>
          <w:rtl/>
        </w:rPr>
        <w:t xml:space="preserve"> את ערכי המדינה.  </w:t>
      </w:r>
    </w:p>
    <w:p w:rsidR="00C9412D" w:rsidRPr="00E26BA6" w:rsidRDefault="006227EA" w:rsidP="00A02FB2">
      <w:pPr>
        <w:pStyle w:val="a7"/>
        <w:numPr>
          <w:ilvl w:val="0"/>
          <w:numId w:val="1"/>
        </w:numPr>
        <w:spacing w:line="360" w:lineRule="auto"/>
        <w:rPr>
          <w:rFonts w:cs="David"/>
          <w:sz w:val="24"/>
          <w:szCs w:val="24"/>
        </w:rPr>
      </w:pPr>
      <w:r>
        <w:rPr>
          <w:rFonts w:cs="David" w:hint="cs"/>
          <w:sz w:val="24"/>
          <w:szCs w:val="24"/>
          <w:rtl/>
        </w:rPr>
        <w:t xml:space="preserve">תכליתו </w:t>
      </w:r>
      <w:r w:rsidR="00297856">
        <w:rPr>
          <w:rFonts w:cs="David" w:hint="cs"/>
          <w:sz w:val="24"/>
          <w:szCs w:val="24"/>
          <w:rtl/>
        </w:rPr>
        <w:t xml:space="preserve">ראויה- </w:t>
      </w:r>
      <w:r w:rsidR="008C7468">
        <w:rPr>
          <w:rFonts w:cs="David" w:hint="cs"/>
          <w:sz w:val="24"/>
          <w:szCs w:val="24"/>
          <w:rtl/>
        </w:rPr>
        <w:t xml:space="preserve">מטרתו היא מניעת ניצול כוח המטפלים נגד אנשים תמימים. </w:t>
      </w:r>
      <w:r w:rsidR="00297856">
        <w:rPr>
          <w:rFonts w:cs="David" w:hint="cs"/>
          <w:sz w:val="24"/>
          <w:szCs w:val="24"/>
          <w:rtl/>
        </w:rPr>
        <w:t>החוק בא להגן על אלו הזקוקי</w:t>
      </w:r>
      <w:r w:rsidR="00C9412D">
        <w:rPr>
          <w:rFonts w:cs="David" w:hint="cs"/>
          <w:sz w:val="24"/>
          <w:szCs w:val="24"/>
          <w:rtl/>
        </w:rPr>
        <w:t>ם להגנה,</w:t>
      </w:r>
      <w:r w:rsidR="00297856">
        <w:rPr>
          <w:rFonts w:cs="David" w:hint="cs"/>
          <w:sz w:val="24"/>
          <w:szCs w:val="24"/>
          <w:rtl/>
        </w:rPr>
        <w:t xml:space="preserve"> תכלית זו היא ראויה</w:t>
      </w:r>
      <w:r w:rsidR="00C9412D">
        <w:rPr>
          <w:rFonts w:cs="David" w:hint="cs"/>
          <w:sz w:val="24"/>
          <w:szCs w:val="24"/>
          <w:rtl/>
        </w:rPr>
        <w:t>. מאידך, הזכות ל</w:t>
      </w:r>
      <w:r w:rsidR="003B7EE7">
        <w:rPr>
          <w:rFonts w:cs="David" w:hint="cs"/>
          <w:sz w:val="24"/>
          <w:szCs w:val="24"/>
          <w:rtl/>
        </w:rPr>
        <w:t xml:space="preserve">חופש </w:t>
      </w:r>
      <w:r w:rsidR="00A02FB2">
        <w:rPr>
          <w:rFonts w:cs="David" w:hint="cs"/>
          <w:sz w:val="24"/>
          <w:szCs w:val="24"/>
          <w:rtl/>
        </w:rPr>
        <w:t>הע</w:t>
      </w:r>
      <w:r w:rsidR="003B7EE7">
        <w:rPr>
          <w:rFonts w:cs="David" w:hint="cs"/>
          <w:sz w:val="24"/>
          <w:szCs w:val="24"/>
          <w:rtl/>
        </w:rPr>
        <w:t>יסוק</w:t>
      </w:r>
      <w:r w:rsidR="00C9412D">
        <w:rPr>
          <w:rFonts w:cs="David" w:hint="cs"/>
          <w:sz w:val="24"/>
          <w:szCs w:val="24"/>
          <w:rtl/>
        </w:rPr>
        <w:t xml:space="preserve"> היא </w:t>
      </w:r>
      <w:r w:rsidR="00C9412D">
        <w:rPr>
          <w:rFonts w:cs="David" w:hint="cs"/>
          <w:sz w:val="24"/>
          <w:szCs w:val="24"/>
          <w:rtl/>
        </w:rPr>
        <w:lastRenderedPageBreak/>
        <w:t>זכות בעל ערך חברתי רב, וככל שעוצמת הפגיעה בה היא מקיפה, כמו במקרה</w:t>
      </w:r>
      <w:r w:rsidR="00BD63B5">
        <w:rPr>
          <w:rFonts w:cs="David" w:hint="cs"/>
          <w:sz w:val="24"/>
          <w:szCs w:val="24"/>
          <w:rtl/>
        </w:rPr>
        <w:t xml:space="preserve"> דנן</w:t>
      </w:r>
      <w:r w:rsidR="00C9412D">
        <w:rPr>
          <w:rFonts w:cs="David" w:hint="cs"/>
          <w:sz w:val="24"/>
          <w:szCs w:val="24"/>
          <w:rtl/>
        </w:rPr>
        <w:t>, המטרה צריכה להיות חשובה ומהותית אף יותר</w:t>
      </w:r>
      <w:r w:rsidR="00C9412D">
        <w:rPr>
          <w:rStyle w:val="a5"/>
          <w:rFonts w:cs="David"/>
          <w:sz w:val="24"/>
          <w:szCs w:val="24"/>
          <w:rtl/>
        </w:rPr>
        <w:footnoteReference w:id="6"/>
      </w:r>
      <w:r w:rsidR="00C9412D">
        <w:rPr>
          <w:rFonts w:cs="David" w:hint="cs"/>
          <w:sz w:val="24"/>
          <w:szCs w:val="24"/>
          <w:rtl/>
        </w:rPr>
        <w:t>.</w:t>
      </w:r>
      <w:r w:rsidR="00E26BA6">
        <w:rPr>
          <w:rFonts w:cs="David" w:hint="cs"/>
          <w:sz w:val="24"/>
          <w:szCs w:val="24"/>
          <w:rtl/>
        </w:rPr>
        <w:t xml:space="preserve"> </w:t>
      </w:r>
      <w:r w:rsidR="00C9412D" w:rsidRPr="00E26BA6">
        <w:rPr>
          <w:rFonts w:cs="David" w:hint="cs"/>
          <w:sz w:val="24"/>
          <w:szCs w:val="24"/>
          <w:rtl/>
        </w:rPr>
        <w:t xml:space="preserve"> </w:t>
      </w:r>
    </w:p>
    <w:p w:rsidR="001438C2" w:rsidRDefault="004A6786" w:rsidP="008C6979">
      <w:pPr>
        <w:pStyle w:val="a7"/>
        <w:numPr>
          <w:ilvl w:val="0"/>
          <w:numId w:val="1"/>
        </w:numPr>
        <w:spacing w:line="360" w:lineRule="auto"/>
        <w:rPr>
          <w:rFonts w:cs="David"/>
          <w:sz w:val="24"/>
          <w:szCs w:val="24"/>
        </w:rPr>
      </w:pPr>
      <w:r>
        <w:rPr>
          <w:rFonts w:cs="David" w:hint="cs"/>
          <w:sz w:val="24"/>
          <w:szCs w:val="24"/>
          <w:rtl/>
        </w:rPr>
        <w:t xml:space="preserve">הפגיעה </w:t>
      </w:r>
      <w:r w:rsidR="008A4690">
        <w:rPr>
          <w:rFonts w:cs="David" w:hint="cs"/>
          <w:sz w:val="24"/>
          <w:szCs w:val="24"/>
          <w:rtl/>
        </w:rPr>
        <w:t xml:space="preserve">היא </w:t>
      </w:r>
      <w:r>
        <w:rPr>
          <w:rFonts w:cs="David" w:hint="cs"/>
          <w:sz w:val="24"/>
          <w:szCs w:val="24"/>
          <w:rtl/>
        </w:rPr>
        <w:t xml:space="preserve">במידה שלא עולה על הנדרש- </w:t>
      </w:r>
      <w:r w:rsidR="008C6979">
        <w:rPr>
          <w:rFonts w:cs="David" w:hint="cs"/>
          <w:sz w:val="24"/>
          <w:szCs w:val="24"/>
          <w:rtl/>
        </w:rPr>
        <w:t xml:space="preserve"> מבחני ה</w:t>
      </w:r>
      <w:r w:rsidR="008A4690">
        <w:rPr>
          <w:rFonts w:cs="David" w:hint="cs"/>
          <w:sz w:val="24"/>
          <w:szCs w:val="24"/>
          <w:rtl/>
        </w:rPr>
        <w:t xml:space="preserve">מידתיות:                                           </w:t>
      </w:r>
      <w:r w:rsidR="001438C2" w:rsidRPr="008A4690">
        <w:rPr>
          <w:rFonts w:cs="David" w:hint="cs"/>
          <w:sz w:val="24"/>
          <w:szCs w:val="24"/>
          <w:rtl/>
        </w:rPr>
        <w:t>קשר רציונאלי בין המטרה לפגיעה- מחד מתקיים קשר כזה, שכן אם פוגעים בזכות</w:t>
      </w:r>
      <w:r w:rsidR="00BD63B5">
        <w:rPr>
          <w:rFonts w:cs="David" w:hint="cs"/>
          <w:sz w:val="24"/>
          <w:szCs w:val="24"/>
          <w:rtl/>
        </w:rPr>
        <w:t xml:space="preserve"> הפרסום</w:t>
      </w:r>
      <w:r w:rsidR="001438C2" w:rsidRPr="008A4690">
        <w:rPr>
          <w:rFonts w:cs="David" w:hint="cs"/>
          <w:sz w:val="24"/>
          <w:szCs w:val="24"/>
          <w:rtl/>
        </w:rPr>
        <w:t xml:space="preserve"> של המיסטיקנים לעיסוק, מקרי הניצול יפחתו בצורה משמעותית. מאידך ניתן לטעון כי עדיין מקרי ניצול יוכלו להתקיים, שכן לא מונעים לחלוטין את מקצוע הטיפול אלא רק פוגעים בזכותם לפרסום מסחרי. </w:t>
      </w:r>
    </w:p>
    <w:p w:rsidR="00BD63B5" w:rsidRDefault="00BD63B5" w:rsidP="00FC32B1">
      <w:pPr>
        <w:pStyle w:val="a7"/>
        <w:spacing w:line="360" w:lineRule="auto"/>
        <w:rPr>
          <w:rFonts w:cs="David"/>
          <w:sz w:val="24"/>
          <w:szCs w:val="24"/>
          <w:rtl/>
        </w:rPr>
      </w:pPr>
    </w:p>
    <w:p w:rsidR="00B861B5" w:rsidRPr="00BD63B5" w:rsidRDefault="008A4690" w:rsidP="003B7EE7">
      <w:pPr>
        <w:pStyle w:val="a7"/>
        <w:spacing w:line="360" w:lineRule="auto"/>
        <w:rPr>
          <w:rFonts w:cs="David"/>
          <w:sz w:val="24"/>
          <w:szCs w:val="24"/>
          <w:rtl/>
        </w:rPr>
      </w:pPr>
      <w:r>
        <w:rPr>
          <w:rFonts w:cs="David" w:hint="cs"/>
          <w:sz w:val="24"/>
          <w:szCs w:val="24"/>
          <w:rtl/>
        </w:rPr>
        <w:t>אמצעי פוגעני</w:t>
      </w:r>
      <w:r w:rsidR="00B861B5">
        <w:rPr>
          <w:rFonts w:cs="David" w:hint="cs"/>
          <w:sz w:val="24"/>
          <w:szCs w:val="24"/>
          <w:rtl/>
        </w:rPr>
        <w:t xml:space="preserve"> פחות</w:t>
      </w:r>
      <w:r>
        <w:rPr>
          <w:rFonts w:cs="David" w:hint="cs"/>
          <w:sz w:val="24"/>
          <w:szCs w:val="24"/>
          <w:rtl/>
        </w:rPr>
        <w:t xml:space="preserve">- </w:t>
      </w:r>
      <w:r w:rsidR="00B861B5">
        <w:rPr>
          <w:rFonts w:cs="David" w:hint="cs"/>
          <w:sz w:val="24"/>
          <w:szCs w:val="24"/>
          <w:rtl/>
        </w:rPr>
        <w:t>ניתן היה לנקוט באמצעי</w:t>
      </w:r>
      <w:r w:rsidR="001537D1">
        <w:rPr>
          <w:rFonts w:cs="David" w:hint="cs"/>
          <w:sz w:val="24"/>
          <w:szCs w:val="24"/>
          <w:rtl/>
        </w:rPr>
        <w:t>ם</w:t>
      </w:r>
      <w:r w:rsidR="00B861B5">
        <w:rPr>
          <w:rFonts w:cs="David" w:hint="cs"/>
          <w:sz w:val="24"/>
          <w:szCs w:val="24"/>
          <w:rtl/>
        </w:rPr>
        <w:t xml:space="preserve"> אחר</w:t>
      </w:r>
      <w:r w:rsidR="001537D1">
        <w:rPr>
          <w:rFonts w:cs="David" w:hint="cs"/>
          <w:sz w:val="24"/>
          <w:szCs w:val="24"/>
          <w:rtl/>
        </w:rPr>
        <w:t>ים</w:t>
      </w:r>
      <w:r w:rsidR="00B861B5">
        <w:rPr>
          <w:rFonts w:cs="David" w:hint="cs"/>
          <w:sz w:val="24"/>
          <w:szCs w:val="24"/>
          <w:rtl/>
        </w:rPr>
        <w:t xml:space="preserve"> כגון- הגברת המודעות בקרב הציבור, החמרת ענישה של מטפלים שנאשמו</w:t>
      </w:r>
      <w:r w:rsidR="004B0C64">
        <w:rPr>
          <w:rFonts w:cs="David" w:hint="cs"/>
          <w:sz w:val="24"/>
          <w:szCs w:val="24"/>
          <w:rtl/>
        </w:rPr>
        <w:t xml:space="preserve"> לצורך הרתעה</w:t>
      </w:r>
      <w:r w:rsidR="00B861B5">
        <w:rPr>
          <w:rFonts w:cs="David" w:hint="cs"/>
          <w:sz w:val="24"/>
          <w:szCs w:val="24"/>
          <w:rtl/>
        </w:rPr>
        <w:t xml:space="preserve">, </w:t>
      </w:r>
      <w:r w:rsidR="004B0C64">
        <w:rPr>
          <w:rFonts w:cs="David" w:hint="cs"/>
          <w:sz w:val="24"/>
          <w:szCs w:val="24"/>
          <w:rtl/>
        </w:rPr>
        <w:t>התייחסות רצינית לתלונות ע"י המשטרה</w:t>
      </w:r>
      <w:r w:rsidR="00FC32B1">
        <w:rPr>
          <w:rFonts w:cs="David" w:hint="cs"/>
          <w:sz w:val="24"/>
          <w:szCs w:val="24"/>
          <w:rtl/>
        </w:rPr>
        <w:t>,</w:t>
      </w:r>
      <w:r w:rsidR="004B0C64">
        <w:rPr>
          <w:rFonts w:cs="David" w:hint="cs"/>
          <w:sz w:val="24"/>
          <w:szCs w:val="24"/>
          <w:rtl/>
        </w:rPr>
        <w:t xml:space="preserve"> </w:t>
      </w:r>
      <w:r w:rsidR="00FC32B1">
        <w:rPr>
          <w:rFonts w:cs="David" w:hint="cs"/>
          <w:sz w:val="24"/>
          <w:szCs w:val="24"/>
          <w:rtl/>
        </w:rPr>
        <w:t>הנוטה</w:t>
      </w:r>
      <w:r w:rsidR="004B0C64">
        <w:rPr>
          <w:rFonts w:cs="David" w:hint="cs"/>
          <w:sz w:val="24"/>
          <w:szCs w:val="24"/>
          <w:rtl/>
        </w:rPr>
        <w:t xml:space="preserve"> להתייחס בביטול לתלונות אלו. </w:t>
      </w:r>
      <w:r w:rsidR="00BD63B5">
        <w:rPr>
          <w:rFonts w:cs="David" w:hint="cs"/>
          <w:sz w:val="24"/>
          <w:szCs w:val="24"/>
          <w:rtl/>
        </w:rPr>
        <w:t xml:space="preserve">ניתן לראות כי </w:t>
      </w:r>
      <w:r w:rsidR="004B0C64" w:rsidRPr="00BD63B5">
        <w:rPr>
          <w:rFonts w:cs="David" w:hint="cs"/>
          <w:sz w:val="24"/>
          <w:szCs w:val="24"/>
          <w:rtl/>
        </w:rPr>
        <w:t>אמצעים אלו לא פוגעים ב</w:t>
      </w:r>
      <w:r w:rsidR="00A02FB2">
        <w:rPr>
          <w:rFonts w:cs="David" w:hint="cs"/>
          <w:sz w:val="24"/>
          <w:szCs w:val="24"/>
          <w:rtl/>
        </w:rPr>
        <w:t>חו</w:t>
      </w:r>
      <w:r w:rsidR="003B7EE7">
        <w:rPr>
          <w:rFonts w:cs="David" w:hint="cs"/>
          <w:sz w:val="24"/>
          <w:szCs w:val="24"/>
          <w:rtl/>
        </w:rPr>
        <w:t xml:space="preserve">פש </w:t>
      </w:r>
      <w:r w:rsidR="00A02FB2">
        <w:rPr>
          <w:rFonts w:cs="David" w:hint="cs"/>
          <w:sz w:val="24"/>
          <w:szCs w:val="24"/>
          <w:rtl/>
        </w:rPr>
        <w:t>הע</w:t>
      </w:r>
      <w:r w:rsidR="003B7EE7">
        <w:rPr>
          <w:rFonts w:cs="David" w:hint="cs"/>
          <w:sz w:val="24"/>
          <w:szCs w:val="24"/>
          <w:rtl/>
        </w:rPr>
        <w:t>יסוק</w:t>
      </w:r>
      <w:r w:rsidR="004B0C64" w:rsidRPr="00BD63B5">
        <w:rPr>
          <w:rFonts w:cs="David" w:hint="cs"/>
          <w:sz w:val="24"/>
          <w:szCs w:val="24"/>
          <w:rtl/>
        </w:rPr>
        <w:t xml:space="preserve"> של המיסטיקנים בכללם, ולא בכבודם,</w:t>
      </w:r>
      <w:r w:rsidR="003E05AD">
        <w:rPr>
          <w:rFonts w:cs="David" w:hint="cs"/>
          <w:sz w:val="24"/>
          <w:szCs w:val="24"/>
          <w:rtl/>
        </w:rPr>
        <w:t xml:space="preserve"> אלא רק באלו המנצלים מטופליהם,</w:t>
      </w:r>
      <w:r w:rsidR="00BD63B5">
        <w:rPr>
          <w:rFonts w:cs="David" w:hint="cs"/>
          <w:sz w:val="24"/>
          <w:szCs w:val="24"/>
          <w:rtl/>
        </w:rPr>
        <w:t xml:space="preserve"> ובכך </w:t>
      </w:r>
      <w:r w:rsidR="004B0C64" w:rsidRPr="00BD63B5">
        <w:rPr>
          <w:rFonts w:cs="David" w:hint="cs"/>
          <w:sz w:val="24"/>
          <w:szCs w:val="24"/>
          <w:rtl/>
        </w:rPr>
        <w:t xml:space="preserve">מסייעים להשגת התכלית הראויה. </w:t>
      </w:r>
    </w:p>
    <w:p w:rsidR="00BD63B5" w:rsidRDefault="00BD63B5" w:rsidP="004B0C64">
      <w:pPr>
        <w:pStyle w:val="a7"/>
        <w:spacing w:line="360" w:lineRule="auto"/>
        <w:rPr>
          <w:rFonts w:cs="David"/>
          <w:sz w:val="24"/>
          <w:szCs w:val="24"/>
          <w:rtl/>
        </w:rPr>
      </w:pPr>
    </w:p>
    <w:p w:rsidR="004B0C64" w:rsidRDefault="004B0C64" w:rsidP="003B7EE7">
      <w:pPr>
        <w:pStyle w:val="a7"/>
        <w:spacing w:line="360" w:lineRule="auto"/>
        <w:rPr>
          <w:rFonts w:cs="David"/>
          <w:sz w:val="24"/>
          <w:szCs w:val="24"/>
          <w:rtl/>
        </w:rPr>
      </w:pPr>
      <w:r>
        <w:rPr>
          <w:rFonts w:cs="David" w:hint="cs"/>
          <w:sz w:val="24"/>
          <w:szCs w:val="24"/>
          <w:rtl/>
        </w:rPr>
        <w:t xml:space="preserve">תועלת-נזק- </w:t>
      </w:r>
      <w:r w:rsidR="000B1F17">
        <w:rPr>
          <w:rFonts w:cs="David" w:hint="cs"/>
          <w:sz w:val="24"/>
          <w:szCs w:val="24"/>
          <w:rtl/>
        </w:rPr>
        <w:t xml:space="preserve">התועלת </w:t>
      </w:r>
      <w:r w:rsidR="0053434A">
        <w:rPr>
          <w:rFonts w:cs="David" w:hint="cs"/>
          <w:sz w:val="24"/>
          <w:szCs w:val="24"/>
          <w:rtl/>
        </w:rPr>
        <w:t>האפשרית</w:t>
      </w:r>
      <w:r w:rsidR="000B1F17">
        <w:rPr>
          <w:rFonts w:cs="David" w:hint="cs"/>
          <w:sz w:val="24"/>
          <w:szCs w:val="24"/>
          <w:rtl/>
        </w:rPr>
        <w:t xml:space="preserve"> היא ירידה במספר המקרים של ניצול מטופלים, לעומת</w:t>
      </w:r>
      <w:r w:rsidR="001B7D82">
        <w:rPr>
          <w:rFonts w:cs="David" w:hint="cs"/>
          <w:sz w:val="24"/>
          <w:szCs w:val="24"/>
          <w:rtl/>
        </w:rPr>
        <w:t xml:space="preserve"> זאת,</w:t>
      </w:r>
      <w:r w:rsidR="000B1F17">
        <w:rPr>
          <w:rFonts w:cs="David" w:hint="cs"/>
          <w:sz w:val="24"/>
          <w:szCs w:val="24"/>
          <w:rtl/>
        </w:rPr>
        <w:t xml:space="preserve"> הנזק</w:t>
      </w:r>
      <w:r w:rsidR="0053434A">
        <w:rPr>
          <w:rFonts w:cs="David" w:hint="cs"/>
          <w:sz w:val="24"/>
          <w:szCs w:val="24"/>
          <w:rtl/>
        </w:rPr>
        <w:t xml:space="preserve"> גובר על התועלת, מפני שלא ניתן להבחין בין המטפלי</w:t>
      </w:r>
      <w:r w:rsidR="001B7D82">
        <w:rPr>
          <w:rFonts w:cs="David" w:hint="cs"/>
          <w:sz w:val="24"/>
          <w:szCs w:val="24"/>
          <w:rtl/>
        </w:rPr>
        <w:t xml:space="preserve">ם הישרים לגוזמאים, ולכן החוק פוגע </w:t>
      </w:r>
      <w:r w:rsidR="000B1F17">
        <w:rPr>
          <w:rFonts w:cs="David" w:hint="cs"/>
          <w:sz w:val="24"/>
          <w:szCs w:val="24"/>
          <w:rtl/>
        </w:rPr>
        <w:t>ב</w:t>
      </w:r>
      <w:r w:rsidR="00A02FB2">
        <w:rPr>
          <w:rFonts w:cs="David" w:hint="cs"/>
          <w:sz w:val="24"/>
          <w:szCs w:val="24"/>
          <w:rtl/>
        </w:rPr>
        <w:t>חו</w:t>
      </w:r>
      <w:r w:rsidR="003B7EE7">
        <w:rPr>
          <w:rFonts w:cs="David" w:hint="cs"/>
          <w:sz w:val="24"/>
          <w:szCs w:val="24"/>
          <w:rtl/>
        </w:rPr>
        <w:t xml:space="preserve">פש </w:t>
      </w:r>
      <w:r w:rsidR="00A02FB2">
        <w:rPr>
          <w:rFonts w:cs="David" w:hint="cs"/>
          <w:sz w:val="24"/>
          <w:szCs w:val="24"/>
          <w:rtl/>
        </w:rPr>
        <w:t>הע</w:t>
      </w:r>
      <w:r w:rsidR="003B7EE7">
        <w:rPr>
          <w:rFonts w:cs="David" w:hint="cs"/>
          <w:sz w:val="24"/>
          <w:szCs w:val="24"/>
          <w:rtl/>
        </w:rPr>
        <w:t>יסוק</w:t>
      </w:r>
      <w:r w:rsidR="000B1F17">
        <w:rPr>
          <w:rFonts w:cs="David" w:hint="cs"/>
          <w:sz w:val="24"/>
          <w:szCs w:val="24"/>
          <w:rtl/>
        </w:rPr>
        <w:t xml:space="preserve"> וכן בכבודם וזכותם לשוויון</w:t>
      </w:r>
      <w:r w:rsidR="001B7D82">
        <w:rPr>
          <w:rFonts w:cs="David" w:hint="cs"/>
          <w:sz w:val="24"/>
          <w:szCs w:val="24"/>
          <w:rtl/>
        </w:rPr>
        <w:t xml:space="preserve"> של כלל העוסקים בטיפולים רוחניים</w:t>
      </w:r>
      <w:r w:rsidR="000B1F17">
        <w:rPr>
          <w:rFonts w:cs="David" w:hint="cs"/>
          <w:sz w:val="24"/>
          <w:szCs w:val="24"/>
          <w:rtl/>
        </w:rPr>
        <w:t>.</w:t>
      </w:r>
    </w:p>
    <w:p w:rsidR="00B51946" w:rsidRDefault="00B51946" w:rsidP="00061133">
      <w:pPr>
        <w:spacing w:line="360" w:lineRule="auto"/>
        <w:rPr>
          <w:rFonts w:cs="David"/>
          <w:sz w:val="24"/>
          <w:szCs w:val="24"/>
          <w:rtl/>
        </w:rPr>
      </w:pPr>
      <w:r>
        <w:rPr>
          <w:rFonts w:cs="David" w:hint="cs"/>
          <w:sz w:val="24"/>
          <w:szCs w:val="24"/>
          <w:rtl/>
        </w:rPr>
        <w:t>את מבחני המידתיות ניתן לבחון בדרכי</w:t>
      </w:r>
      <w:r w:rsidR="00061133">
        <w:rPr>
          <w:rFonts w:cs="David" w:hint="cs"/>
          <w:sz w:val="24"/>
          <w:szCs w:val="24"/>
          <w:rtl/>
        </w:rPr>
        <w:t>ם שונות וכן להגיע לתוצאות שונות, קיים "מתח</w:t>
      </w:r>
      <w:r w:rsidR="008B52CA">
        <w:rPr>
          <w:rFonts w:cs="David" w:hint="cs"/>
          <w:sz w:val="24"/>
          <w:szCs w:val="24"/>
          <w:rtl/>
        </w:rPr>
        <w:t>ם מידתיות" ובמידה והפגיעה נמצאת במתחם זה, היא חוקתית</w:t>
      </w:r>
      <w:r w:rsidR="008B52CA">
        <w:rPr>
          <w:rStyle w:val="a5"/>
          <w:rFonts w:cs="David"/>
          <w:sz w:val="24"/>
          <w:szCs w:val="24"/>
          <w:rtl/>
        </w:rPr>
        <w:footnoteReference w:id="7"/>
      </w:r>
      <w:r w:rsidR="008B52CA">
        <w:rPr>
          <w:rFonts w:cs="David" w:hint="cs"/>
          <w:sz w:val="24"/>
          <w:szCs w:val="24"/>
          <w:rtl/>
        </w:rPr>
        <w:t xml:space="preserve">. </w:t>
      </w:r>
    </w:p>
    <w:p w:rsidR="00765945" w:rsidRDefault="00765945" w:rsidP="008B52CA">
      <w:pPr>
        <w:spacing w:line="360" w:lineRule="auto"/>
        <w:rPr>
          <w:rFonts w:cs="David"/>
          <w:sz w:val="24"/>
          <w:szCs w:val="24"/>
          <w:rtl/>
        </w:rPr>
      </w:pPr>
      <w:r>
        <w:rPr>
          <w:rFonts w:cs="David" w:hint="cs"/>
          <w:sz w:val="24"/>
          <w:szCs w:val="24"/>
          <w:rtl/>
        </w:rPr>
        <w:t>לסיכום, החוק לא עומד בפסקת ההגבלה ע</w:t>
      </w:r>
      <w:r w:rsidR="008B52CA">
        <w:rPr>
          <w:rFonts w:cs="David" w:hint="cs"/>
          <w:sz w:val="24"/>
          <w:szCs w:val="24"/>
          <w:rtl/>
        </w:rPr>
        <w:t xml:space="preserve">ל </w:t>
      </w:r>
      <w:r>
        <w:rPr>
          <w:rFonts w:cs="David" w:hint="cs"/>
          <w:sz w:val="24"/>
          <w:szCs w:val="24"/>
          <w:rtl/>
        </w:rPr>
        <w:t>פ</w:t>
      </w:r>
      <w:r w:rsidR="008B52CA">
        <w:rPr>
          <w:rFonts w:cs="David" w:hint="cs"/>
          <w:sz w:val="24"/>
          <w:szCs w:val="24"/>
          <w:rtl/>
        </w:rPr>
        <w:t>י</w:t>
      </w:r>
      <w:r>
        <w:rPr>
          <w:rFonts w:cs="David" w:hint="cs"/>
          <w:sz w:val="24"/>
          <w:szCs w:val="24"/>
          <w:rtl/>
        </w:rPr>
        <w:t xml:space="preserve"> בדיקה זו, הוא לא מידתי דיה, וניתן להגיע לתכלית זו בעזרת אמצעים מידתיים יותר. </w:t>
      </w:r>
    </w:p>
    <w:p w:rsidR="009B7AA2" w:rsidRDefault="007F6E0F" w:rsidP="003F0F34">
      <w:pPr>
        <w:spacing w:line="360" w:lineRule="auto"/>
        <w:rPr>
          <w:rFonts w:cs="David"/>
          <w:sz w:val="24"/>
          <w:szCs w:val="24"/>
          <w:rtl/>
        </w:rPr>
      </w:pPr>
      <w:r>
        <w:rPr>
          <w:rFonts w:cs="David" w:hint="cs"/>
          <w:sz w:val="24"/>
          <w:szCs w:val="24"/>
          <w:rtl/>
        </w:rPr>
        <w:t xml:space="preserve">נוסף על כך, </w:t>
      </w:r>
      <w:r w:rsidR="003F0F34">
        <w:rPr>
          <w:rFonts w:cs="David" w:hint="cs"/>
          <w:sz w:val="24"/>
          <w:szCs w:val="24"/>
          <w:rtl/>
        </w:rPr>
        <w:t>ניתן לטעון</w:t>
      </w:r>
      <w:r>
        <w:rPr>
          <w:rFonts w:cs="David" w:hint="cs"/>
          <w:sz w:val="24"/>
          <w:szCs w:val="24"/>
          <w:rtl/>
        </w:rPr>
        <w:t xml:space="preserve"> כי החוק פוגע </w:t>
      </w:r>
      <w:r w:rsidR="00E62188">
        <w:rPr>
          <w:rFonts w:cs="David" w:hint="cs"/>
          <w:sz w:val="24"/>
          <w:szCs w:val="24"/>
          <w:rtl/>
        </w:rPr>
        <w:t>בזכות</w:t>
      </w:r>
      <w:r w:rsidR="003F0F34">
        <w:rPr>
          <w:rFonts w:cs="David" w:hint="cs"/>
          <w:sz w:val="24"/>
          <w:szCs w:val="24"/>
          <w:rtl/>
        </w:rPr>
        <w:t xml:space="preserve"> המיסטיקנים</w:t>
      </w:r>
      <w:r w:rsidR="00E62188">
        <w:rPr>
          <w:rFonts w:cs="David" w:hint="cs"/>
          <w:sz w:val="24"/>
          <w:szCs w:val="24"/>
          <w:rtl/>
        </w:rPr>
        <w:t xml:space="preserve"> לשוויון ולכבוד</w:t>
      </w:r>
      <w:r w:rsidR="00AC66CB">
        <w:rPr>
          <w:rFonts w:cs="David" w:hint="cs"/>
          <w:sz w:val="24"/>
          <w:szCs w:val="24"/>
          <w:rtl/>
        </w:rPr>
        <w:t xml:space="preserve">. הזכות לכבוד מעוגנת </w:t>
      </w:r>
      <w:r w:rsidR="00E62188">
        <w:rPr>
          <w:rFonts w:cs="David" w:hint="cs"/>
          <w:sz w:val="24"/>
          <w:szCs w:val="24"/>
          <w:rtl/>
        </w:rPr>
        <w:t>בחוק יסוד: כבוד האדם וחירותו</w:t>
      </w:r>
      <w:r w:rsidR="00E62188">
        <w:rPr>
          <w:rStyle w:val="a5"/>
          <w:rFonts w:cs="David"/>
          <w:sz w:val="24"/>
          <w:szCs w:val="24"/>
          <w:rtl/>
        </w:rPr>
        <w:footnoteReference w:id="8"/>
      </w:r>
      <w:r w:rsidR="00E62188">
        <w:rPr>
          <w:rFonts w:cs="David" w:hint="cs"/>
          <w:sz w:val="24"/>
          <w:szCs w:val="24"/>
          <w:rtl/>
        </w:rPr>
        <w:t>.</w:t>
      </w:r>
    </w:p>
    <w:p w:rsidR="00AC66CB" w:rsidRPr="000446BF" w:rsidRDefault="00AC66CB" w:rsidP="003B7EE7">
      <w:pPr>
        <w:spacing w:line="360" w:lineRule="auto"/>
        <w:rPr>
          <w:rFonts w:cs="David"/>
          <w:sz w:val="24"/>
          <w:szCs w:val="24"/>
        </w:rPr>
      </w:pPr>
      <w:r>
        <w:rPr>
          <w:rFonts w:cs="David" w:hint="cs"/>
          <w:sz w:val="24"/>
          <w:szCs w:val="24"/>
          <w:rtl/>
        </w:rPr>
        <w:t>נשאלת השאלה- האם הזכות לשוויון מעוגנת בח</w:t>
      </w:r>
      <w:r w:rsidR="003B7EE7">
        <w:rPr>
          <w:rFonts w:cs="David" w:hint="cs"/>
          <w:sz w:val="24"/>
          <w:szCs w:val="24"/>
          <w:rtl/>
        </w:rPr>
        <w:t xml:space="preserve">וק </w:t>
      </w:r>
      <w:r>
        <w:rPr>
          <w:rFonts w:cs="David" w:hint="cs"/>
          <w:sz w:val="24"/>
          <w:szCs w:val="24"/>
          <w:rtl/>
        </w:rPr>
        <w:t>י</w:t>
      </w:r>
      <w:r w:rsidR="003B7EE7">
        <w:rPr>
          <w:rFonts w:cs="David" w:hint="cs"/>
          <w:sz w:val="24"/>
          <w:szCs w:val="24"/>
          <w:rtl/>
        </w:rPr>
        <w:t>סוד</w:t>
      </w:r>
      <w:r>
        <w:rPr>
          <w:rFonts w:cs="David" w:hint="cs"/>
          <w:sz w:val="24"/>
          <w:szCs w:val="24"/>
          <w:rtl/>
        </w:rPr>
        <w:t xml:space="preserve"> כב</w:t>
      </w:r>
      <w:r w:rsidR="003B7EE7">
        <w:rPr>
          <w:rFonts w:cs="David" w:hint="cs"/>
          <w:sz w:val="24"/>
          <w:szCs w:val="24"/>
          <w:rtl/>
        </w:rPr>
        <w:t>וד ה</w:t>
      </w:r>
      <w:r>
        <w:rPr>
          <w:rFonts w:cs="David" w:hint="cs"/>
          <w:sz w:val="24"/>
          <w:szCs w:val="24"/>
          <w:rtl/>
        </w:rPr>
        <w:t>א</w:t>
      </w:r>
      <w:r w:rsidR="003B7EE7">
        <w:rPr>
          <w:rFonts w:cs="David" w:hint="cs"/>
          <w:sz w:val="24"/>
          <w:szCs w:val="24"/>
          <w:rtl/>
        </w:rPr>
        <w:t>דם</w:t>
      </w:r>
      <w:r>
        <w:rPr>
          <w:rFonts w:cs="David" w:hint="cs"/>
          <w:sz w:val="24"/>
          <w:szCs w:val="24"/>
          <w:rtl/>
        </w:rPr>
        <w:t xml:space="preserve"> וחירותו? ניתן להיעזר בשלושה מודלים</w:t>
      </w:r>
      <w:r>
        <w:rPr>
          <w:rStyle w:val="a5"/>
          <w:rFonts w:cs="David"/>
          <w:sz w:val="24"/>
          <w:szCs w:val="24"/>
          <w:rtl/>
        </w:rPr>
        <w:footnoteReference w:id="9"/>
      </w:r>
      <w:r>
        <w:rPr>
          <w:rFonts w:cs="David" w:hint="cs"/>
          <w:sz w:val="24"/>
          <w:szCs w:val="24"/>
          <w:rtl/>
        </w:rPr>
        <w:t xml:space="preserve"> לתשובה זו: המודל המצומצם, המפרש את הפגיעות בזכות כבוד האדם כפגיעות מובהקות בכבוד בלבד, המודל הרחב, על פיו כבוד האדם מכיל בתוכו את כל זכויות האדם ומודל שלישי, בו נוקט הנשיא ברק </w:t>
      </w:r>
      <w:r w:rsidR="00061133">
        <w:rPr>
          <w:rFonts w:cs="David" w:hint="cs"/>
          <w:sz w:val="24"/>
          <w:szCs w:val="24"/>
          <w:rtl/>
        </w:rPr>
        <w:t>בבג"ץ</w:t>
      </w:r>
      <w:r>
        <w:rPr>
          <w:rFonts w:cs="David" w:hint="cs"/>
          <w:sz w:val="24"/>
          <w:szCs w:val="24"/>
          <w:rtl/>
        </w:rPr>
        <w:t xml:space="preserve"> התנועה לאיכות השלטון, על פיו כבוד האדם כולל בתוכו רק את הזכויות הקשורות לכבוד האדם בקשר ענייני הדוק, הוא מודל הבינים. על פי מודל זה, הזכות לשוויון, ולא רק פגיעה בשוויון שיש בה מן ההשפלה, נכללת בזכות לכבוד האדם </w:t>
      </w:r>
      <w:r>
        <w:rPr>
          <w:rFonts w:cs="David" w:hint="cs"/>
          <w:sz w:val="24"/>
          <w:szCs w:val="24"/>
          <w:rtl/>
        </w:rPr>
        <w:lastRenderedPageBreak/>
        <w:t xml:space="preserve">ועל כן מעוגנת </w:t>
      </w:r>
      <w:r w:rsidR="006722DC">
        <w:rPr>
          <w:rFonts w:cs="David" w:hint="cs"/>
          <w:sz w:val="24"/>
          <w:szCs w:val="24"/>
          <w:rtl/>
        </w:rPr>
        <w:t>בחו</w:t>
      </w:r>
      <w:r w:rsidR="003B7EE7">
        <w:rPr>
          <w:rFonts w:cs="David" w:hint="cs"/>
          <w:sz w:val="24"/>
          <w:szCs w:val="24"/>
          <w:rtl/>
        </w:rPr>
        <w:t xml:space="preserve">ק </w:t>
      </w:r>
      <w:r w:rsidR="006722DC">
        <w:rPr>
          <w:rFonts w:cs="David" w:hint="cs"/>
          <w:sz w:val="24"/>
          <w:szCs w:val="24"/>
          <w:rtl/>
        </w:rPr>
        <w:t>י</w:t>
      </w:r>
      <w:r w:rsidR="003B7EE7">
        <w:rPr>
          <w:rFonts w:cs="David" w:hint="cs"/>
          <w:sz w:val="24"/>
          <w:szCs w:val="24"/>
          <w:rtl/>
        </w:rPr>
        <w:t>סוד</w:t>
      </w:r>
      <w:r w:rsidR="006722DC">
        <w:rPr>
          <w:rFonts w:cs="David" w:hint="cs"/>
          <w:sz w:val="24"/>
          <w:szCs w:val="24"/>
          <w:rtl/>
        </w:rPr>
        <w:t xml:space="preserve"> כב</w:t>
      </w:r>
      <w:r w:rsidR="003B7EE7">
        <w:rPr>
          <w:rFonts w:cs="David" w:hint="cs"/>
          <w:sz w:val="24"/>
          <w:szCs w:val="24"/>
          <w:rtl/>
        </w:rPr>
        <w:t>וד ה</w:t>
      </w:r>
      <w:r w:rsidR="006722DC">
        <w:rPr>
          <w:rFonts w:cs="David" w:hint="cs"/>
          <w:sz w:val="24"/>
          <w:szCs w:val="24"/>
          <w:rtl/>
        </w:rPr>
        <w:t>א</w:t>
      </w:r>
      <w:r w:rsidR="003B7EE7">
        <w:rPr>
          <w:rFonts w:cs="David" w:hint="cs"/>
          <w:sz w:val="24"/>
          <w:szCs w:val="24"/>
          <w:rtl/>
        </w:rPr>
        <w:t>דם</w:t>
      </w:r>
      <w:r w:rsidR="006722DC">
        <w:rPr>
          <w:rFonts w:cs="David" w:hint="cs"/>
          <w:sz w:val="24"/>
          <w:szCs w:val="24"/>
          <w:rtl/>
        </w:rPr>
        <w:t xml:space="preserve"> וחירותו</w:t>
      </w:r>
      <w:r w:rsidR="006722DC">
        <w:rPr>
          <w:rStyle w:val="a5"/>
          <w:rFonts w:cs="David"/>
          <w:sz w:val="24"/>
          <w:szCs w:val="24"/>
          <w:rtl/>
        </w:rPr>
        <w:t xml:space="preserve"> </w:t>
      </w:r>
      <w:r w:rsidR="00912C38">
        <w:rPr>
          <w:rStyle w:val="a5"/>
          <w:rFonts w:cs="David"/>
          <w:sz w:val="24"/>
          <w:szCs w:val="24"/>
          <w:rtl/>
        </w:rPr>
        <w:footnoteReference w:id="10"/>
      </w:r>
      <w:r>
        <w:rPr>
          <w:rFonts w:cs="David" w:hint="cs"/>
          <w:sz w:val="24"/>
          <w:szCs w:val="24"/>
          <w:rtl/>
        </w:rPr>
        <w:t>.</w:t>
      </w:r>
      <w:r w:rsidR="00A748DE">
        <w:rPr>
          <w:rFonts w:cs="David" w:hint="cs"/>
          <w:sz w:val="24"/>
          <w:szCs w:val="24"/>
          <w:rtl/>
        </w:rPr>
        <w:t xml:space="preserve"> שופטים שונים בעניין זה מחזיקים בגישות שונות ע"פ איזה מן המ</w:t>
      </w:r>
      <w:r w:rsidR="00ED7917">
        <w:rPr>
          <w:rFonts w:cs="David" w:hint="cs"/>
          <w:sz w:val="24"/>
          <w:szCs w:val="24"/>
          <w:rtl/>
        </w:rPr>
        <w:t xml:space="preserve">ודלים יש ליישם במקרה של שוויון. </w:t>
      </w:r>
    </w:p>
    <w:p w:rsidR="000F5140" w:rsidRDefault="007F6E0F" w:rsidP="00FE0332">
      <w:pPr>
        <w:spacing w:line="360" w:lineRule="auto"/>
        <w:rPr>
          <w:rFonts w:cs="David"/>
          <w:sz w:val="24"/>
          <w:szCs w:val="24"/>
          <w:rtl/>
        </w:rPr>
      </w:pPr>
      <w:r>
        <w:rPr>
          <w:rFonts w:cs="David" w:hint="cs"/>
          <w:sz w:val="24"/>
          <w:szCs w:val="24"/>
          <w:rtl/>
        </w:rPr>
        <w:t xml:space="preserve">בעצם בידולם של העוסקים ברוחניות ומיסטיקה יש פגיעה קשה בכבודם. מבדלים אותם משאר קבוצות המטפלים- הרופאים, המטפלים ברפואה אלטרנטיבית, המטפלים </w:t>
      </w:r>
      <w:r w:rsidR="00FE0332">
        <w:rPr>
          <w:rFonts w:cs="David" w:hint="cs"/>
          <w:sz w:val="24"/>
          <w:szCs w:val="24"/>
          <w:rtl/>
        </w:rPr>
        <w:t>בשיטות</w:t>
      </w:r>
      <w:r>
        <w:rPr>
          <w:rFonts w:cs="David" w:hint="cs"/>
          <w:sz w:val="24"/>
          <w:szCs w:val="24"/>
          <w:rtl/>
        </w:rPr>
        <w:t xml:space="preserve"> מזרח-רחוק ו</w:t>
      </w:r>
      <w:r w:rsidR="00E62188">
        <w:rPr>
          <w:rFonts w:cs="David" w:hint="cs"/>
          <w:sz w:val="24"/>
          <w:szCs w:val="24"/>
          <w:rtl/>
        </w:rPr>
        <w:t>כד'</w:t>
      </w:r>
      <w:r>
        <w:rPr>
          <w:rFonts w:cs="David" w:hint="cs"/>
          <w:sz w:val="24"/>
          <w:szCs w:val="24"/>
          <w:rtl/>
        </w:rPr>
        <w:t xml:space="preserve"> ואומרים כי מעצם היותם מטפלים בשיטות מסוימות, הם לא תואמים את ערכיה של מדינת ישראל וי</w:t>
      </w:r>
      <w:r w:rsidR="00E62188">
        <w:rPr>
          <w:rFonts w:cs="David" w:hint="cs"/>
          <w:sz w:val="24"/>
          <w:szCs w:val="24"/>
          <w:rtl/>
        </w:rPr>
        <w:t>ש להגבילם באופן מהותי.</w:t>
      </w:r>
      <w:r w:rsidR="00221EA4">
        <w:rPr>
          <w:rFonts w:cs="David" w:hint="cs"/>
          <w:sz w:val="24"/>
          <w:szCs w:val="24"/>
          <w:rtl/>
        </w:rPr>
        <w:t xml:space="preserve"> </w:t>
      </w:r>
      <w:r w:rsidR="00CF0BA4">
        <w:rPr>
          <w:rFonts w:cs="David" w:hint="cs"/>
          <w:sz w:val="24"/>
          <w:szCs w:val="24"/>
          <w:rtl/>
        </w:rPr>
        <w:t>השאלה העולה האם הבחנה זו היא שוויונית- עניינית, כלומר מבחינה את השונים ומתייחסת אליהם ככאלה, או שמא היא הבחנה לא שוויונית, המתייחסת לשווים כאל שונים</w:t>
      </w:r>
      <w:r w:rsidR="0001413B">
        <w:rPr>
          <w:rStyle w:val="a5"/>
          <w:rFonts w:cs="David"/>
          <w:sz w:val="24"/>
          <w:szCs w:val="24"/>
          <w:rtl/>
        </w:rPr>
        <w:footnoteReference w:id="11"/>
      </w:r>
      <w:r w:rsidR="00CF0BA4">
        <w:rPr>
          <w:rFonts w:cs="David" w:hint="cs"/>
          <w:sz w:val="24"/>
          <w:szCs w:val="24"/>
          <w:rtl/>
        </w:rPr>
        <w:t>?</w:t>
      </w:r>
      <w:r w:rsidR="00AB1493">
        <w:rPr>
          <w:rFonts w:cs="David" w:hint="cs"/>
          <w:sz w:val="24"/>
          <w:szCs w:val="24"/>
          <w:rtl/>
        </w:rPr>
        <w:t xml:space="preserve"> </w:t>
      </w:r>
    </w:p>
    <w:p w:rsidR="009D5BF4" w:rsidRDefault="00AB1493" w:rsidP="00072D6D">
      <w:pPr>
        <w:spacing w:line="360" w:lineRule="auto"/>
        <w:rPr>
          <w:rFonts w:cs="David"/>
          <w:sz w:val="24"/>
          <w:szCs w:val="24"/>
          <w:rtl/>
        </w:rPr>
      </w:pPr>
      <w:r>
        <w:rPr>
          <w:rFonts w:cs="David" w:hint="cs"/>
          <w:sz w:val="24"/>
          <w:szCs w:val="24"/>
          <w:rtl/>
        </w:rPr>
        <w:t>הצעת החוק, המסבירה את מטרתו, למעשה עושה הכללה</w:t>
      </w:r>
      <w:r w:rsidR="000F5140">
        <w:rPr>
          <w:rFonts w:cs="David" w:hint="cs"/>
          <w:sz w:val="24"/>
          <w:szCs w:val="24"/>
          <w:rtl/>
        </w:rPr>
        <w:t xml:space="preserve"> של כלל המטפלים בשיטות אלה. נקבע כי רבים מהם שרלטנים המנצלים את מצוקתם של הפונים אליהם וגונבים מהם סכומי כסף רבים, ובמקרים קיצוניים לא מעטים, אף מבצעים בהם מעשי סדום. החוק פוגע בכל העוסקים במלאכה זו, באופן שיטתי שכן פרסום פוגע מהותית בעסקיהם, זאת ועוד הוא פוגע גם בכבודם, משמיץ את כולם ולא רק את אלה העוברים על החוק הפלילי, ומונע מנתח שלם באוכלוסייה לעסוק כרצונם בעיסוק שהוא חוקי, </w:t>
      </w:r>
      <w:r w:rsidR="009D5BF4">
        <w:rPr>
          <w:rFonts w:cs="David" w:hint="cs"/>
          <w:sz w:val="24"/>
          <w:szCs w:val="24"/>
          <w:rtl/>
        </w:rPr>
        <w:t xml:space="preserve">שכן המקצוע עצמו לא נאסר בחוק, וזאת על מנת למנוע </w:t>
      </w:r>
      <w:r w:rsidR="00072D6D">
        <w:rPr>
          <w:rFonts w:cs="David" w:hint="cs"/>
          <w:sz w:val="24"/>
          <w:szCs w:val="24"/>
          <w:rtl/>
        </w:rPr>
        <w:t>אחוזים</w:t>
      </w:r>
      <w:r w:rsidR="009D5BF4">
        <w:rPr>
          <w:rFonts w:cs="David" w:hint="cs"/>
          <w:sz w:val="24"/>
          <w:szCs w:val="24"/>
          <w:rtl/>
        </w:rPr>
        <w:t xml:space="preserve"> בודדים של מטפלים הנוהגים </w:t>
      </w:r>
      <w:r w:rsidR="00072D6D">
        <w:rPr>
          <w:rFonts w:cs="David" w:hint="cs"/>
          <w:sz w:val="24"/>
          <w:szCs w:val="24"/>
          <w:rtl/>
        </w:rPr>
        <w:t>ש</w:t>
      </w:r>
      <w:r w:rsidR="009D5BF4">
        <w:rPr>
          <w:rFonts w:cs="David" w:hint="cs"/>
          <w:sz w:val="24"/>
          <w:szCs w:val="24"/>
          <w:rtl/>
        </w:rPr>
        <w:t>לא כחוק. נוסף על כך, ההבחנה בין קבוצת המטפלים הרוחניים או המיסטיים לבין קבוצות מטפלים אחרות לא צודקת גם במקרה זה, שכן כל מטפל יכול לנצל את סמכותו ומעמדו על מנת לנצל את מטופליו, לכן גם כאן לא צריכה להיות הבדלה של קבוצת המיסטיקנים. המדינה למעשה גורסת כי אופי הטיפול הוא בעייתי, ומאפשר ניצול על ידי המטפל, ובכן, כזהו כל טיפול, ואין צורך ל</w:t>
      </w:r>
      <w:r w:rsidR="00FE0332">
        <w:rPr>
          <w:rFonts w:cs="David" w:hint="cs"/>
          <w:sz w:val="24"/>
          <w:szCs w:val="24"/>
          <w:rtl/>
        </w:rPr>
        <w:t>עשות הבחנה בין מטפל כזה או אחר, הבחנה המפלה את המטפלים המיסטיקנים, ופוגעת בכבודם.</w:t>
      </w:r>
    </w:p>
    <w:p w:rsidR="009D5BF4" w:rsidRDefault="00072D6D" w:rsidP="003F0F34">
      <w:pPr>
        <w:spacing w:line="360" w:lineRule="auto"/>
        <w:rPr>
          <w:rFonts w:cs="David"/>
          <w:sz w:val="24"/>
          <w:szCs w:val="24"/>
          <w:rtl/>
        </w:rPr>
      </w:pPr>
      <w:r>
        <w:rPr>
          <w:rFonts w:cs="David" w:hint="cs"/>
          <w:sz w:val="24"/>
          <w:szCs w:val="24"/>
          <w:rtl/>
        </w:rPr>
        <w:t xml:space="preserve">לסיכום, </w:t>
      </w:r>
      <w:r w:rsidR="009D5BF4">
        <w:rPr>
          <w:rFonts w:cs="David" w:hint="cs"/>
          <w:sz w:val="24"/>
          <w:szCs w:val="24"/>
          <w:rtl/>
        </w:rPr>
        <w:t xml:space="preserve">המדינה בעצם קביעת החוק, מזלזלת בעיסוקם של המטפלים, מכלילה את כולם לאותה קטגוריה, מבדילה אותם מן המטפלים האחרים, ובכך פוגעת בזכותם לכבוד </w:t>
      </w:r>
      <w:r w:rsidR="003F0F34">
        <w:rPr>
          <w:rFonts w:cs="David" w:hint="cs"/>
          <w:sz w:val="24"/>
          <w:szCs w:val="24"/>
          <w:rtl/>
        </w:rPr>
        <w:t>ו</w:t>
      </w:r>
      <w:r w:rsidR="009D5BF4">
        <w:rPr>
          <w:rFonts w:cs="David" w:hint="cs"/>
          <w:sz w:val="24"/>
          <w:szCs w:val="24"/>
          <w:rtl/>
        </w:rPr>
        <w:t>לשוויון.</w:t>
      </w:r>
    </w:p>
    <w:p w:rsidR="00072D6D" w:rsidRDefault="00072D6D" w:rsidP="003F0F34">
      <w:pPr>
        <w:spacing w:line="360" w:lineRule="auto"/>
        <w:rPr>
          <w:rFonts w:cs="David"/>
          <w:sz w:val="24"/>
          <w:szCs w:val="24"/>
          <w:rtl/>
        </w:rPr>
      </w:pPr>
      <w:r>
        <w:rPr>
          <w:rFonts w:cs="David" w:hint="cs"/>
          <w:sz w:val="24"/>
          <w:szCs w:val="24"/>
          <w:rtl/>
        </w:rPr>
        <w:t xml:space="preserve">מנגד ניתן לטעון כי על סמך המודל המצמצם לא הייתה פגיעה בשוויון שכן </w:t>
      </w:r>
      <w:r w:rsidR="00061133">
        <w:rPr>
          <w:rFonts w:cs="David" w:hint="cs"/>
          <w:sz w:val="24"/>
          <w:szCs w:val="24"/>
          <w:rtl/>
        </w:rPr>
        <w:t>ההבחנה</w:t>
      </w:r>
      <w:r>
        <w:rPr>
          <w:rFonts w:cs="David" w:hint="cs"/>
          <w:sz w:val="24"/>
          <w:szCs w:val="24"/>
          <w:rtl/>
        </w:rPr>
        <w:t xml:space="preserve"> ה</w:t>
      </w:r>
      <w:r w:rsidR="00061133">
        <w:rPr>
          <w:rFonts w:cs="David" w:hint="cs"/>
          <w:sz w:val="24"/>
          <w:szCs w:val="24"/>
          <w:rtl/>
        </w:rPr>
        <w:t>י</w:t>
      </w:r>
      <w:r>
        <w:rPr>
          <w:rFonts w:cs="David" w:hint="cs"/>
          <w:sz w:val="24"/>
          <w:szCs w:val="24"/>
          <w:rtl/>
        </w:rPr>
        <w:t xml:space="preserve">א לא כלפי האנשים עצמם אלא </w:t>
      </w:r>
      <w:r w:rsidR="00061133">
        <w:rPr>
          <w:rFonts w:cs="David" w:hint="cs"/>
          <w:sz w:val="24"/>
          <w:szCs w:val="24"/>
          <w:rtl/>
        </w:rPr>
        <w:t xml:space="preserve">הבחנה עניינית, </w:t>
      </w:r>
      <w:r>
        <w:rPr>
          <w:rFonts w:cs="David" w:hint="cs"/>
          <w:sz w:val="24"/>
          <w:szCs w:val="24"/>
          <w:rtl/>
        </w:rPr>
        <w:t>כלפי העיסוק הבעייתי. אולם גם אם מסתכלים על המודל המצמצם, יש פגיעה חמורה בכבודם של המיסטיקנים שכן מכלילים אותם בצורה משפילה.</w:t>
      </w:r>
    </w:p>
    <w:p w:rsidR="00E91537" w:rsidRDefault="00B51946" w:rsidP="003B7EE7">
      <w:pPr>
        <w:spacing w:line="360" w:lineRule="auto"/>
        <w:rPr>
          <w:rFonts w:cs="David"/>
          <w:sz w:val="24"/>
          <w:szCs w:val="24"/>
          <w:rtl/>
        </w:rPr>
      </w:pPr>
      <w:r>
        <w:rPr>
          <w:rFonts w:cs="David" w:hint="cs"/>
          <w:sz w:val="24"/>
          <w:szCs w:val="24"/>
          <w:rtl/>
        </w:rPr>
        <w:t>הטענה ל</w:t>
      </w:r>
      <w:r w:rsidR="008C6979">
        <w:rPr>
          <w:rFonts w:cs="David" w:hint="cs"/>
          <w:sz w:val="24"/>
          <w:szCs w:val="24"/>
          <w:rtl/>
        </w:rPr>
        <w:t xml:space="preserve">פגיעה בחופש הביטוי היא בעייתית יותר. ניתן לטעון כי חופש הביטוי נפגע, שכן נאסר </w:t>
      </w:r>
      <w:r w:rsidR="00F002DB">
        <w:rPr>
          <w:rFonts w:cs="David" w:hint="cs"/>
          <w:sz w:val="24"/>
          <w:szCs w:val="24"/>
          <w:rtl/>
        </w:rPr>
        <w:t>פרסום ידיעות על טיפולים רוחניים</w:t>
      </w:r>
      <w:r w:rsidR="00CE1907">
        <w:rPr>
          <w:rFonts w:cs="David" w:hint="cs"/>
          <w:sz w:val="24"/>
          <w:szCs w:val="24"/>
          <w:rtl/>
        </w:rPr>
        <w:t>.</w:t>
      </w:r>
      <w:r w:rsidR="008C6979">
        <w:rPr>
          <w:rFonts w:cs="David" w:hint="cs"/>
          <w:sz w:val="24"/>
          <w:szCs w:val="24"/>
          <w:rtl/>
        </w:rPr>
        <w:t xml:space="preserve"> </w:t>
      </w:r>
      <w:r w:rsidR="00CE1907">
        <w:rPr>
          <w:rFonts w:cs="David" w:hint="cs"/>
          <w:sz w:val="24"/>
          <w:szCs w:val="24"/>
          <w:rtl/>
        </w:rPr>
        <w:t xml:space="preserve">נקבע </w:t>
      </w:r>
      <w:r w:rsidR="00E347F5">
        <w:rPr>
          <w:rFonts w:cs="David" w:hint="cs"/>
          <w:sz w:val="24"/>
          <w:szCs w:val="24"/>
          <w:rtl/>
        </w:rPr>
        <w:t>בבג"ץ</w:t>
      </w:r>
      <w:r w:rsidR="00CE1907">
        <w:rPr>
          <w:rFonts w:cs="David" w:hint="cs"/>
          <w:sz w:val="24"/>
          <w:szCs w:val="24"/>
          <w:rtl/>
        </w:rPr>
        <w:t xml:space="preserve"> המפקד הלאומי בע"מ</w:t>
      </w:r>
      <w:r w:rsidR="00E347F5">
        <w:rPr>
          <w:rStyle w:val="a5"/>
          <w:rFonts w:cs="David"/>
          <w:sz w:val="24"/>
          <w:szCs w:val="24"/>
          <w:rtl/>
        </w:rPr>
        <w:footnoteReference w:id="12"/>
      </w:r>
      <w:r w:rsidR="00CE1907">
        <w:rPr>
          <w:rFonts w:cs="David" w:hint="cs"/>
          <w:sz w:val="24"/>
          <w:szCs w:val="24"/>
          <w:rtl/>
        </w:rPr>
        <w:t xml:space="preserve"> כי </w:t>
      </w:r>
      <w:r w:rsidR="008C6979">
        <w:rPr>
          <w:rFonts w:cs="David" w:hint="cs"/>
          <w:sz w:val="24"/>
          <w:szCs w:val="24"/>
          <w:rtl/>
        </w:rPr>
        <w:t>זכות זו מעוגנת</w:t>
      </w:r>
      <w:r w:rsidR="00CE1907">
        <w:rPr>
          <w:rFonts w:cs="David" w:hint="cs"/>
          <w:sz w:val="24"/>
          <w:szCs w:val="24"/>
          <w:rtl/>
        </w:rPr>
        <w:t xml:space="preserve"> </w:t>
      </w:r>
      <w:r w:rsidR="006722DC">
        <w:rPr>
          <w:rFonts w:cs="David" w:hint="cs"/>
          <w:sz w:val="24"/>
          <w:szCs w:val="24"/>
          <w:rtl/>
        </w:rPr>
        <w:t>בחו</w:t>
      </w:r>
      <w:r w:rsidR="003B7EE7">
        <w:rPr>
          <w:rFonts w:cs="David" w:hint="cs"/>
          <w:sz w:val="24"/>
          <w:szCs w:val="24"/>
          <w:rtl/>
        </w:rPr>
        <w:t xml:space="preserve">ק </w:t>
      </w:r>
      <w:r w:rsidR="006722DC">
        <w:rPr>
          <w:rFonts w:cs="David" w:hint="cs"/>
          <w:sz w:val="24"/>
          <w:szCs w:val="24"/>
          <w:rtl/>
        </w:rPr>
        <w:t>י</w:t>
      </w:r>
      <w:r w:rsidR="003B7EE7">
        <w:rPr>
          <w:rFonts w:cs="David" w:hint="cs"/>
          <w:sz w:val="24"/>
          <w:szCs w:val="24"/>
          <w:rtl/>
        </w:rPr>
        <w:t>סוד</w:t>
      </w:r>
      <w:r w:rsidR="006722DC">
        <w:rPr>
          <w:rFonts w:cs="David" w:hint="cs"/>
          <w:sz w:val="24"/>
          <w:szCs w:val="24"/>
          <w:rtl/>
        </w:rPr>
        <w:t xml:space="preserve"> כב</w:t>
      </w:r>
      <w:r w:rsidR="003B7EE7">
        <w:rPr>
          <w:rFonts w:cs="David" w:hint="cs"/>
          <w:sz w:val="24"/>
          <w:szCs w:val="24"/>
          <w:rtl/>
        </w:rPr>
        <w:t>וד האדם</w:t>
      </w:r>
      <w:r w:rsidR="006722DC">
        <w:rPr>
          <w:rFonts w:cs="David" w:hint="cs"/>
          <w:sz w:val="24"/>
          <w:szCs w:val="24"/>
          <w:rtl/>
        </w:rPr>
        <w:t xml:space="preserve"> וחירותו</w:t>
      </w:r>
      <w:r w:rsidR="00CE1907">
        <w:rPr>
          <w:rFonts w:cs="David" w:hint="cs"/>
          <w:sz w:val="24"/>
          <w:szCs w:val="24"/>
          <w:rtl/>
        </w:rPr>
        <w:t xml:space="preserve">. </w:t>
      </w:r>
      <w:r w:rsidR="008C6979">
        <w:rPr>
          <w:rFonts w:cs="David" w:hint="cs"/>
          <w:sz w:val="24"/>
          <w:szCs w:val="24"/>
          <w:rtl/>
        </w:rPr>
        <w:t xml:space="preserve">מנגד, ניתן לטעון כי בפסק דין זה </w:t>
      </w:r>
      <w:r w:rsidR="00CE1907">
        <w:rPr>
          <w:rFonts w:cs="David" w:hint="cs"/>
          <w:sz w:val="24"/>
          <w:szCs w:val="24"/>
          <w:rtl/>
        </w:rPr>
        <w:t xml:space="preserve">דובר </w:t>
      </w:r>
      <w:r w:rsidR="008C6979">
        <w:rPr>
          <w:rFonts w:cs="David" w:hint="cs"/>
          <w:sz w:val="24"/>
          <w:szCs w:val="24"/>
          <w:rtl/>
        </w:rPr>
        <w:t>על חופש הביטוי הפוליטי ולא ה</w:t>
      </w:r>
      <w:r w:rsidR="00765945">
        <w:rPr>
          <w:rFonts w:cs="David" w:hint="cs"/>
          <w:sz w:val="24"/>
          <w:szCs w:val="24"/>
          <w:rtl/>
        </w:rPr>
        <w:t>מסחרי, שהוא זה שהוגבל בענייננו.</w:t>
      </w:r>
    </w:p>
    <w:p w:rsidR="00A85562" w:rsidRDefault="00061133" w:rsidP="003B7EE7">
      <w:pPr>
        <w:spacing w:line="360" w:lineRule="auto"/>
        <w:rPr>
          <w:rFonts w:cs="David"/>
          <w:sz w:val="24"/>
          <w:szCs w:val="24"/>
          <w:rtl/>
        </w:rPr>
      </w:pPr>
      <w:r>
        <w:rPr>
          <w:rFonts w:cs="David" w:hint="cs"/>
          <w:sz w:val="24"/>
          <w:szCs w:val="24"/>
          <w:rtl/>
        </w:rPr>
        <w:lastRenderedPageBreak/>
        <w:t xml:space="preserve">פסקת ההגבלה </w:t>
      </w:r>
      <w:r w:rsidRPr="00A5547E">
        <w:rPr>
          <w:rFonts w:cs="David" w:hint="cs"/>
          <w:sz w:val="24"/>
          <w:szCs w:val="24"/>
          <w:rtl/>
        </w:rPr>
        <w:t>ב</w:t>
      </w:r>
      <w:r w:rsidR="00A02FB2" w:rsidRPr="00A5547E">
        <w:rPr>
          <w:rFonts w:cs="David" w:hint="cs"/>
          <w:sz w:val="24"/>
          <w:szCs w:val="24"/>
          <w:rtl/>
        </w:rPr>
        <w:t xml:space="preserve">חוקי היסוד </w:t>
      </w:r>
      <w:r w:rsidR="003B7EE7">
        <w:rPr>
          <w:rFonts w:cs="David" w:hint="cs"/>
          <w:sz w:val="24"/>
          <w:szCs w:val="24"/>
          <w:rtl/>
        </w:rPr>
        <w:t xml:space="preserve">חופש העיסוק </w:t>
      </w:r>
      <w:r w:rsidRPr="00A5547E">
        <w:rPr>
          <w:rFonts w:cs="David" w:hint="cs"/>
          <w:sz w:val="24"/>
          <w:szCs w:val="24"/>
          <w:rtl/>
        </w:rPr>
        <w:t>וכב</w:t>
      </w:r>
      <w:r w:rsidR="003B7EE7">
        <w:rPr>
          <w:rFonts w:cs="David" w:hint="cs"/>
          <w:sz w:val="24"/>
          <w:szCs w:val="24"/>
          <w:rtl/>
        </w:rPr>
        <w:t>וד ה</w:t>
      </w:r>
      <w:r w:rsidRPr="00A5547E">
        <w:rPr>
          <w:rFonts w:cs="David" w:hint="cs"/>
          <w:sz w:val="24"/>
          <w:szCs w:val="24"/>
          <w:rtl/>
        </w:rPr>
        <w:t>א</w:t>
      </w:r>
      <w:r w:rsidR="003B7EE7">
        <w:rPr>
          <w:rFonts w:cs="David" w:hint="cs"/>
          <w:sz w:val="24"/>
          <w:szCs w:val="24"/>
          <w:rtl/>
        </w:rPr>
        <w:t>דם</w:t>
      </w:r>
      <w:r w:rsidRPr="00A5547E">
        <w:rPr>
          <w:rFonts w:cs="David" w:hint="cs"/>
          <w:sz w:val="24"/>
          <w:szCs w:val="24"/>
          <w:rtl/>
        </w:rPr>
        <w:t xml:space="preserve"> </w:t>
      </w:r>
      <w:r w:rsidR="00A5547E" w:rsidRPr="00A5547E">
        <w:rPr>
          <w:rFonts w:cs="David" w:hint="cs"/>
          <w:sz w:val="24"/>
          <w:szCs w:val="24"/>
          <w:rtl/>
        </w:rPr>
        <w:t xml:space="preserve">וחירותו </w:t>
      </w:r>
      <w:r>
        <w:rPr>
          <w:rFonts w:cs="David" w:hint="cs"/>
          <w:sz w:val="24"/>
          <w:szCs w:val="24"/>
          <w:rtl/>
        </w:rPr>
        <w:t>זהה ולכן הבדיקה של התכלית והמידתיות נכונה לשני העקרונות, ואין צורך לבחון שנית את מבחני המידתיות</w:t>
      </w:r>
      <w:r w:rsidR="009C70D0">
        <w:rPr>
          <w:rStyle w:val="a5"/>
          <w:rFonts w:cs="David"/>
          <w:sz w:val="24"/>
          <w:szCs w:val="24"/>
          <w:rtl/>
        </w:rPr>
        <w:footnoteReference w:id="13"/>
      </w:r>
      <w:r>
        <w:rPr>
          <w:rFonts w:cs="David" w:hint="cs"/>
          <w:sz w:val="24"/>
          <w:szCs w:val="24"/>
          <w:rtl/>
        </w:rPr>
        <w:t>.</w:t>
      </w:r>
    </w:p>
    <w:p w:rsidR="00E91537" w:rsidRDefault="00E91537" w:rsidP="00E91537">
      <w:pPr>
        <w:spacing w:line="360" w:lineRule="auto"/>
        <w:rPr>
          <w:rFonts w:cs="David"/>
          <w:sz w:val="24"/>
          <w:szCs w:val="24"/>
          <w:rtl/>
        </w:rPr>
      </w:pPr>
    </w:p>
    <w:p w:rsidR="00A85562" w:rsidRDefault="00A85562" w:rsidP="003B7EE7">
      <w:pPr>
        <w:spacing w:line="360" w:lineRule="auto"/>
        <w:rPr>
          <w:rFonts w:cs="David"/>
          <w:sz w:val="24"/>
          <w:szCs w:val="24"/>
          <w:rtl/>
        </w:rPr>
      </w:pPr>
      <w:r>
        <w:rPr>
          <w:rFonts w:cs="David" w:hint="cs"/>
          <w:sz w:val="24"/>
          <w:szCs w:val="24"/>
          <w:rtl/>
        </w:rPr>
        <w:t>ב. במקרה בו החוק לא עומד בפסקת ההגבלה, ניתן לפנות לפסקת ההתגברות</w:t>
      </w:r>
      <w:r>
        <w:rPr>
          <w:rStyle w:val="a5"/>
          <w:rFonts w:cs="David"/>
          <w:sz w:val="24"/>
          <w:szCs w:val="24"/>
          <w:rtl/>
        </w:rPr>
        <w:footnoteReference w:id="14"/>
      </w:r>
      <w:r w:rsidR="00183F1D">
        <w:rPr>
          <w:rFonts w:cs="David" w:hint="cs"/>
          <w:sz w:val="24"/>
          <w:szCs w:val="24"/>
          <w:rtl/>
        </w:rPr>
        <w:t xml:space="preserve"> להמשך הבחינה החוקתית. בפסקה נאמר כי חוק הפוגע </w:t>
      </w:r>
      <w:r w:rsidR="003B7EE7">
        <w:rPr>
          <w:rFonts w:cs="David" w:hint="cs"/>
          <w:sz w:val="24"/>
          <w:szCs w:val="24"/>
          <w:rtl/>
        </w:rPr>
        <w:t xml:space="preserve">בחופש העיסוק </w:t>
      </w:r>
      <w:r w:rsidR="00183F1D">
        <w:rPr>
          <w:rFonts w:cs="David" w:hint="cs"/>
          <w:sz w:val="24"/>
          <w:szCs w:val="24"/>
          <w:rtl/>
        </w:rPr>
        <w:t>יהיה תקף אף אם אינו בהתאם לפסקת ההגבלה, אם הוא עומד בשני תנאים מצטברים:</w:t>
      </w:r>
    </w:p>
    <w:p w:rsidR="00183F1D" w:rsidRDefault="00183F1D" w:rsidP="00765945">
      <w:pPr>
        <w:spacing w:line="360" w:lineRule="auto"/>
        <w:rPr>
          <w:rFonts w:cs="David"/>
          <w:sz w:val="24"/>
          <w:szCs w:val="24"/>
          <w:rtl/>
        </w:rPr>
      </w:pPr>
      <w:r>
        <w:rPr>
          <w:rFonts w:cs="David" w:hint="cs"/>
          <w:sz w:val="24"/>
          <w:szCs w:val="24"/>
          <w:rtl/>
        </w:rPr>
        <w:t>* החוק נתקבל ברוב חברי כנסת (מעל לשישים חברי כנסת)- אמנם החוק עבר רק בקריאה שלישית ברוב חברי כנסת, אך לפי פרופ' אהרון ברק די בכך</w:t>
      </w:r>
      <w:r>
        <w:rPr>
          <w:rStyle w:val="a5"/>
          <w:rFonts w:cs="David"/>
          <w:sz w:val="24"/>
          <w:szCs w:val="24"/>
          <w:rtl/>
        </w:rPr>
        <w:footnoteReference w:id="15"/>
      </w:r>
      <w:r>
        <w:rPr>
          <w:rFonts w:cs="David" w:hint="cs"/>
          <w:sz w:val="24"/>
          <w:szCs w:val="24"/>
          <w:rtl/>
        </w:rPr>
        <w:t>.</w:t>
      </w:r>
      <w:r w:rsidR="00110F83">
        <w:rPr>
          <w:rFonts w:cs="David" w:hint="cs"/>
          <w:sz w:val="24"/>
          <w:szCs w:val="24"/>
          <w:rtl/>
        </w:rPr>
        <w:t xml:space="preserve"> על כן החוק עומד בתנאי זה של פסקת התגברות.</w:t>
      </w:r>
    </w:p>
    <w:p w:rsidR="00183F1D" w:rsidRDefault="00183F1D" w:rsidP="00765945">
      <w:pPr>
        <w:spacing w:line="360" w:lineRule="auto"/>
        <w:rPr>
          <w:rFonts w:cs="David"/>
          <w:sz w:val="24"/>
          <w:szCs w:val="24"/>
          <w:rtl/>
        </w:rPr>
      </w:pPr>
      <w:r>
        <w:rPr>
          <w:rFonts w:cs="David" w:hint="cs"/>
          <w:sz w:val="24"/>
          <w:szCs w:val="24"/>
          <w:rtl/>
        </w:rPr>
        <w:t xml:space="preserve">* נאמר בחוק מפורשות שהוא תקף על אף </w:t>
      </w:r>
      <w:r w:rsidR="00110F83">
        <w:rPr>
          <w:rFonts w:cs="David" w:hint="cs"/>
          <w:sz w:val="24"/>
          <w:szCs w:val="24"/>
          <w:rtl/>
        </w:rPr>
        <w:t>האמור בחוק יסוד- בהנחה שאכן מתווסף לחוק סעיף כזה, הרי שהוא עומד גם בתנאי זה.</w:t>
      </w:r>
    </w:p>
    <w:p w:rsidR="00110F83" w:rsidRDefault="00446E02" w:rsidP="003B7EE7">
      <w:pPr>
        <w:spacing w:line="360" w:lineRule="auto"/>
        <w:rPr>
          <w:rFonts w:cs="David"/>
          <w:sz w:val="24"/>
          <w:szCs w:val="24"/>
          <w:rtl/>
        </w:rPr>
      </w:pPr>
      <w:r>
        <w:rPr>
          <w:rFonts w:cs="David" w:hint="cs"/>
          <w:sz w:val="24"/>
          <w:szCs w:val="24"/>
          <w:rtl/>
        </w:rPr>
        <w:t xml:space="preserve">על פניו לפי ניתוח זה, </w:t>
      </w:r>
      <w:r w:rsidR="00110F83">
        <w:rPr>
          <w:rFonts w:cs="David" w:hint="cs"/>
          <w:sz w:val="24"/>
          <w:szCs w:val="24"/>
          <w:rtl/>
        </w:rPr>
        <w:t xml:space="preserve">החוק עומד בפסקת </w:t>
      </w:r>
      <w:r>
        <w:rPr>
          <w:rFonts w:cs="David" w:hint="cs"/>
          <w:sz w:val="24"/>
          <w:szCs w:val="24"/>
          <w:rtl/>
        </w:rPr>
        <w:t>ההתגברות, ולכן</w:t>
      </w:r>
      <w:r w:rsidR="00110F83">
        <w:rPr>
          <w:rFonts w:cs="David" w:hint="cs"/>
          <w:sz w:val="24"/>
          <w:szCs w:val="24"/>
          <w:rtl/>
        </w:rPr>
        <w:t xml:space="preserve"> </w:t>
      </w:r>
      <w:r>
        <w:rPr>
          <w:rFonts w:cs="David" w:hint="cs"/>
          <w:sz w:val="24"/>
          <w:szCs w:val="24"/>
          <w:rtl/>
        </w:rPr>
        <w:t>הוא</w:t>
      </w:r>
      <w:r w:rsidR="00110F83">
        <w:rPr>
          <w:rFonts w:cs="David" w:hint="cs"/>
          <w:sz w:val="24"/>
          <w:szCs w:val="24"/>
          <w:rtl/>
        </w:rPr>
        <w:t xml:space="preserve"> תקף.</w:t>
      </w:r>
      <w:r w:rsidR="00E14A1D" w:rsidRPr="00E14A1D">
        <w:rPr>
          <w:rFonts w:cs="David" w:hint="cs"/>
          <w:sz w:val="24"/>
          <w:szCs w:val="24"/>
          <w:rtl/>
        </w:rPr>
        <w:t xml:space="preserve"> </w:t>
      </w:r>
      <w:r w:rsidR="00E14A1D">
        <w:rPr>
          <w:rFonts w:cs="David" w:hint="cs"/>
          <w:sz w:val="24"/>
          <w:szCs w:val="24"/>
          <w:rtl/>
        </w:rPr>
        <w:t>אולם,</w:t>
      </w:r>
      <w:r w:rsidR="005B446F">
        <w:rPr>
          <w:rFonts w:cs="David" w:hint="cs"/>
          <w:sz w:val="24"/>
          <w:szCs w:val="24"/>
          <w:rtl/>
        </w:rPr>
        <w:t xml:space="preserve"> </w:t>
      </w:r>
      <w:r w:rsidR="00E14A1D">
        <w:rPr>
          <w:rFonts w:cs="David" w:hint="cs"/>
          <w:sz w:val="24"/>
          <w:szCs w:val="24"/>
          <w:rtl/>
        </w:rPr>
        <w:t>הנשיא</w:t>
      </w:r>
      <w:r w:rsidR="005B446F">
        <w:rPr>
          <w:rFonts w:cs="David" w:hint="cs"/>
          <w:sz w:val="24"/>
          <w:szCs w:val="24"/>
          <w:rtl/>
        </w:rPr>
        <w:t xml:space="preserve"> ברק </w:t>
      </w:r>
      <w:r w:rsidR="00E14A1D">
        <w:rPr>
          <w:rFonts w:cs="David" w:hint="cs"/>
          <w:sz w:val="24"/>
          <w:szCs w:val="24"/>
          <w:rtl/>
        </w:rPr>
        <w:t>בבג"ץ</w:t>
      </w:r>
      <w:r w:rsidR="005B446F">
        <w:rPr>
          <w:rFonts w:cs="David" w:hint="cs"/>
          <w:sz w:val="24"/>
          <w:szCs w:val="24"/>
          <w:rtl/>
        </w:rPr>
        <w:t xml:space="preserve"> התנועה לאיכות השלטון דן בפסילת חוק </w:t>
      </w:r>
      <w:r w:rsidR="004026CA">
        <w:rPr>
          <w:rFonts w:cs="David" w:hint="cs"/>
          <w:sz w:val="24"/>
          <w:szCs w:val="24"/>
          <w:rtl/>
        </w:rPr>
        <w:t>חרף עמידתו בפסקת ההתגברות</w:t>
      </w:r>
      <w:r w:rsidR="007729B4">
        <w:rPr>
          <w:rStyle w:val="a5"/>
          <w:rFonts w:cs="David"/>
          <w:sz w:val="24"/>
          <w:szCs w:val="24"/>
          <w:rtl/>
        </w:rPr>
        <w:footnoteReference w:id="16"/>
      </w:r>
      <w:r w:rsidR="00E14A1D">
        <w:rPr>
          <w:rFonts w:cs="David" w:hint="cs"/>
          <w:sz w:val="24"/>
          <w:szCs w:val="24"/>
          <w:rtl/>
        </w:rPr>
        <w:t>.</w:t>
      </w:r>
      <w:r w:rsidR="004026CA">
        <w:rPr>
          <w:rFonts w:cs="David" w:hint="cs"/>
          <w:sz w:val="24"/>
          <w:szCs w:val="24"/>
          <w:rtl/>
        </w:rPr>
        <w:t xml:space="preserve"> ברק קובע כי פסילה זו תתקיים רק במקרים אשר שוללים את אופי</w:t>
      </w:r>
      <w:r w:rsidR="00E14A1D">
        <w:rPr>
          <w:rFonts w:cs="David" w:hint="cs"/>
          <w:sz w:val="24"/>
          <w:szCs w:val="24"/>
          <w:rtl/>
        </w:rPr>
        <w:t>י</w:t>
      </w:r>
      <w:r w:rsidR="004026CA">
        <w:rPr>
          <w:rFonts w:cs="David" w:hint="cs"/>
          <w:sz w:val="24"/>
          <w:szCs w:val="24"/>
          <w:rtl/>
        </w:rPr>
        <w:t>ה של מדינת ישראל כמדינה דמוקרטית. לעניות דעתי, במקרה דנן פגיעה</w:t>
      </w:r>
      <w:r w:rsidR="006722DC">
        <w:rPr>
          <w:rFonts w:cs="David" w:hint="cs"/>
          <w:sz w:val="24"/>
          <w:szCs w:val="24"/>
          <w:rtl/>
        </w:rPr>
        <w:t xml:space="preserve"> חמורה</w:t>
      </w:r>
      <w:r w:rsidR="004026CA">
        <w:rPr>
          <w:rFonts w:cs="David" w:hint="cs"/>
          <w:sz w:val="24"/>
          <w:szCs w:val="24"/>
          <w:rtl/>
        </w:rPr>
        <w:t xml:space="preserve"> </w:t>
      </w:r>
      <w:r w:rsidR="006722DC">
        <w:rPr>
          <w:rFonts w:cs="David" w:hint="cs"/>
          <w:sz w:val="24"/>
          <w:szCs w:val="24"/>
          <w:rtl/>
        </w:rPr>
        <w:t>ש</w:t>
      </w:r>
      <w:r w:rsidR="004026CA">
        <w:rPr>
          <w:rFonts w:cs="David" w:hint="cs"/>
          <w:sz w:val="24"/>
          <w:szCs w:val="24"/>
          <w:rtl/>
        </w:rPr>
        <w:t>כזו לא מתרחשת אולם</w:t>
      </w:r>
      <w:r w:rsidR="00110F83">
        <w:rPr>
          <w:rFonts w:cs="David" w:hint="cs"/>
          <w:sz w:val="24"/>
          <w:szCs w:val="24"/>
          <w:rtl/>
        </w:rPr>
        <w:t xml:space="preserve"> החוק לא פוגע רק</w:t>
      </w:r>
      <w:r w:rsidR="00E14A1D">
        <w:rPr>
          <w:rFonts w:cs="David" w:hint="cs"/>
          <w:sz w:val="24"/>
          <w:szCs w:val="24"/>
          <w:rtl/>
        </w:rPr>
        <w:t xml:space="preserve"> בזכות </w:t>
      </w:r>
      <w:r w:rsidR="00EB640E">
        <w:rPr>
          <w:rFonts w:cs="David" w:hint="cs"/>
          <w:sz w:val="24"/>
          <w:szCs w:val="24"/>
          <w:rtl/>
        </w:rPr>
        <w:t>ל</w:t>
      </w:r>
      <w:r w:rsidR="003B7EE7">
        <w:rPr>
          <w:rFonts w:cs="David" w:hint="cs"/>
          <w:sz w:val="24"/>
          <w:szCs w:val="24"/>
          <w:rtl/>
        </w:rPr>
        <w:t>חופש העיסוק</w:t>
      </w:r>
      <w:r w:rsidR="00E14A1D">
        <w:rPr>
          <w:rFonts w:cs="David" w:hint="cs"/>
          <w:sz w:val="24"/>
          <w:szCs w:val="24"/>
          <w:rtl/>
        </w:rPr>
        <w:t xml:space="preserve">, </w:t>
      </w:r>
      <w:r w:rsidR="004026CA">
        <w:rPr>
          <w:rFonts w:cs="David" w:hint="cs"/>
          <w:sz w:val="24"/>
          <w:szCs w:val="24"/>
          <w:rtl/>
        </w:rPr>
        <w:t>אלא קיימ</w:t>
      </w:r>
      <w:r w:rsidR="00E14A1D">
        <w:rPr>
          <w:rFonts w:cs="David" w:hint="cs"/>
          <w:sz w:val="24"/>
          <w:szCs w:val="24"/>
          <w:rtl/>
        </w:rPr>
        <w:t>ו</w:t>
      </w:r>
      <w:r w:rsidR="004026CA">
        <w:rPr>
          <w:rFonts w:cs="David" w:hint="cs"/>
          <w:sz w:val="24"/>
          <w:szCs w:val="24"/>
          <w:rtl/>
        </w:rPr>
        <w:t>ת פגיעות בזכויות המשתמעות מ</w:t>
      </w:r>
      <w:r w:rsidR="00414C01">
        <w:rPr>
          <w:rFonts w:cs="David" w:hint="cs"/>
          <w:sz w:val="24"/>
          <w:szCs w:val="24"/>
          <w:rtl/>
        </w:rPr>
        <w:t>חו</w:t>
      </w:r>
      <w:r w:rsidR="003B7EE7">
        <w:rPr>
          <w:rFonts w:cs="David" w:hint="cs"/>
          <w:sz w:val="24"/>
          <w:szCs w:val="24"/>
          <w:rtl/>
        </w:rPr>
        <w:t xml:space="preserve">ק </w:t>
      </w:r>
      <w:r w:rsidR="00414C01">
        <w:rPr>
          <w:rFonts w:cs="David" w:hint="cs"/>
          <w:sz w:val="24"/>
          <w:szCs w:val="24"/>
          <w:rtl/>
        </w:rPr>
        <w:t>י</w:t>
      </w:r>
      <w:r w:rsidR="003B7EE7">
        <w:rPr>
          <w:rFonts w:cs="David" w:hint="cs"/>
          <w:sz w:val="24"/>
          <w:szCs w:val="24"/>
          <w:rtl/>
        </w:rPr>
        <w:t>סוד</w:t>
      </w:r>
      <w:r w:rsidR="006722DC">
        <w:rPr>
          <w:rFonts w:cs="David" w:hint="cs"/>
          <w:sz w:val="24"/>
          <w:szCs w:val="24"/>
          <w:rtl/>
        </w:rPr>
        <w:t xml:space="preserve"> </w:t>
      </w:r>
      <w:r w:rsidR="00414C01">
        <w:rPr>
          <w:rFonts w:cs="David" w:hint="cs"/>
          <w:sz w:val="24"/>
          <w:szCs w:val="24"/>
          <w:rtl/>
        </w:rPr>
        <w:t>כבא וחירותו</w:t>
      </w:r>
      <w:r w:rsidR="004026CA">
        <w:rPr>
          <w:rStyle w:val="a5"/>
          <w:rFonts w:cs="David"/>
          <w:sz w:val="24"/>
          <w:szCs w:val="24"/>
          <w:rtl/>
        </w:rPr>
        <w:footnoteReference w:id="17"/>
      </w:r>
      <w:r w:rsidR="00E14A1D">
        <w:rPr>
          <w:rFonts w:cs="David" w:hint="cs"/>
          <w:sz w:val="24"/>
          <w:szCs w:val="24"/>
          <w:rtl/>
        </w:rPr>
        <w:t>. לכן, דרך חו</w:t>
      </w:r>
      <w:r w:rsidR="003B7EE7">
        <w:rPr>
          <w:rFonts w:cs="David" w:hint="cs"/>
          <w:sz w:val="24"/>
          <w:szCs w:val="24"/>
          <w:rtl/>
        </w:rPr>
        <w:t xml:space="preserve">ק </w:t>
      </w:r>
      <w:r w:rsidR="00E14A1D">
        <w:rPr>
          <w:rFonts w:cs="David" w:hint="cs"/>
          <w:sz w:val="24"/>
          <w:szCs w:val="24"/>
          <w:rtl/>
        </w:rPr>
        <w:t>י</w:t>
      </w:r>
      <w:r w:rsidR="003B7EE7">
        <w:rPr>
          <w:rFonts w:cs="David" w:hint="cs"/>
          <w:sz w:val="24"/>
          <w:szCs w:val="24"/>
          <w:rtl/>
        </w:rPr>
        <w:t>סוד</w:t>
      </w:r>
      <w:r w:rsidR="00E14A1D">
        <w:rPr>
          <w:rFonts w:cs="David" w:hint="cs"/>
          <w:sz w:val="24"/>
          <w:szCs w:val="24"/>
          <w:rtl/>
        </w:rPr>
        <w:t xml:space="preserve"> כב</w:t>
      </w:r>
      <w:r w:rsidR="003B7EE7">
        <w:rPr>
          <w:rFonts w:cs="David" w:hint="cs"/>
          <w:sz w:val="24"/>
          <w:szCs w:val="24"/>
          <w:rtl/>
        </w:rPr>
        <w:t>וד ה</w:t>
      </w:r>
      <w:r w:rsidR="00E14A1D">
        <w:rPr>
          <w:rFonts w:cs="David" w:hint="cs"/>
          <w:sz w:val="24"/>
          <w:szCs w:val="24"/>
          <w:rtl/>
        </w:rPr>
        <w:t>א</w:t>
      </w:r>
      <w:r w:rsidR="003B7EE7">
        <w:rPr>
          <w:rFonts w:cs="David" w:hint="cs"/>
          <w:sz w:val="24"/>
          <w:szCs w:val="24"/>
          <w:rtl/>
        </w:rPr>
        <w:t>דם</w:t>
      </w:r>
      <w:r w:rsidR="00E14A1D">
        <w:rPr>
          <w:rFonts w:cs="David" w:hint="cs"/>
          <w:sz w:val="24"/>
          <w:szCs w:val="24"/>
          <w:rtl/>
        </w:rPr>
        <w:t xml:space="preserve"> וחירותו ניתן לתקוף את חוקיות החוק שכן מדובר בפגיעה בזכויות (</w:t>
      </w:r>
      <w:r w:rsidR="006722DC">
        <w:rPr>
          <w:rFonts w:cs="David" w:hint="cs"/>
          <w:sz w:val="24"/>
          <w:szCs w:val="24"/>
          <w:rtl/>
        </w:rPr>
        <w:t>הזכות לכבוד ולשוויון</w:t>
      </w:r>
      <w:r w:rsidR="00E14A1D">
        <w:rPr>
          <w:rFonts w:cs="David" w:hint="cs"/>
          <w:sz w:val="24"/>
          <w:szCs w:val="24"/>
          <w:rtl/>
        </w:rPr>
        <w:t xml:space="preserve">) שהן בסיסה </w:t>
      </w:r>
      <w:r w:rsidR="00414C01">
        <w:rPr>
          <w:rFonts w:cs="David" w:hint="cs"/>
          <w:sz w:val="24"/>
          <w:szCs w:val="24"/>
          <w:rtl/>
        </w:rPr>
        <w:t>ועליהן מושתת חברה דמוקרטית</w:t>
      </w:r>
      <w:r w:rsidR="00E14A1D">
        <w:rPr>
          <w:rStyle w:val="a5"/>
          <w:rFonts w:cs="David"/>
          <w:sz w:val="24"/>
          <w:szCs w:val="24"/>
          <w:rtl/>
        </w:rPr>
        <w:footnoteReference w:id="18"/>
      </w:r>
      <w:r w:rsidR="00414C01">
        <w:rPr>
          <w:rFonts w:cs="David" w:hint="cs"/>
          <w:sz w:val="24"/>
          <w:szCs w:val="24"/>
          <w:rtl/>
        </w:rPr>
        <w:t xml:space="preserve">. </w:t>
      </w:r>
      <w:r w:rsidR="00E14A1D">
        <w:rPr>
          <w:rFonts w:cs="David" w:hint="cs"/>
          <w:sz w:val="24"/>
          <w:szCs w:val="24"/>
          <w:rtl/>
        </w:rPr>
        <w:t>במקרים אלו</w:t>
      </w:r>
      <w:r w:rsidR="00414C01">
        <w:rPr>
          <w:rFonts w:cs="David" w:hint="cs"/>
          <w:sz w:val="24"/>
          <w:szCs w:val="24"/>
          <w:rtl/>
        </w:rPr>
        <w:t xml:space="preserve"> אין אפשרות</w:t>
      </w:r>
      <w:r w:rsidR="00E14A1D">
        <w:rPr>
          <w:rFonts w:cs="David" w:hint="cs"/>
          <w:sz w:val="24"/>
          <w:szCs w:val="24"/>
          <w:rtl/>
        </w:rPr>
        <w:t xml:space="preserve"> ל"עקיפת" פסקת ההגבלה</w:t>
      </w:r>
      <w:r w:rsidR="00414C01">
        <w:rPr>
          <w:rFonts w:cs="David" w:hint="cs"/>
          <w:sz w:val="24"/>
          <w:szCs w:val="24"/>
          <w:rtl/>
        </w:rPr>
        <w:t>.</w:t>
      </w:r>
      <w:r>
        <w:rPr>
          <w:rFonts w:cs="David" w:hint="cs"/>
          <w:sz w:val="24"/>
          <w:szCs w:val="24"/>
          <w:rtl/>
        </w:rPr>
        <w:t xml:space="preserve"> במידה והעתירה תהיה מבוססת גם על </w:t>
      </w:r>
      <w:r w:rsidR="006722DC">
        <w:rPr>
          <w:rFonts w:cs="David" w:hint="cs"/>
          <w:sz w:val="24"/>
          <w:szCs w:val="24"/>
          <w:rtl/>
        </w:rPr>
        <w:t>חו</w:t>
      </w:r>
      <w:r w:rsidR="003B7EE7">
        <w:rPr>
          <w:rFonts w:cs="David" w:hint="cs"/>
          <w:sz w:val="24"/>
          <w:szCs w:val="24"/>
          <w:rtl/>
        </w:rPr>
        <w:t>ק יסוד</w:t>
      </w:r>
      <w:r w:rsidR="006722DC">
        <w:rPr>
          <w:rFonts w:cs="David" w:hint="cs"/>
          <w:sz w:val="24"/>
          <w:szCs w:val="24"/>
          <w:rtl/>
        </w:rPr>
        <w:t xml:space="preserve"> כב</w:t>
      </w:r>
      <w:r w:rsidR="003B7EE7">
        <w:rPr>
          <w:rFonts w:cs="David" w:hint="cs"/>
          <w:sz w:val="24"/>
          <w:szCs w:val="24"/>
          <w:rtl/>
        </w:rPr>
        <w:t>וד ה</w:t>
      </w:r>
      <w:r w:rsidR="006722DC">
        <w:rPr>
          <w:rFonts w:cs="David" w:hint="cs"/>
          <w:sz w:val="24"/>
          <w:szCs w:val="24"/>
          <w:rtl/>
        </w:rPr>
        <w:t>א</w:t>
      </w:r>
      <w:r w:rsidR="003B7EE7">
        <w:rPr>
          <w:rFonts w:cs="David" w:hint="cs"/>
          <w:sz w:val="24"/>
          <w:szCs w:val="24"/>
          <w:rtl/>
        </w:rPr>
        <w:t>דם</w:t>
      </w:r>
      <w:r w:rsidR="006722DC">
        <w:rPr>
          <w:rFonts w:cs="David" w:hint="cs"/>
          <w:sz w:val="24"/>
          <w:szCs w:val="24"/>
          <w:rtl/>
        </w:rPr>
        <w:t xml:space="preserve"> וחירותו </w:t>
      </w:r>
      <w:r>
        <w:rPr>
          <w:rFonts w:cs="David" w:hint="cs"/>
          <w:sz w:val="24"/>
          <w:szCs w:val="24"/>
          <w:rtl/>
        </w:rPr>
        <w:t>ניתן להניח שביהמ"ש יפסוק לביטולו.</w:t>
      </w:r>
      <w:r w:rsidR="006722DC">
        <w:rPr>
          <w:rFonts w:cs="David" w:hint="cs"/>
          <w:sz w:val="24"/>
          <w:szCs w:val="24"/>
          <w:rtl/>
        </w:rPr>
        <w:t xml:space="preserve"> </w:t>
      </w:r>
    </w:p>
    <w:p w:rsidR="005B446F" w:rsidRDefault="005B446F" w:rsidP="00446E02">
      <w:pPr>
        <w:spacing w:line="360" w:lineRule="auto"/>
        <w:rPr>
          <w:rFonts w:cs="David"/>
          <w:sz w:val="24"/>
          <w:szCs w:val="24"/>
          <w:rtl/>
        </w:rPr>
      </w:pPr>
    </w:p>
    <w:p w:rsidR="005B446F" w:rsidRDefault="005B446F" w:rsidP="00446E02">
      <w:pPr>
        <w:spacing w:line="360" w:lineRule="auto"/>
        <w:rPr>
          <w:rFonts w:cs="David"/>
          <w:sz w:val="24"/>
          <w:szCs w:val="24"/>
          <w:rtl/>
        </w:rPr>
      </w:pPr>
    </w:p>
    <w:p w:rsidR="005B446F" w:rsidRDefault="005B446F" w:rsidP="00446E02">
      <w:pPr>
        <w:spacing w:line="360" w:lineRule="auto"/>
        <w:rPr>
          <w:rFonts w:cs="David"/>
          <w:sz w:val="24"/>
          <w:szCs w:val="24"/>
          <w:rtl/>
        </w:rPr>
      </w:pPr>
      <w:bookmarkStart w:id="0" w:name="_GoBack"/>
      <w:bookmarkEnd w:id="0"/>
    </w:p>
    <w:p w:rsidR="001D63B0" w:rsidRPr="00A85562" w:rsidRDefault="001D63B0" w:rsidP="00A85562">
      <w:pPr>
        <w:autoSpaceDE w:val="0"/>
        <w:autoSpaceDN w:val="0"/>
        <w:bidi w:val="0"/>
        <w:adjustRightInd w:val="0"/>
        <w:spacing w:after="0" w:line="240" w:lineRule="auto"/>
        <w:rPr>
          <w:rFonts w:cs="David"/>
          <w:sz w:val="20"/>
          <w:szCs w:val="20"/>
        </w:rPr>
      </w:pPr>
    </w:p>
    <w:p w:rsidR="00A85562" w:rsidRPr="00A85562" w:rsidRDefault="00A85562" w:rsidP="00A85562">
      <w:pPr>
        <w:spacing w:line="360" w:lineRule="auto"/>
        <w:jc w:val="both"/>
        <w:rPr>
          <w:rFonts w:cs="David"/>
          <w:sz w:val="24"/>
          <w:szCs w:val="24"/>
          <w:rtl/>
        </w:rPr>
      </w:pPr>
    </w:p>
    <w:sectPr w:rsidR="00A85562" w:rsidRPr="00A85562" w:rsidSect="004062C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89D" w:rsidRDefault="00F0389D" w:rsidP="00B27428">
      <w:pPr>
        <w:spacing w:after="0" w:line="240" w:lineRule="auto"/>
      </w:pPr>
      <w:r>
        <w:separator/>
      </w:r>
    </w:p>
  </w:endnote>
  <w:endnote w:type="continuationSeparator" w:id="0">
    <w:p w:rsidR="00F0389D" w:rsidRDefault="00F0389D" w:rsidP="00B2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89D" w:rsidRDefault="00F0389D" w:rsidP="00B27428">
      <w:pPr>
        <w:spacing w:after="0" w:line="240" w:lineRule="auto"/>
      </w:pPr>
      <w:r>
        <w:separator/>
      </w:r>
    </w:p>
  </w:footnote>
  <w:footnote w:type="continuationSeparator" w:id="0">
    <w:p w:rsidR="00F0389D" w:rsidRDefault="00F0389D" w:rsidP="00B27428">
      <w:pPr>
        <w:spacing w:after="0" w:line="240" w:lineRule="auto"/>
      </w:pPr>
      <w:r>
        <w:continuationSeparator/>
      </w:r>
    </w:p>
  </w:footnote>
  <w:footnote w:id="1">
    <w:p w:rsidR="0089459A" w:rsidRPr="003A1745" w:rsidRDefault="0089459A" w:rsidP="003A1745">
      <w:pPr>
        <w:pStyle w:val="a6"/>
        <w:rPr>
          <w:rFonts w:cs="David"/>
          <w:sz w:val="20"/>
          <w:szCs w:val="20"/>
          <w:rtl/>
        </w:rPr>
      </w:pPr>
      <w:r w:rsidRPr="003A1745">
        <w:rPr>
          <w:rStyle w:val="a5"/>
          <w:rFonts w:cs="David"/>
          <w:sz w:val="20"/>
          <w:szCs w:val="20"/>
        </w:rPr>
        <w:footnoteRef/>
      </w:r>
      <w:r w:rsidRPr="003A1745">
        <w:rPr>
          <w:rFonts w:cs="David"/>
          <w:sz w:val="20"/>
          <w:szCs w:val="20"/>
          <w:rtl/>
        </w:rPr>
        <w:t xml:space="preserve"> </w:t>
      </w:r>
      <w:hyperlink r:id="rId1" w:history="1">
        <w:r w:rsidRPr="008B52CA">
          <w:rPr>
            <w:rFonts w:ascii="Times New Roman" w:eastAsia="Times New Roman" w:hAnsi="Times New Roman" w:cs="David" w:hint="cs"/>
            <w:sz w:val="20"/>
            <w:szCs w:val="20"/>
            <w:rtl/>
          </w:rPr>
          <w:t>בג"צ 8276/05</w:t>
        </w:r>
        <w:r w:rsidRPr="008B52CA">
          <w:rPr>
            <w:rFonts w:ascii="Times New Roman" w:eastAsia="Times New Roman" w:hAnsi="Times New Roman" w:cs="David" w:hint="cs"/>
            <w:b/>
            <w:bCs/>
            <w:sz w:val="20"/>
            <w:szCs w:val="20"/>
            <w:rtl/>
          </w:rPr>
          <w:t xml:space="preserve"> </w:t>
        </w:r>
        <w:proofErr w:type="spellStart"/>
        <w:r w:rsidRPr="008B52CA">
          <w:rPr>
            <w:rFonts w:ascii="Times New Roman" w:eastAsia="Times New Roman" w:hAnsi="Times New Roman" w:cs="David" w:hint="cs"/>
            <w:b/>
            <w:bCs/>
            <w:sz w:val="20"/>
            <w:szCs w:val="20"/>
            <w:rtl/>
          </w:rPr>
          <w:t>עדאלה</w:t>
        </w:r>
        <w:proofErr w:type="spellEnd"/>
        <w:r w:rsidRPr="008B52CA">
          <w:rPr>
            <w:rFonts w:ascii="Times New Roman" w:eastAsia="Times New Roman" w:hAnsi="Times New Roman" w:cs="David" w:hint="cs"/>
            <w:b/>
            <w:bCs/>
            <w:sz w:val="20"/>
            <w:szCs w:val="20"/>
            <w:rtl/>
          </w:rPr>
          <w:t xml:space="preserve"> – המרכז הערבי לזכויות המיעוט הערבי בישראל נ' שר הביטחון</w:t>
        </w:r>
      </w:hyperlink>
      <w:r w:rsidRPr="003A1745">
        <w:rPr>
          <w:rFonts w:ascii="Times New Roman" w:eastAsia="Times New Roman" w:hAnsi="Times New Roman" w:cs="David" w:hint="cs"/>
          <w:sz w:val="20"/>
          <w:szCs w:val="20"/>
          <w:rtl/>
        </w:rPr>
        <w:t xml:space="preserve"> (טרם </w:t>
      </w:r>
      <w:r w:rsidRPr="003A1745">
        <w:rPr>
          <w:rFonts w:ascii="Times New Roman" w:eastAsia="Times New Roman" w:hAnsi="Times New Roman" w:cs="David" w:hint="cs"/>
          <w:sz w:val="20"/>
          <w:szCs w:val="20"/>
          <w:rtl/>
        </w:rPr>
        <w:br/>
        <w:t xml:space="preserve">       פורסם, ניתן בתאריך 12.12.2006)</w:t>
      </w:r>
      <w:r w:rsidRPr="003A1745">
        <w:rPr>
          <w:rFonts w:cs="David" w:hint="cs"/>
          <w:sz w:val="20"/>
          <w:szCs w:val="20"/>
          <w:rtl/>
        </w:rPr>
        <w:t>, פסקה 21 לפסק דינו של  הנשיא (בדימוס) א'  ברק</w:t>
      </w:r>
      <w:r w:rsidR="003A1745" w:rsidRPr="003A1745">
        <w:rPr>
          <w:rFonts w:cs="David" w:hint="cs"/>
          <w:sz w:val="20"/>
          <w:szCs w:val="20"/>
          <w:rtl/>
        </w:rPr>
        <w:t xml:space="preserve"> (להלן- בג"צ </w:t>
      </w:r>
      <w:proofErr w:type="spellStart"/>
      <w:r w:rsidR="003A1745" w:rsidRPr="003A1745">
        <w:rPr>
          <w:rFonts w:cs="David" w:hint="cs"/>
          <w:sz w:val="20"/>
          <w:szCs w:val="20"/>
          <w:rtl/>
        </w:rPr>
        <w:t>עדאלה</w:t>
      </w:r>
      <w:proofErr w:type="spellEnd"/>
      <w:r w:rsidR="003A1745" w:rsidRPr="003A1745">
        <w:rPr>
          <w:rFonts w:cs="David" w:hint="cs"/>
          <w:sz w:val="20"/>
          <w:szCs w:val="20"/>
          <w:rtl/>
        </w:rPr>
        <w:t>)</w:t>
      </w:r>
    </w:p>
  </w:footnote>
  <w:footnote w:id="2">
    <w:p w:rsidR="0032769E" w:rsidRPr="003A1745" w:rsidRDefault="0032769E" w:rsidP="00A02FB2">
      <w:pPr>
        <w:pStyle w:val="a6"/>
        <w:rPr>
          <w:rFonts w:cs="David"/>
          <w:sz w:val="20"/>
          <w:szCs w:val="20"/>
          <w:rtl/>
        </w:rPr>
      </w:pPr>
      <w:r w:rsidRPr="003A1745">
        <w:rPr>
          <w:rStyle w:val="a5"/>
          <w:rFonts w:cs="David"/>
          <w:sz w:val="20"/>
          <w:szCs w:val="20"/>
        </w:rPr>
        <w:footnoteRef/>
      </w:r>
      <w:r w:rsidRPr="003A1745">
        <w:rPr>
          <w:rFonts w:cs="David"/>
          <w:sz w:val="20"/>
          <w:szCs w:val="20"/>
          <w:rtl/>
        </w:rPr>
        <w:t xml:space="preserve"> </w:t>
      </w:r>
      <w:r w:rsidR="00EF438F">
        <w:rPr>
          <w:rFonts w:cs="David" w:hint="cs"/>
          <w:sz w:val="20"/>
          <w:szCs w:val="20"/>
          <w:rtl/>
        </w:rPr>
        <w:t xml:space="preserve">חוק יסוד: חופש העיסוק, </w:t>
      </w:r>
      <w:hyperlink r:id="rId2" w:history="1">
        <w:r w:rsidRPr="003A1745">
          <w:rPr>
            <w:rStyle w:val="Hyperlink"/>
            <w:rFonts w:cs="David" w:hint="cs"/>
            <w:color w:val="auto"/>
            <w:sz w:val="20"/>
            <w:szCs w:val="20"/>
            <w:u w:val="none"/>
            <w:rtl/>
          </w:rPr>
          <w:t xml:space="preserve">ס"ח תשנ"ד </w:t>
        </w:r>
      </w:hyperlink>
      <w:r w:rsidR="00EF438F">
        <w:rPr>
          <w:rFonts w:cs="David" w:hint="cs"/>
          <w:sz w:val="20"/>
          <w:szCs w:val="20"/>
          <w:rtl/>
        </w:rPr>
        <w:t>1994 עמ' 90</w:t>
      </w:r>
      <w:r w:rsidRPr="003A1745">
        <w:rPr>
          <w:rFonts w:cs="David" w:hint="cs"/>
          <w:sz w:val="20"/>
          <w:szCs w:val="20"/>
          <w:rtl/>
        </w:rPr>
        <w:t xml:space="preserve"> (להלן- חו</w:t>
      </w:r>
      <w:r w:rsidR="006722DC">
        <w:rPr>
          <w:rFonts w:cs="David" w:hint="cs"/>
          <w:sz w:val="20"/>
          <w:szCs w:val="20"/>
          <w:rtl/>
        </w:rPr>
        <w:t>"</w:t>
      </w:r>
      <w:r w:rsidRPr="003A1745">
        <w:rPr>
          <w:rFonts w:cs="David" w:hint="cs"/>
          <w:sz w:val="20"/>
          <w:szCs w:val="20"/>
          <w:rtl/>
        </w:rPr>
        <w:t xml:space="preserve">י </w:t>
      </w:r>
      <w:proofErr w:type="spellStart"/>
      <w:r w:rsidRPr="003A1745">
        <w:rPr>
          <w:rFonts w:cs="David" w:hint="cs"/>
          <w:sz w:val="20"/>
          <w:szCs w:val="20"/>
          <w:rtl/>
        </w:rPr>
        <w:t>חו</w:t>
      </w:r>
      <w:r w:rsidR="00A02FB2">
        <w:rPr>
          <w:rFonts w:cs="David" w:hint="cs"/>
          <w:sz w:val="20"/>
          <w:szCs w:val="20"/>
          <w:rtl/>
        </w:rPr>
        <w:t>"</w:t>
      </w:r>
      <w:r w:rsidRPr="003A1745">
        <w:rPr>
          <w:rFonts w:cs="David" w:hint="cs"/>
          <w:sz w:val="20"/>
          <w:szCs w:val="20"/>
          <w:rtl/>
        </w:rPr>
        <w:t>הע</w:t>
      </w:r>
      <w:proofErr w:type="spellEnd"/>
      <w:r w:rsidRPr="003A1745">
        <w:rPr>
          <w:rFonts w:cs="David" w:hint="cs"/>
          <w:sz w:val="20"/>
          <w:szCs w:val="20"/>
          <w:rtl/>
        </w:rPr>
        <w:t>)</w:t>
      </w:r>
    </w:p>
  </w:footnote>
  <w:footnote w:id="3">
    <w:p w:rsidR="003A1745" w:rsidRPr="003A1745" w:rsidRDefault="003A1745" w:rsidP="003A1745">
      <w:pPr>
        <w:pStyle w:val="a6"/>
        <w:rPr>
          <w:rFonts w:cs="David"/>
          <w:sz w:val="20"/>
          <w:szCs w:val="20"/>
          <w:rtl/>
        </w:rPr>
      </w:pPr>
      <w:r w:rsidRPr="003A1745">
        <w:rPr>
          <w:rStyle w:val="a5"/>
          <w:rFonts w:cs="David"/>
          <w:sz w:val="20"/>
          <w:szCs w:val="20"/>
        </w:rPr>
        <w:footnoteRef/>
      </w:r>
      <w:r w:rsidRPr="003A1745">
        <w:rPr>
          <w:rFonts w:cs="David"/>
          <w:sz w:val="20"/>
          <w:szCs w:val="20"/>
          <w:rtl/>
        </w:rPr>
        <w:t xml:space="preserve"> </w:t>
      </w:r>
      <w:r w:rsidR="00C345DE">
        <w:rPr>
          <w:rFonts w:cs="David" w:hint="cs"/>
          <w:sz w:val="20"/>
          <w:szCs w:val="20"/>
          <w:rtl/>
        </w:rPr>
        <w:t xml:space="preserve">בג"צ </w:t>
      </w:r>
      <w:proofErr w:type="spellStart"/>
      <w:r w:rsidR="00C345DE">
        <w:rPr>
          <w:rFonts w:cs="David" w:hint="cs"/>
          <w:sz w:val="20"/>
          <w:szCs w:val="20"/>
          <w:rtl/>
        </w:rPr>
        <w:t>עדאלה</w:t>
      </w:r>
      <w:proofErr w:type="spellEnd"/>
      <w:r w:rsidR="00C345DE">
        <w:rPr>
          <w:rFonts w:cs="David" w:hint="cs"/>
          <w:sz w:val="20"/>
          <w:szCs w:val="20"/>
          <w:rtl/>
        </w:rPr>
        <w:t>, פסקה 21 לפסק דינו של הנשיא (בדימוס) א' ברק</w:t>
      </w:r>
    </w:p>
  </w:footnote>
  <w:footnote w:id="4">
    <w:p w:rsidR="00D54E48" w:rsidRDefault="00D54E48">
      <w:pPr>
        <w:pStyle w:val="a3"/>
        <w:rPr>
          <w:rtl/>
        </w:rPr>
      </w:pPr>
      <w:r>
        <w:rPr>
          <w:rStyle w:val="a5"/>
        </w:rPr>
        <w:footnoteRef/>
      </w:r>
      <w:r>
        <w:rPr>
          <w:rtl/>
        </w:rPr>
        <w:t xml:space="preserve"> </w:t>
      </w:r>
      <w:r>
        <w:rPr>
          <w:rFonts w:cs="David" w:hint="cs"/>
          <w:rtl/>
        </w:rPr>
        <w:t xml:space="preserve">בג"צ </w:t>
      </w:r>
      <w:proofErr w:type="spellStart"/>
      <w:r>
        <w:rPr>
          <w:rFonts w:cs="David" w:hint="cs"/>
          <w:rtl/>
        </w:rPr>
        <w:t>עדאלה</w:t>
      </w:r>
      <w:proofErr w:type="spellEnd"/>
      <w:r>
        <w:rPr>
          <w:rFonts w:cs="David" w:hint="cs"/>
          <w:rtl/>
        </w:rPr>
        <w:t>, פסקה 26 לפסק דינו של הנשיא (בדימוס) א' ברק</w:t>
      </w:r>
    </w:p>
  </w:footnote>
  <w:footnote w:id="5">
    <w:p w:rsidR="006B6774" w:rsidRPr="006B6774" w:rsidRDefault="006B6774">
      <w:pPr>
        <w:pStyle w:val="a3"/>
        <w:rPr>
          <w:rFonts w:cs="David"/>
          <w:rtl/>
        </w:rPr>
      </w:pPr>
      <w:r>
        <w:rPr>
          <w:rStyle w:val="a5"/>
        </w:rPr>
        <w:footnoteRef/>
      </w:r>
      <w:r>
        <w:rPr>
          <w:rtl/>
        </w:rPr>
        <w:t xml:space="preserve"> </w:t>
      </w:r>
      <w:hyperlink r:id="rId3" w:history="1">
        <w:r w:rsidRPr="006B6774">
          <w:rPr>
            <w:rStyle w:val="Hyperlink"/>
            <w:rFonts w:cs="David" w:hint="cs"/>
            <w:color w:val="auto"/>
            <w:u w:val="none"/>
            <w:rtl/>
          </w:rPr>
          <w:t xml:space="preserve">ע"פ 4424/98 </w:t>
        </w:r>
        <w:r w:rsidRPr="008B52CA">
          <w:rPr>
            <w:rStyle w:val="Hyperlink"/>
            <w:rFonts w:cs="David" w:hint="cs"/>
            <w:b/>
            <w:bCs/>
            <w:color w:val="auto"/>
            <w:u w:val="none"/>
            <w:rtl/>
          </w:rPr>
          <w:t>סילגדו נ' מדינת ישראל</w:t>
        </w:r>
      </w:hyperlink>
      <w:r w:rsidRPr="006B6774">
        <w:rPr>
          <w:rFonts w:cs="David" w:hint="cs"/>
          <w:rtl/>
        </w:rPr>
        <w:t>,</w:t>
      </w:r>
      <w:r w:rsidR="008B52CA">
        <w:rPr>
          <w:rFonts w:cs="David" w:hint="cs"/>
          <w:rtl/>
        </w:rPr>
        <w:t xml:space="preserve"> </w:t>
      </w:r>
      <w:r w:rsidRPr="006B6774">
        <w:rPr>
          <w:rFonts w:cs="David" w:hint="cs"/>
          <w:rtl/>
        </w:rPr>
        <w:t>פ"ד נו(5) 529</w:t>
      </w:r>
      <w:r>
        <w:rPr>
          <w:rFonts w:hint="cs"/>
          <w:rtl/>
        </w:rPr>
        <w:t xml:space="preserve">, </w:t>
      </w:r>
      <w:r>
        <w:rPr>
          <w:rFonts w:cs="David" w:hint="cs"/>
          <w:rtl/>
        </w:rPr>
        <w:t>פסקה 13 לפסק דינו של הנשיא א' ברק</w:t>
      </w:r>
    </w:p>
  </w:footnote>
  <w:footnote w:id="6">
    <w:p w:rsidR="00C9412D" w:rsidRPr="00A95C39" w:rsidRDefault="00C9412D">
      <w:pPr>
        <w:pStyle w:val="a3"/>
        <w:rPr>
          <w:rFonts w:cs="David"/>
          <w:rtl/>
        </w:rPr>
      </w:pPr>
      <w:r>
        <w:rPr>
          <w:rStyle w:val="a5"/>
        </w:rPr>
        <w:footnoteRef/>
      </w:r>
      <w:r>
        <w:rPr>
          <w:rtl/>
        </w:rPr>
        <w:t xml:space="preserve"> </w:t>
      </w:r>
      <w:hyperlink r:id="rId4" w:history="1">
        <w:r w:rsidR="00A95C39" w:rsidRPr="008B52CA">
          <w:rPr>
            <w:rStyle w:val="Hyperlink"/>
            <w:rFonts w:cs="David" w:hint="cs"/>
            <w:color w:val="auto"/>
            <w:u w:val="none"/>
            <w:rtl/>
          </w:rPr>
          <w:t xml:space="preserve">בג"צ 10203/03 </w:t>
        </w:r>
        <w:r w:rsidR="00A95C39" w:rsidRPr="00912C38">
          <w:rPr>
            <w:rStyle w:val="Hyperlink"/>
            <w:rFonts w:cs="David" w:hint="cs"/>
            <w:b/>
            <w:bCs/>
            <w:color w:val="auto"/>
            <w:u w:val="none"/>
            <w:rtl/>
          </w:rPr>
          <w:t>"המפקד הלאומי" בע"מ נ' היועץ המשפטי לממשלה</w:t>
        </w:r>
      </w:hyperlink>
      <w:r w:rsidR="00A95C39" w:rsidRPr="00A95C39">
        <w:rPr>
          <w:rFonts w:cs="David" w:hint="cs"/>
          <w:rtl/>
        </w:rPr>
        <w:t xml:space="preserve"> (טרם פורסם, ניתן בתאריך 20.8.2008)</w:t>
      </w:r>
      <w:r w:rsidR="00A95C39">
        <w:rPr>
          <w:rFonts w:hint="cs"/>
          <w:rtl/>
        </w:rPr>
        <w:t xml:space="preserve">, </w:t>
      </w:r>
      <w:r w:rsidR="00A95C39">
        <w:rPr>
          <w:rFonts w:cs="David" w:hint="cs"/>
          <w:rtl/>
        </w:rPr>
        <w:t>פסקה 12 לפסק דינה של הנשיאה ד' ביניש</w:t>
      </w:r>
      <w:r w:rsidR="008B52CA">
        <w:rPr>
          <w:rFonts w:cs="David" w:hint="cs"/>
          <w:rtl/>
        </w:rPr>
        <w:t xml:space="preserve"> (להלן- בג"צ המפקד הלאומי בע"מ)</w:t>
      </w:r>
    </w:p>
  </w:footnote>
  <w:footnote w:id="7">
    <w:p w:rsidR="008B52CA" w:rsidRPr="008B52CA" w:rsidRDefault="008B52CA">
      <w:pPr>
        <w:pStyle w:val="a3"/>
        <w:rPr>
          <w:rFonts w:cs="David"/>
          <w:rtl/>
        </w:rPr>
      </w:pPr>
      <w:r>
        <w:rPr>
          <w:rStyle w:val="a5"/>
        </w:rPr>
        <w:footnoteRef/>
      </w:r>
      <w:r>
        <w:rPr>
          <w:rtl/>
        </w:rPr>
        <w:t xml:space="preserve"> </w:t>
      </w:r>
      <w:hyperlink r:id="rId5" w:history="1">
        <w:r w:rsidRPr="008B52CA">
          <w:rPr>
            <w:rStyle w:val="Hyperlink"/>
            <w:rFonts w:cs="David" w:hint="cs"/>
            <w:color w:val="auto"/>
            <w:u w:val="none"/>
            <w:rtl/>
          </w:rPr>
          <w:t xml:space="preserve">בג"צ 2605/05 </w:t>
        </w:r>
        <w:r w:rsidRPr="008B52CA">
          <w:rPr>
            <w:rStyle w:val="Hyperlink"/>
            <w:rFonts w:cs="David" w:hint="cs"/>
            <w:b/>
            <w:bCs/>
            <w:color w:val="auto"/>
            <w:u w:val="none"/>
            <w:rtl/>
          </w:rPr>
          <w:t>המרכז האקדמי למשפט ולעסקים, חטיבת זכויות האדם נ' שר האוצר</w:t>
        </w:r>
      </w:hyperlink>
      <w:r w:rsidRPr="008B52CA">
        <w:rPr>
          <w:rFonts w:cs="David" w:hint="cs"/>
          <w:rtl/>
        </w:rPr>
        <w:t xml:space="preserve"> (טרם פורסם, ניתן בתאריך 19.11.2009)</w:t>
      </w:r>
      <w:r>
        <w:rPr>
          <w:rFonts w:hint="cs"/>
          <w:rtl/>
        </w:rPr>
        <w:t xml:space="preserve">, </w:t>
      </w:r>
      <w:r>
        <w:rPr>
          <w:rFonts w:cs="David" w:hint="cs"/>
          <w:rtl/>
        </w:rPr>
        <w:t>פסקה 46 לפסק דינה של הנשיאה ד' ביניש</w:t>
      </w:r>
    </w:p>
  </w:footnote>
  <w:footnote w:id="8">
    <w:p w:rsidR="00E62188" w:rsidRPr="00E62188" w:rsidRDefault="00E62188" w:rsidP="006722DC">
      <w:pPr>
        <w:pStyle w:val="a3"/>
        <w:rPr>
          <w:rFonts w:cs="David"/>
          <w:rtl/>
        </w:rPr>
      </w:pPr>
      <w:r>
        <w:rPr>
          <w:rStyle w:val="a5"/>
        </w:rPr>
        <w:footnoteRef/>
      </w:r>
      <w:r>
        <w:rPr>
          <w:rtl/>
        </w:rPr>
        <w:t xml:space="preserve"> </w:t>
      </w:r>
      <w:r>
        <w:rPr>
          <w:rFonts w:cs="David" w:hint="cs"/>
          <w:rtl/>
        </w:rPr>
        <w:t>חוק יסוד: כבוד האדם וחירותו, ס"ח תשנ"ב 1992, עמ' 150</w:t>
      </w:r>
      <w:r w:rsidR="002F29E5">
        <w:rPr>
          <w:rFonts w:cs="David" w:hint="cs"/>
          <w:rtl/>
        </w:rPr>
        <w:t xml:space="preserve"> (להלן- חו</w:t>
      </w:r>
      <w:r w:rsidR="006722DC">
        <w:rPr>
          <w:rFonts w:cs="David" w:hint="cs"/>
          <w:rtl/>
        </w:rPr>
        <w:t>"</w:t>
      </w:r>
      <w:r w:rsidR="002F29E5">
        <w:rPr>
          <w:rFonts w:cs="David" w:hint="cs"/>
          <w:rtl/>
        </w:rPr>
        <w:t>י כב</w:t>
      </w:r>
      <w:r w:rsidR="006722DC">
        <w:rPr>
          <w:rFonts w:cs="David" w:hint="cs"/>
          <w:rtl/>
        </w:rPr>
        <w:t>"</w:t>
      </w:r>
      <w:r w:rsidR="002F29E5">
        <w:rPr>
          <w:rFonts w:cs="David" w:hint="cs"/>
          <w:rtl/>
        </w:rPr>
        <w:t>א וחירותו)</w:t>
      </w:r>
    </w:p>
  </w:footnote>
  <w:footnote w:id="9">
    <w:p w:rsidR="00AC66CB" w:rsidRDefault="00AC66CB" w:rsidP="00912C38">
      <w:pPr>
        <w:pStyle w:val="a6"/>
        <w:rPr>
          <w:rtl/>
        </w:rPr>
      </w:pPr>
      <w:r>
        <w:rPr>
          <w:rStyle w:val="a5"/>
        </w:rPr>
        <w:footnoteRef/>
      </w:r>
      <w:r>
        <w:rPr>
          <w:rtl/>
        </w:rPr>
        <w:t xml:space="preserve"> </w:t>
      </w:r>
      <w:hyperlink r:id="rId6" w:history="1">
        <w:r w:rsidRPr="001537D1">
          <w:rPr>
            <w:rFonts w:cs="David" w:hint="cs"/>
            <w:sz w:val="20"/>
            <w:szCs w:val="20"/>
            <w:rtl/>
          </w:rPr>
          <w:t xml:space="preserve">בג"צ 6427/02 </w:t>
        </w:r>
        <w:r w:rsidRPr="001537D1">
          <w:rPr>
            <w:rFonts w:cs="David" w:hint="cs"/>
            <w:b/>
            <w:bCs/>
            <w:sz w:val="20"/>
            <w:szCs w:val="20"/>
            <w:rtl/>
          </w:rPr>
          <w:t>התנועה לאיכות השלטון בישראל נ' הכנסת</w:t>
        </w:r>
      </w:hyperlink>
      <w:r w:rsidRPr="001537D1">
        <w:rPr>
          <w:rFonts w:cs="David" w:hint="cs"/>
          <w:sz w:val="20"/>
          <w:szCs w:val="20"/>
          <w:rtl/>
        </w:rPr>
        <w:t xml:space="preserve"> (טרם פורסם 11.05.2006), פסקה 33</w:t>
      </w:r>
      <w:r w:rsidR="001537D1" w:rsidRPr="001537D1">
        <w:rPr>
          <w:rFonts w:cs="David" w:hint="cs"/>
          <w:sz w:val="20"/>
          <w:szCs w:val="20"/>
          <w:rtl/>
        </w:rPr>
        <w:t xml:space="preserve"> לפסק דינו של </w:t>
      </w:r>
      <w:r w:rsidRPr="001537D1">
        <w:rPr>
          <w:rFonts w:cs="David" w:hint="cs"/>
          <w:sz w:val="20"/>
          <w:szCs w:val="20"/>
          <w:rtl/>
        </w:rPr>
        <w:t>הנשיא א' ברק (להלן- בג"צ התנועה לאיכות השלטון)</w:t>
      </w:r>
    </w:p>
  </w:footnote>
  <w:footnote w:id="10">
    <w:p w:rsidR="00912C38" w:rsidRPr="00912C38" w:rsidRDefault="00912C38">
      <w:pPr>
        <w:pStyle w:val="a3"/>
        <w:rPr>
          <w:rFonts w:cs="David"/>
        </w:rPr>
      </w:pPr>
      <w:r>
        <w:rPr>
          <w:rStyle w:val="a5"/>
        </w:rPr>
        <w:footnoteRef/>
      </w:r>
      <w:r>
        <w:rPr>
          <w:rtl/>
        </w:rPr>
        <w:t xml:space="preserve"> </w:t>
      </w:r>
      <w:r w:rsidRPr="001537D1">
        <w:rPr>
          <w:rFonts w:cs="David" w:hint="cs"/>
          <w:rtl/>
        </w:rPr>
        <w:t>בג"צ התנועה לאיכות השלטון</w:t>
      </w:r>
      <w:r>
        <w:rPr>
          <w:rFonts w:hint="cs"/>
          <w:rtl/>
        </w:rPr>
        <w:t xml:space="preserve">, </w:t>
      </w:r>
      <w:r>
        <w:rPr>
          <w:rFonts w:cs="David" w:hint="cs"/>
          <w:rtl/>
        </w:rPr>
        <w:t>פסקה 40 לפסק דינו של הנשיא א' ברק</w:t>
      </w:r>
    </w:p>
  </w:footnote>
  <w:footnote w:id="11">
    <w:p w:rsidR="0001413B" w:rsidRDefault="0001413B">
      <w:pPr>
        <w:pStyle w:val="a3"/>
        <w:rPr>
          <w:rtl/>
        </w:rPr>
      </w:pPr>
      <w:r>
        <w:rPr>
          <w:rStyle w:val="a5"/>
        </w:rPr>
        <w:footnoteRef/>
      </w:r>
      <w:r>
        <w:rPr>
          <w:rtl/>
        </w:rPr>
        <w:t xml:space="preserve"> </w:t>
      </w:r>
      <w:hyperlink r:id="rId7" w:history="1">
        <w:r w:rsidRPr="0001413B">
          <w:rPr>
            <w:rStyle w:val="Hyperlink"/>
            <w:rFonts w:cs="David" w:hint="cs"/>
            <w:color w:val="auto"/>
            <w:u w:val="none"/>
            <w:rtl/>
          </w:rPr>
          <w:t xml:space="preserve">בג"צ 4124/00 </w:t>
        </w:r>
        <w:r w:rsidRPr="0001413B">
          <w:rPr>
            <w:rStyle w:val="Hyperlink"/>
            <w:rFonts w:cs="David" w:hint="cs"/>
            <w:b/>
            <w:bCs/>
            <w:color w:val="auto"/>
            <w:u w:val="none"/>
            <w:rtl/>
          </w:rPr>
          <w:t>יקותיאלי ז"ל נ' השר לענייני דתות</w:t>
        </w:r>
      </w:hyperlink>
      <w:r>
        <w:rPr>
          <w:rFonts w:cs="David" w:hint="cs"/>
          <w:rtl/>
        </w:rPr>
        <w:t xml:space="preserve"> (</w:t>
      </w:r>
      <w:r w:rsidR="003F0F34">
        <w:rPr>
          <w:rFonts w:cs="David" w:hint="cs"/>
          <w:rtl/>
        </w:rPr>
        <w:t>טרם פורסם 14.06.2010), פסקה 35 לפסק דינה של הנשיאה ביניש</w:t>
      </w:r>
    </w:p>
  </w:footnote>
  <w:footnote w:id="12">
    <w:p w:rsidR="00E347F5" w:rsidRDefault="00E347F5" w:rsidP="008B52CA">
      <w:pPr>
        <w:pStyle w:val="a3"/>
      </w:pPr>
      <w:r>
        <w:rPr>
          <w:rStyle w:val="a5"/>
        </w:rPr>
        <w:footnoteRef/>
      </w:r>
      <w:r>
        <w:rPr>
          <w:rtl/>
        </w:rPr>
        <w:t xml:space="preserve"> </w:t>
      </w:r>
      <w:r w:rsidR="008B52CA">
        <w:rPr>
          <w:rFonts w:ascii="Times New Roman" w:eastAsia="Times New Roman" w:hAnsi="Times New Roman" w:cs="David" w:hint="cs"/>
          <w:rtl/>
        </w:rPr>
        <w:t>בג"צ המפקד הלאומי בע"מ,</w:t>
      </w:r>
      <w:r w:rsidR="008B52CA" w:rsidRPr="008B52CA">
        <w:rPr>
          <w:rFonts w:ascii="Times New Roman" w:eastAsia="Times New Roman" w:hAnsi="Times New Roman" w:cs="David" w:hint="cs"/>
          <w:rtl/>
        </w:rPr>
        <w:t xml:space="preserve"> </w:t>
      </w:r>
      <w:r w:rsidR="008B52CA">
        <w:rPr>
          <w:rFonts w:ascii="Times New Roman" w:eastAsia="Times New Roman" w:hAnsi="Times New Roman" w:cs="David" w:hint="cs"/>
          <w:rtl/>
        </w:rPr>
        <w:t>פסקה 26 לפסק דינה של השופטת נאור</w:t>
      </w:r>
    </w:p>
  </w:footnote>
  <w:footnote w:id="13">
    <w:p w:rsidR="009C70D0" w:rsidRPr="009C70D0" w:rsidRDefault="009C70D0">
      <w:pPr>
        <w:pStyle w:val="a3"/>
        <w:rPr>
          <w:rFonts w:cs="David"/>
        </w:rPr>
      </w:pPr>
      <w:r>
        <w:rPr>
          <w:rStyle w:val="a5"/>
        </w:rPr>
        <w:footnoteRef/>
      </w:r>
      <w:r>
        <w:rPr>
          <w:rtl/>
        </w:rPr>
        <w:t xml:space="preserve"> </w:t>
      </w:r>
      <w:r>
        <w:rPr>
          <w:rFonts w:ascii="Times New Roman" w:eastAsia="Times New Roman" w:hAnsi="Times New Roman" w:cs="David" w:hint="cs"/>
          <w:rtl/>
        </w:rPr>
        <w:t>בג"צ המפקד הלאומי בע"מ</w:t>
      </w:r>
      <w:r>
        <w:rPr>
          <w:rFonts w:hint="cs"/>
          <w:rtl/>
        </w:rPr>
        <w:t xml:space="preserve">, </w:t>
      </w:r>
      <w:r>
        <w:rPr>
          <w:rFonts w:cs="David" w:hint="cs"/>
          <w:rtl/>
        </w:rPr>
        <w:t>פסקה 8 לפסק דינה של הנשיאה ד' ביניש</w:t>
      </w:r>
    </w:p>
  </w:footnote>
  <w:footnote w:id="14">
    <w:p w:rsidR="00A85562" w:rsidRPr="00183F1D" w:rsidRDefault="00A85562">
      <w:pPr>
        <w:pStyle w:val="a3"/>
        <w:rPr>
          <w:rFonts w:cs="David"/>
        </w:rPr>
      </w:pPr>
      <w:r>
        <w:rPr>
          <w:rStyle w:val="a5"/>
        </w:rPr>
        <w:footnoteRef/>
      </w:r>
      <w:r>
        <w:rPr>
          <w:rtl/>
        </w:rPr>
        <w:t xml:space="preserve"> </w:t>
      </w:r>
      <w:r w:rsidR="00183F1D">
        <w:rPr>
          <w:rFonts w:cs="David" w:hint="cs"/>
          <w:rtl/>
        </w:rPr>
        <w:t>סעיף 8 לחוק יסוד: חופש העיסוק</w:t>
      </w:r>
    </w:p>
  </w:footnote>
  <w:footnote w:id="15">
    <w:p w:rsidR="00183F1D" w:rsidRPr="00923A8D" w:rsidRDefault="00183F1D" w:rsidP="00923A8D">
      <w:pPr>
        <w:pStyle w:val="a3"/>
        <w:rPr>
          <w:rFonts w:cs="David"/>
          <w:rtl/>
        </w:rPr>
      </w:pPr>
      <w:r>
        <w:rPr>
          <w:rStyle w:val="a5"/>
        </w:rPr>
        <w:footnoteRef/>
      </w:r>
      <w:r>
        <w:rPr>
          <w:rtl/>
        </w:rPr>
        <w:t xml:space="preserve"> </w:t>
      </w:r>
      <w:r w:rsidR="00923A8D" w:rsidRPr="00923A8D">
        <w:rPr>
          <w:rFonts w:cs="David" w:hint="cs"/>
          <w:rtl/>
        </w:rPr>
        <w:t>אהרן ברק</w:t>
      </w:r>
      <w:r w:rsidRPr="00923A8D">
        <w:rPr>
          <w:rFonts w:cs="David" w:hint="cs"/>
          <w:rtl/>
        </w:rPr>
        <w:t xml:space="preserve"> </w:t>
      </w:r>
      <w:r w:rsidRPr="00923A8D">
        <w:rPr>
          <w:rFonts w:cs="David" w:hint="cs"/>
          <w:b/>
          <w:bCs/>
          <w:rtl/>
        </w:rPr>
        <w:t>פרשנות במשפט</w:t>
      </w:r>
      <w:r w:rsidR="00923A8D" w:rsidRPr="00923A8D">
        <w:rPr>
          <w:rFonts w:cs="David" w:hint="cs"/>
          <w:b/>
          <w:bCs/>
          <w:rtl/>
        </w:rPr>
        <w:t>- תורת הפרשנות הכללית</w:t>
      </w:r>
      <w:r w:rsidRPr="00923A8D">
        <w:rPr>
          <w:rFonts w:cs="David" w:hint="cs"/>
          <w:rtl/>
        </w:rPr>
        <w:t xml:space="preserve"> כרך שלישי עמ' 264 הערה 34</w:t>
      </w:r>
      <w:r w:rsidR="00923A8D" w:rsidRPr="00923A8D">
        <w:rPr>
          <w:rFonts w:cs="David" w:hint="cs"/>
          <w:rtl/>
        </w:rPr>
        <w:t>, (1992)</w:t>
      </w:r>
    </w:p>
  </w:footnote>
  <w:footnote w:id="16">
    <w:p w:rsidR="007729B4" w:rsidRDefault="007729B4">
      <w:pPr>
        <w:pStyle w:val="a3"/>
        <w:rPr>
          <w:rtl/>
        </w:rPr>
      </w:pPr>
      <w:r>
        <w:rPr>
          <w:rStyle w:val="a5"/>
        </w:rPr>
        <w:footnoteRef/>
      </w:r>
      <w:r>
        <w:rPr>
          <w:rtl/>
        </w:rPr>
        <w:t xml:space="preserve"> </w:t>
      </w:r>
      <w:r w:rsidRPr="001537D1">
        <w:rPr>
          <w:rFonts w:cs="David" w:hint="cs"/>
          <w:rtl/>
        </w:rPr>
        <w:t>בג"צ התנועה לאיכות השלטון</w:t>
      </w:r>
      <w:r>
        <w:rPr>
          <w:rFonts w:hint="cs"/>
          <w:rtl/>
        </w:rPr>
        <w:t xml:space="preserve">, </w:t>
      </w:r>
      <w:r>
        <w:rPr>
          <w:rFonts w:cs="David" w:hint="cs"/>
          <w:rtl/>
        </w:rPr>
        <w:t>פסקה 74 לפסק דינו של הנשיא א' ברק</w:t>
      </w:r>
    </w:p>
  </w:footnote>
  <w:footnote w:id="17">
    <w:p w:rsidR="004026CA" w:rsidRDefault="004026CA" w:rsidP="00EB2A45">
      <w:pPr>
        <w:pStyle w:val="a3"/>
        <w:rPr>
          <w:rtl/>
        </w:rPr>
      </w:pPr>
      <w:r>
        <w:rPr>
          <w:rStyle w:val="a5"/>
        </w:rPr>
        <w:footnoteRef/>
      </w:r>
      <w:r>
        <w:rPr>
          <w:rtl/>
        </w:rPr>
        <w:t xml:space="preserve"> </w:t>
      </w:r>
      <w:r w:rsidR="00EB2A45" w:rsidRPr="001537D1">
        <w:rPr>
          <w:rFonts w:cs="David" w:hint="cs"/>
          <w:rtl/>
        </w:rPr>
        <w:t>בג"צ התנועה לאיכות השלטון</w:t>
      </w:r>
      <w:r w:rsidR="00EB2A45">
        <w:rPr>
          <w:rFonts w:hint="cs"/>
          <w:rtl/>
        </w:rPr>
        <w:t xml:space="preserve">, </w:t>
      </w:r>
      <w:r w:rsidR="00EB2A45">
        <w:rPr>
          <w:rFonts w:cs="David" w:hint="cs"/>
          <w:rtl/>
        </w:rPr>
        <w:t>פסקה 73 לפסק דינו של הנשיא א' ברק</w:t>
      </w:r>
    </w:p>
  </w:footnote>
  <w:footnote w:id="18">
    <w:p w:rsidR="00E14A1D" w:rsidRPr="007729B4" w:rsidRDefault="00E14A1D" w:rsidP="007729B4">
      <w:pPr>
        <w:pStyle w:val="a3"/>
        <w:rPr>
          <w:rFonts w:cs="David"/>
        </w:rPr>
      </w:pPr>
      <w:r>
        <w:rPr>
          <w:rStyle w:val="a5"/>
        </w:rPr>
        <w:footnoteRef/>
      </w:r>
      <w:r>
        <w:rPr>
          <w:rtl/>
        </w:rPr>
        <w:t xml:space="preserve"> </w:t>
      </w:r>
      <w:r w:rsidR="007729B4">
        <w:rPr>
          <w:rFonts w:cs="David" w:hint="cs"/>
          <w:rtl/>
        </w:rPr>
        <w:t>ראה להלן הערה 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E6942"/>
    <w:multiLevelType w:val="hybridMultilevel"/>
    <w:tmpl w:val="9B9E93BE"/>
    <w:lvl w:ilvl="0" w:tplc="C85C27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3291D"/>
    <w:multiLevelType w:val="hybridMultilevel"/>
    <w:tmpl w:val="89AC1830"/>
    <w:lvl w:ilvl="0" w:tplc="FCEE03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3660F"/>
    <w:multiLevelType w:val="hybridMultilevel"/>
    <w:tmpl w:val="5C7A3B5E"/>
    <w:lvl w:ilvl="0" w:tplc="FA7ABDA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486573"/>
    <w:multiLevelType w:val="hybridMultilevel"/>
    <w:tmpl w:val="32821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6BF"/>
    <w:rsid w:val="0000356D"/>
    <w:rsid w:val="0001413B"/>
    <w:rsid w:val="000446BF"/>
    <w:rsid w:val="00056ECE"/>
    <w:rsid w:val="00061133"/>
    <w:rsid w:val="00066902"/>
    <w:rsid w:val="00072D6D"/>
    <w:rsid w:val="000B1F17"/>
    <w:rsid w:val="000F5140"/>
    <w:rsid w:val="00110F83"/>
    <w:rsid w:val="00134699"/>
    <w:rsid w:val="001438C2"/>
    <w:rsid w:val="001537D1"/>
    <w:rsid w:val="00157CA6"/>
    <w:rsid w:val="00183F1D"/>
    <w:rsid w:val="001929A7"/>
    <w:rsid w:val="001B7D82"/>
    <w:rsid w:val="001D63B0"/>
    <w:rsid w:val="001E2476"/>
    <w:rsid w:val="001F1378"/>
    <w:rsid w:val="00221EA4"/>
    <w:rsid w:val="00231081"/>
    <w:rsid w:val="00252467"/>
    <w:rsid w:val="00297856"/>
    <w:rsid w:val="002B346E"/>
    <w:rsid w:val="002F29E5"/>
    <w:rsid w:val="00304EF3"/>
    <w:rsid w:val="00305EC1"/>
    <w:rsid w:val="0032769E"/>
    <w:rsid w:val="0036522C"/>
    <w:rsid w:val="00377F6C"/>
    <w:rsid w:val="003A1745"/>
    <w:rsid w:val="003B7EE7"/>
    <w:rsid w:val="003C0535"/>
    <w:rsid w:val="003E05AD"/>
    <w:rsid w:val="003F0F34"/>
    <w:rsid w:val="004026CA"/>
    <w:rsid w:val="004062C3"/>
    <w:rsid w:val="00414C01"/>
    <w:rsid w:val="00443081"/>
    <w:rsid w:val="00446E02"/>
    <w:rsid w:val="004A6786"/>
    <w:rsid w:val="004B0C64"/>
    <w:rsid w:val="004F7B05"/>
    <w:rsid w:val="0053434A"/>
    <w:rsid w:val="0059457E"/>
    <w:rsid w:val="005A1E16"/>
    <w:rsid w:val="005B446F"/>
    <w:rsid w:val="005C6AC8"/>
    <w:rsid w:val="006227EA"/>
    <w:rsid w:val="006722DC"/>
    <w:rsid w:val="006732BA"/>
    <w:rsid w:val="006A71EB"/>
    <w:rsid w:val="006B2BBB"/>
    <w:rsid w:val="006B6774"/>
    <w:rsid w:val="00765945"/>
    <w:rsid w:val="007729B4"/>
    <w:rsid w:val="007906A4"/>
    <w:rsid w:val="007B067E"/>
    <w:rsid w:val="007E6C18"/>
    <w:rsid w:val="007F6E0F"/>
    <w:rsid w:val="00817571"/>
    <w:rsid w:val="0089459A"/>
    <w:rsid w:val="008A4690"/>
    <w:rsid w:val="008B52CA"/>
    <w:rsid w:val="008C1D2E"/>
    <w:rsid w:val="008C6979"/>
    <w:rsid w:val="008C7468"/>
    <w:rsid w:val="008E3AC9"/>
    <w:rsid w:val="00912C38"/>
    <w:rsid w:val="00923A8D"/>
    <w:rsid w:val="009956AC"/>
    <w:rsid w:val="009B7AA2"/>
    <w:rsid w:val="009C368E"/>
    <w:rsid w:val="009C70D0"/>
    <w:rsid w:val="009D11D1"/>
    <w:rsid w:val="009D5BF4"/>
    <w:rsid w:val="00A02FB2"/>
    <w:rsid w:val="00A5547E"/>
    <w:rsid w:val="00A748DE"/>
    <w:rsid w:val="00A85562"/>
    <w:rsid w:val="00A95C39"/>
    <w:rsid w:val="00AA2153"/>
    <w:rsid w:val="00AB1493"/>
    <w:rsid w:val="00AC66CB"/>
    <w:rsid w:val="00AE1C7C"/>
    <w:rsid w:val="00AE4382"/>
    <w:rsid w:val="00AF48EF"/>
    <w:rsid w:val="00AF7E57"/>
    <w:rsid w:val="00B266A0"/>
    <w:rsid w:val="00B27428"/>
    <w:rsid w:val="00B51946"/>
    <w:rsid w:val="00B63008"/>
    <w:rsid w:val="00B82DEC"/>
    <w:rsid w:val="00B861B5"/>
    <w:rsid w:val="00B94AD0"/>
    <w:rsid w:val="00BD265C"/>
    <w:rsid w:val="00BD63B5"/>
    <w:rsid w:val="00C345DE"/>
    <w:rsid w:val="00C90221"/>
    <w:rsid w:val="00C9355F"/>
    <w:rsid w:val="00C9412D"/>
    <w:rsid w:val="00CE1907"/>
    <w:rsid w:val="00CF0BA4"/>
    <w:rsid w:val="00CF1F13"/>
    <w:rsid w:val="00D54E48"/>
    <w:rsid w:val="00D801E7"/>
    <w:rsid w:val="00E06699"/>
    <w:rsid w:val="00E14A1D"/>
    <w:rsid w:val="00E26BA6"/>
    <w:rsid w:val="00E30761"/>
    <w:rsid w:val="00E347F5"/>
    <w:rsid w:val="00E62188"/>
    <w:rsid w:val="00E91537"/>
    <w:rsid w:val="00EB0B92"/>
    <w:rsid w:val="00EB2A45"/>
    <w:rsid w:val="00EB640E"/>
    <w:rsid w:val="00ED7917"/>
    <w:rsid w:val="00EF438F"/>
    <w:rsid w:val="00F002DB"/>
    <w:rsid w:val="00F0389D"/>
    <w:rsid w:val="00FA31DC"/>
    <w:rsid w:val="00FC32B1"/>
    <w:rsid w:val="00FE0332"/>
    <w:rsid w:val="00FF65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27428"/>
    <w:pPr>
      <w:spacing w:after="0" w:line="240" w:lineRule="auto"/>
    </w:pPr>
    <w:rPr>
      <w:sz w:val="20"/>
      <w:szCs w:val="20"/>
    </w:rPr>
  </w:style>
  <w:style w:type="character" w:customStyle="1" w:styleId="a4">
    <w:name w:val="טקסט הערת שוליים תו"/>
    <w:basedOn w:val="a0"/>
    <w:link w:val="a3"/>
    <w:uiPriority w:val="99"/>
    <w:semiHidden/>
    <w:rsid w:val="00B27428"/>
    <w:rPr>
      <w:sz w:val="20"/>
      <w:szCs w:val="20"/>
    </w:rPr>
  </w:style>
  <w:style w:type="character" w:styleId="a5">
    <w:name w:val="footnote reference"/>
    <w:basedOn w:val="a0"/>
    <w:uiPriority w:val="99"/>
    <w:semiHidden/>
    <w:unhideWhenUsed/>
    <w:rsid w:val="00B27428"/>
    <w:rPr>
      <w:vertAlign w:val="superscript"/>
    </w:rPr>
  </w:style>
  <w:style w:type="character" w:styleId="Hyperlink">
    <w:name w:val="Hyperlink"/>
    <w:basedOn w:val="a0"/>
    <w:semiHidden/>
    <w:unhideWhenUsed/>
    <w:rsid w:val="008C1D2E"/>
    <w:rPr>
      <w:color w:val="0000FF"/>
      <w:u w:val="single"/>
    </w:rPr>
  </w:style>
  <w:style w:type="paragraph" w:styleId="a6">
    <w:name w:val="No Spacing"/>
    <w:uiPriority w:val="1"/>
    <w:qFormat/>
    <w:rsid w:val="003A1745"/>
    <w:pPr>
      <w:bidi/>
      <w:spacing w:after="0" w:line="240" w:lineRule="auto"/>
    </w:pPr>
  </w:style>
  <w:style w:type="paragraph" w:styleId="a7">
    <w:name w:val="List Paragraph"/>
    <w:basedOn w:val="a"/>
    <w:uiPriority w:val="34"/>
    <w:qFormat/>
    <w:rsid w:val="006227EA"/>
    <w:pPr>
      <w:ind w:left="720"/>
      <w:contextualSpacing/>
    </w:pPr>
  </w:style>
  <w:style w:type="character" w:customStyle="1" w:styleId="default">
    <w:name w:val="default"/>
    <w:rsid w:val="00183F1D"/>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27428"/>
    <w:pPr>
      <w:spacing w:after="0" w:line="240" w:lineRule="auto"/>
    </w:pPr>
    <w:rPr>
      <w:sz w:val="20"/>
      <w:szCs w:val="20"/>
    </w:rPr>
  </w:style>
  <w:style w:type="character" w:customStyle="1" w:styleId="a4">
    <w:name w:val="טקסט הערת שוליים תו"/>
    <w:basedOn w:val="a0"/>
    <w:link w:val="a3"/>
    <w:uiPriority w:val="99"/>
    <w:semiHidden/>
    <w:rsid w:val="00B27428"/>
    <w:rPr>
      <w:sz w:val="20"/>
      <w:szCs w:val="20"/>
    </w:rPr>
  </w:style>
  <w:style w:type="character" w:styleId="a5">
    <w:name w:val="footnote reference"/>
    <w:basedOn w:val="a0"/>
    <w:uiPriority w:val="99"/>
    <w:semiHidden/>
    <w:unhideWhenUsed/>
    <w:rsid w:val="00B27428"/>
    <w:rPr>
      <w:vertAlign w:val="superscript"/>
    </w:rPr>
  </w:style>
  <w:style w:type="character" w:styleId="Hyperlink">
    <w:name w:val="Hyperlink"/>
    <w:basedOn w:val="a0"/>
    <w:semiHidden/>
    <w:unhideWhenUsed/>
    <w:rsid w:val="008C1D2E"/>
    <w:rPr>
      <w:color w:val="0000FF"/>
      <w:u w:val="single"/>
    </w:rPr>
  </w:style>
  <w:style w:type="paragraph" w:styleId="a6">
    <w:name w:val="No Spacing"/>
    <w:uiPriority w:val="1"/>
    <w:qFormat/>
    <w:rsid w:val="003A1745"/>
    <w:pPr>
      <w:bidi/>
      <w:spacing w:after="0" w:line="240" w:lineRule="auto"/>
    </w:pPr>
  </w:style>
  <w:style w:type="paragraph" w:styleId="a7">
    <w:name w:val="List Paragraph"/>
    <w:basedOn w:val="a"/>
    <w:uiPriority w:val="34"/>
    <w:qFormat/>
    <w:rsid w:val="006227EA"/>
    <w:pPr>
      <w:ind w:left="720"/>
      <w:contextualSpacing/>
    </w:pPr>
  </w:style>
  <w:style w:type="character" w:customStyle="1" w:styleId="default">
    <w:name w:val="default"/>
    <w:rsid w:val="00183F1D"/>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hl2.biu.ac.il/upload/121107/media/&#1508;&#1505;&#1497;&#1511;&#1492;/&#1505;&#1497;&#1500;&#1490;&#1491;&#1493;%2098.doc" TargetMode="External"/><Relationship Id="rId7" Type="http://schemas.openxmlformats.org/officeDocument/2006/relationships/hyperlink" Target="http://hl2.biu.ac.il/upload/121107/media/%D7%A4%D7%A1%D7%99%D7%A7%D7%94/%D7%99%D7%A7%D7%95%D7%AA%D7%99%D7%90%D7%9C%D7%99%2000.doc" TargetMode="External"/><Relationship Id="rId2" Type="http://schemas.openxmlformats.org/officeDocument/2006/relationships/hyperlink" Target="http://www.nevo.co.il/Law_word/law14/LAW-1454.pdf" TargetMode="External"/><Relationship Id="rId1" Type="http://schemas.openxmlformats.org/officeDocument/2006/relationships/hyperlink" Target="http://hl2.biu.ac.il/upload/121107/Media/&#1508;&#1505;&#1497;&#1511;&#1492;/&#1506;&#1491;&#1488;&#1500;&#1492;%20%2005.doc" TargetMode="External"/><Relationship Id="rId6" Type="http://schemas.openxmlformats.org/officeDocument/2006/relationships/hyperlink" Target="http://hl2.biu.ac.il/upload/121107/media/%D7%A4%D7%A1%D7%99%D7%A7%D7%94/%D7%94%D7%AA%D7%A0%D7%95%D7%A2%D7%94%20%D7%9C%D7%90%D7%99%D7%9B%D7%95%D7%AA%20%D7%94%D7%A9%D7%9C%D7%98%D7%95%D7%9F%20%D7%91%D7%99%D7%A9%D7%A8%D7%90%D7%9C%2002.doc" TargetMode="External"/><Relationship Id="rId5" Type="http://schemas.openxmlformats.org/officeDocument/2006/relationships/hyperlink" Target="http://hl2.biu.ac.il/upload/121107/media/%D7%A4%D7%A1%D7%99%D7%A7%D7%94/%D7%94%D7%9E%D7%A8%D7%9B%D7%96%20%D7%94%D7%90%D7%A7%D7%93%D7%9E%D7%99%2005.doc" TargetMode="External"/><Relationship Id="rId4" Type="http://schemas.openxmlformats.org/officeDocument/2006/relationships/hyperlink" Target="http://hl2.biu.ac.il/upload/121107/media/&#1508;&#1505;&#1497;&#1511;&#1492;/&#1492;&#1502;&#1508;&#1511;&#1491;%20&#1492;&#1500;&#1488;&#1493;&#1502;&#1497;&#1497;%20(2).doc"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4</Pages>
  <Words>1197</Words>
  <Characters>5986</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טלי</dc:creator>
  <cp:lastModifiedBy>טלי</cp:lastModifiedBy>
  <cp:revision>57</cp:revision>
  <dcterms:created xsi:type="dcterms:W3CDTF">2010-11-06T12:10:00Z</dcterms:created>
  <dcterms:modified xsi:type="dcterms:W3CDTF">2012-01-24T15:46:00Z</dcterms:modified>
</cp:coreProperties>
</file>