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D01" w:rsidRPr="009B1A19" w:rsidRDefault="00647534" w:rsidP="004E7991">
      <w:pPr>
        <w:spacing w:line="360" w:lineRule="auto"/>
        <w:rPr>
          <w:rFonts w:cs="David" w:hint="cs"/>
          <w:b/>
          <w:bCs/>
          <w:sz w:val="24"/>
          <w:szCs w:val="24"/>
          <w:u w:val="single"/>
          <w:rtl/>
        </w:rPr>
      </w:pPr>
      <w:r w:rsidRPr="009B1A19">
        <w:rPr>
          <w:rFonts w:cs="David" w:hint="cs"/>
          <w:b/>
          <w:bCs/>
          <w:sz w:val="24"/>
          <w:szCs w:val="24"/>
          <w:u w:val="single"/>
          <w:rtl/>
        </w:rPr>
        <w:t>עבודה מס' 2 במשפט חוקתי</w:t>
      </w:r>
    </w:p>
    <w:p w:rsidR="00A372E5" w:rsidRPr="009B1A19" w:rsidRDefault="00647534" w:rsidP="004E7991">
      <w:pPr>
        <w:spacing w:line="360" w:lineRule="auto"/>
        <w:rPr>
          <w:rFonts w:cs="David" w:hint="cs"/>
          <w:b/>
          <w:bCs/>
          <w:sz w:val="24"/>
          <w:szCs w:val="24"/>
          <w:u w:val="single"/>
          <w:rtl/>
        </w:rPr>
      </w:pPr>
      <w:r w:rsidRPr="009B1A19">
        <w:rPr>
          <w:rFonts w:cs="David" w:hint="cs"/>
          <w:b/>
          <w:bCs/>
          <w:sz w:val="24"/>
          <w:szCs w:val="24"/>
          <w:u w:val="single"/>
          <w:rtl/>
        </w:rPr>
        <w:t>מגישה: אנה א</w:t>
      </w:r>
      <w:r w:rsidR="00A372E5" w:rsidRPr="009B1A19">
        <w:rPr>
          <w:rFonts w:cs="David" w:hint="cs"/>
          <w:b/>
          <w:bCs/>
          <w:sz w:val="24"/>
          <w:szCs w:val="24"/>
          <w:u w:val="single"/>
          <w:rtl/>
        </w:rPr>
        <w:t>זרוב</w:t>
      </w:r>
    </w:p>
    <w:p w:rsidR="00647534" w:rsidRPr="009B1A19" w:rsidRDefault="00647534" w:rsidP="004E7991">
      <w:pPr>
        <w:spacing w:line="360" w:lineRule="auto"/>
        <w:rPr>
          <w:rFonts w:cs="David" w:hint="cs"/>
          <w:b/>
          <w:bCs/>
          <w:sz w:val="24"/>
          <w:szCs w:val="24"/>
          <w:u w:val="single"/>
          <w:rtl/>
        </w:rPr>
      </w:pPr>
      <w:r w:rsidRPr="009B1A19">
        <w:rPr>
          <w:rFonts w:cs="David" w:hint="cs"/>
          <w:b/>
          <w:bCs/>
          <w:sz w:val="24"/>
          <w:szCs w:val="24"/>
          <w:u w:val="single"/>
          <w:rtl/>
        </w:rPr>
        <w:t>ת.ז: 317103646</w:t>
      </w:r>
    </w:p>
    <w:p w:rsidR="00A372E5" w:rsidRPr="009B1A19" w:rsidRDefault="00647534" w:rsidP="004E7991">
      <w:pPr>
        <w:spacing w:line="360" w:lineRule="auto"/>
        <w:jc w:val="both"/>
        <w:rPr>
          <w:rFonts w:cs="David" w:hint="cs"/>
          <w:b/>
          <w:bCs/>
          <w:sz w:val="24"/>
          <w:szCs w:val="24"/>
          <w:u w:val="single"/>
          <w:rtl/>
        </w:rPr>
      </w:pPr>
      <w:r w:rsidRPr="004E7991">
        <w:rPr>
          <w:rFonts w:cs="David" w:hint="cs"/>
          <w:b/>
          <w:bCs/>
          <w:sz w:val="24"/>
          <w:szCs w:val="24"/>
          <w:u w:val="single"/>
          <w:rtl/>
        </w:rPr>
        <w:t>מס' מילים</w:t>
      </w:r>
      <w:r w:rsidR="00A372E5" w:rsidRPr="004E7991">
        <w:rPr>
          <w:rFonts w:cs="David" w:hint="cs"/>
          <w:b/>
          <w:bCs/>
          <w:sz w:val="24"/>
          <w:szCs w:val="24"/>
          <w:u w:val="single"/>
          <w:rtl/>
        </w:rPr>
        <w:t>:</w:t>
      </w:r>
      <w:r w:rsidR="004E7991">
        <w:rPr>
          <w:rFonts w:cs="David" w:hint="cs"/>
          <w:b/>
          <w:bCs/>
          <w:sz w:val="24"/>
          <w:szCs w:val="24"/>
          <w:u w:val="single"/>
          <w:rtl/>
        </w:rPr>
        <w:t xml:space="preserve"> 1062</w:t>
      </w:r>
    </w:p>
    <w:p w:rsidR="003C38BC" w:rsidRDefault="00A372E5" w:rsidP="004E7991">
      <w:pPr>
        <w:spacing w:line="360" w:lineRule="auto"/>
        <w:jc w:val="both"/>
        <w:rPr>
          <w:rFonts w:cs="David" w:hint="cs"/>
          <w:sz w:val="24"/>
          <w:szCs w:val="24"/>
          <w:rtl/>
        </w:rPr>
      </w:pPr>
      <w:r w:rsidRPr="00A372E5">
        <w:rPr>
          <w:rFonts w:cs="David" w:hint="cs"/>
          <w:sz w:val="24"/>
          <w:szCs w:val="24"/>
          <w:rtl/>
        </w:rPr>
        <w:t xml:space="preserve"> תחילה צריך לבדוק האם הסוגיה המדוברת </w:t>
      </w:r>
      <w:r w:rsidRPr="00A372E5">
        <w:rPr>
          <w:rFonts w:cs="David" w:hint="cs"/>
          <w:b/>
          <w:bCs/>
          <w:sz w:val="24"/>
          <w:szCs w:val="24"/>
          <w:u w:val="single"/>
          <w:rtl/>
        </w:rPr>
        <w:t>שפיטה</w:t>
      </w:r>
      <w:r w:rsidRPr="00A372E5">
        <w:rPr>
          <w:rFonts w:cs="David" w:hint="cs"/>
          <w:sz w:val="24"/>
          <w:szCs w:val="24"/>
          <w:rtl/>
        </w:rPr>
        <w:t xml:space="preserve">, </w:t>
      </w:r>
      <w:r>
        <w:rPr>
          <w:rFonts w:cs="David" w:hint="cs"/>
          <w:sz w:val="24"/>
          <w:szCs w:val="24"/>
          <w:rtl/>
        </w:rPr>
        <w:t>בפס"ד רסלר</w:t>
      </w:r>
      <w:r>
        <w:rPr>
          <w:rStyle w:val="a5"/>
          <w:rFonts w:cs="David"/>
          <w:sz w:val="24"/>
          <w:szCs w:val="24"/>
          <w:rtl/>
        </w:rPr>
        <w:footnoteReference w:id="1"/>
      </w:r>
      <w:r>
        <w:rPr>
          <w:rFonts w:cs="David" w:hint="cs"/>
          <w:sz w:val="24"/>
          <w:szCs w:val="24"/>
          <w:rtl/>
        </w:rPr>
        <w:t xml:space="preserve"> שמקובל לראותו כקובע </w:t>
      </w:r>
      <w:r w:rsidRPr="00A372E5">
        <w:rPr>
          <w:rFonts w:cs="David" w:hint="cs"/>
          <w:sz w:val="24"/>
          <w:szCs w:val="24"/>
          <w:rtl/>
        </w:rPr>
        <w:t xml:space="preserve">שהכל שפיט, ברק מבחין </w:t>
      </w:r>
      <w:r w:rsidRPr="008F7BAD">
        <w:rPr>
          <w:rFonts w:cs="David" w:hint="cs"/>
          <w:sz w:val="24"/>
          <w:szCs w:val="24"/>
          <w:rtl/>
        </w:rPr>
        <w:t>בין "שפיטות נורמטיבית", שהיא מלאה מפני שלנורמה המשפטית יש מה לומר על כל פעולה והתנהגות, ל"שפיטות מוסדית" שהיא חלקית. לדבריו, גם אם הכל שפיט במובן הנורמטיבי הרי שלא הכל שפיט במובן המוסדי, כלומר השאלה היא לא אם ניתן להכריע , אלא אם רצוי</w:t>
      </w:r>
      <w:r w:rsidR="009B1A19" w:rsidRPr="008F7BAD">
        <w:rPr>
          <w:rFonts w:cs="David" w:hint="cs"/>
          <w:sz w:val="24"/>
          <w:szCs w:val="24"/>
          <w:rtl/>
        </w:rPr>
        <w:t xml:space="preserve"> להכריע בסכסוך הנדון. </w:t>
      </w:r>
      <w:r w:rsidRPr="008F7BAD">
        <w:rPr>
          <w:rFonts w:cs="David" w:hint="cs"/>
          <w:sz w:val="24"/>
          <w:szCs w:val="24"/>
          <w:rtl/>
        </w:rPr>
        <w:t>ברק</w:t>
      </w:r>
      <w:r w:rsidR="0006151F" w:rsidRPr="008F7BAD">
        <w:rPr>
          <w:rStyle w:val="a5"/>
          <w:rFonts w:cs="David"/>
          <w:sz w:val="24"/>
          <w:szCs w:val="24"/>
          <w:rtl/>
        </w:rPr>
        <w:footnoteReference w:id="2"/>
      </w:r>
      <w:r w:rsidRPr="008F7BAD">
        <w:rPr>
          <w:rFonts w:cs="David" w:hint="cs"/>
          <w:sz w:val="24"/>
          <w:szCs w:val="24"/>
          <w:rtl/>
        </w:rPr>
        <w:t xml:space="preserve"> סבור שבית המשפט</w:t>
      </w:r>
      <w:r w:rsidRPr="00A372E5">
        <w:rPr>
          <w:rFonts w:cs="David" w:hint="cs"/>
          <w:sz w:val="24"/>
          <w:szCs w:val="24"/>
          <w:rtl/>
        </w:rPr>
        <w:t xml:space="preserve"> אינו צריך להכריע בכל הסכסוכים שהוא מסוגל להכריע בהם. מקרה שבו בית המשפט יחליט שלא להתערב הוא כאשר</w:t>
      </w:r>
      <w:r>
        <w:rPr>
          <w:rFonts w:cs="David" w:hint="cs"/>
          <w:sz w:val="24"/>
          <w:szCs w:val="24"/>
          <w:rtl/>
        </w:rPr>
        <w:t xml:space="preserve"> ישנו חשש</w:t>
      </w:r>
      <w:r w:rsidRPr="00A372E5">
        <w:rPr>
          <w:rFonts w:cs="David" w:hint="cs"/>
          <w:sz w:val="24"/>
          <w:szCs w:val="24"/>
          <w:rtl/>
        </w:rPr>
        <w:t xml:space="preserve"> </w:t>
      </w:r>
      <w:r>
        <w:rPr>
          <w:rFonts w:cs="David" w:hint="cs"/>
          <w:sz w:val="24"/>
          <w:szCs w:val="24"/>
          <w:rtl/>
        </w:rPr>
        <w:t>ש</w:t>
      </w:r>
      <w:r w:rsidRPr="00A372E5">
        <w:rPr>
          <w:rFonts w:cs="David" w:hint="cs"/>
          <w:sz w:val="24"/>
          <w:szCs w:val="24"/>
          <w:rtl/>
        </w:rPr>
        <w:t>הציב</w:t>
      </w:r>
      <w:r>
        <w:rPr>
          <w:rFonts w:cs="David" w:hint="cs"/>
          <w:sz w:val="24"/>
          <w:szCs w:val="24"/>
          <w:rtl/>
        </w:rPr>
        <w:t>ור י</w:t>
      </w:r>
      <w:r w:rsidRPr="00A372E5">
        <w:rPr>
          <w:rFonts w:cs="David" w:hint="cs"/>
          <w:sz w:val="24"/>
          <w:szCs w:val="24"/>
          <w:rtl/>
        </w:rPr>
        <w:t>פרש את הפסיקה כהכרעה פוליטית. במצב כזה אמון הציבור בבית המשפט ובשופטים עלול להיפגע, ולכן יש להימנע מפסיקה במצבים רגישים אלו.</w:t>
      </w:r>
      <w:r w:rsidR="009B1A19">
        <w:rPr>
          <w:rFonts w:cs="David" w:hint="cs"/>
          <w:sz w:val="24"/>
          <w:szCs w:val="24"/>
          <w:rtl/>
        </w:rPr>
        <w:t xml:space="preserve"> </w:t>
      </w:r>
      <w:r w:rsidRPr="00A372E5">
        <w:rPr>
          <w:rFonts w:cs="David" w:hint="cs"/>
          <w:sz w:val="24"/>
          <w:szCs w:val="24"/>
          <w:rtl/>
        </w:rPr>
        <w:t>שמגר</w:t>
      </w:r>
      <w:r w:rsidR="0006151F">
        <w:rPr>
          <w:rStyle w:val="a5"/>
          <w:rFonts w:cs="David"/>
          <w:sz w:val="24"/>
          <w:szCs w:val="24"/>
          <w:rtl/>
        </w:rPr>
        <w:footnoteReference w:id="3"/>
      </w:r>
      <w:r w:rsidRPr="00A372E5">
        <w:rPr>
          <w:rFonts w:cs="David" w:hint="cs"/>
          <w:sz w:val="24"/>
          <w:szCs w:val="24"/>
          <w:rtl/>
        </w:rPr>
        <w:t xml:space="preserve"> מביא מצב אחר של חוסר שפיטות מוסדית, כאשר ההיבטים הפוליטיים או המקצועיים של המקרה הם </w:t>
      </w:r>
      <w:r>
        <w:rPr>
          <w:rFonts w:cs="David" w:hint="cs"/>
          <w:sz w:val="24"/>
          <w:szCs w:val="24"/>
          <w:rtl/>
        </w:rPr>
        <w:t>דומיננטיים</w:t>
      </w:r>
      <w:r w:rsidRPr="00A372E5">
        <w:rPr>
          <w:rFonts w:cs="David" w:hint="cs"/>
          <w:sz w:val="24"/>
          <w:szCs w:val="24"/>
          <w:rtl/>
        </w:rPr>
        <w:t>, ואילו ההיבטים המשפטיים הם שוליים</w:t>
      </w:r>
      <w:r>
        <w:rPr>
          <w:rFonts w:cs="David" w:hint="cs"/>
          <w:sz w:val="24"/>
          <w:szCs w:val="24"/>
          <w:rtl/>
        </w:rPr>
        <w:t xml:space="preserve"> יכול בית המשפט להתייחס לכל העניין כלא שפיט, או לשפוט רק את ההיבטים ה</w:t>
      </w:r>
      <w:r w:rsidR="0006151F">
        <w:rPr>
          <w:rFonts w:cs="David" w:hint="cs"/>
          <w:sz w:val="24"/>
          <w:szCs w:val="24"/>
          <w:rtl/>
        </w:rPr>
        <w:t xml:space="preserve">משפטיים והנורמטיביים </w:t>
      </w:r>
      <w:r>
        <w:rPr>
          <w:rFonts w:cs="David" w:hint="cs"/>
          <w:sz w:val="24"/>
          <w:szCs w:val="24"/>
          <w:rtl/>
        </w:rPr>
        <w:t>של המקרה ול</w:t>
      </w:r>
      <w:r w:rsidR="0006151F">
        <w:rPr>
          <w:rFonts w:cs="David" w:hint="cs"/>
          <w:sz w:val="24"/>
          <w:szCs w:val="24"/>
          <w:rtl/>
        </w:rPr>
        <w:t xml:space="preserve">התעלם מההיבטים הפוליטיים, או לא לשפוט כלל בסכסוך שבו ההיבטים המשפטיים אינם רלוונטיים לצורך הכרעה לגופה. </w:t>
      </w:r>
      <w:r w:rsidR="009B1A19" w:rsidRPr="009B1A19">
        <w:rPr>
          <w:rFonts w:cs="David" w:hint="cs"/>
          <w:sz w:val="24"/>
          <w:szCs w:val="24"/>
          <w:rtl/>
        </w:rPr>
        <w:t>במקרה הנידון ראש הממשלה יטען שהדיון בהח</w:t>
      </w:r>
      <w:r w:rsidR="00B812F1">
        <w:rPr>
          <w:rFonts w:cs="David" w:hint="cs"/>
          <w:sz w:val="24"/>
          <w:szCs w:val="24"/>
          <w:rtl/>
        </w:rPr>
        <w:t>לטה ובהעברת</w:t>
      </w:r>
      <w:r w:rsidR="009B1A19" w:rsidRPr="009B1A19">
        <w:rPr>
          <w:rFonts w:cs="David" w:hint="cs"/>
          <w:sz w:val="24"/>
          <w:szCs w:val="24"/>
          <w:rtl/>
        </w:rPr>
        <w:t xml:space="preserve"> השר</w:t>
      </w:r>
      <w:r w:rsidR="00B812F1">
        <w:rPr>
          <w:rFonts w:cs="David" w:hint="cs"/>
          <w:sz w:val="24"/>
          <w:szCs w:val="24"/>
          <w:rtl/>
        </w:rPr>
        <w:t xml:space="preserve"> מתפקידו,</w:t>
      </w:r>
      <w:r w:rsidR="009B1A19" w:rsidRPr="009B1A19">
        <w:rPr>
          <w:rFonts w:cs="David" w:hint="cs"/>
          <w:sz w:val="24"/>
          <w:szCs w:val="24"/>
          <w:rtl/>
        </w:rPr>
        <w:t xml:space="preserve"> ייתפס כפוליטי ובכך יסכן את אמון הציבור</w:t>
      </w:r>
      <w:r w:rsidRPr="009B1A19">
        <w:rPr>
          <w:rFonts w:cs="David" w:hint="cs"/>
          <w:sz w:val="24"/>
          <w:szCs w:val="24"/>
          <w:rtl/>
        </w:rPr>
        <w:t xml:space="preserve"> </w:t>
      </w:r>
      <w:r w:rsidR="009B1A19" w:rsidRPr="009B1A19">
        <w:rPr>
          <w:rFonts w:cs="David" w:hint="cs"/>
          <w:sz w:val="24"/>
          <w:szCs w:val="24"/>
          <w:rtl/>
        </w:rPr>
        <w:t>בבית המשפט.</w:t>
      </w:r>
      <w:r w:rsidRPr="009B1A19">
        <w:rPr>
          <w:rFonts w:cs="David" w:hint="cs"/>
          <w:sz w:val="24"/>
          <w:szCs w:val="24"/>
          <w:rtl/>
        </w:rPr>
        <w:t xml:space="preserve"> </w:t>
      </w:r>
      <w:r w:rsidR="009B1A19">
        <w:rPr>
          <w:rFonts w:cs="David" w:hint="cs"/>
          <w:sz w:val="24"/>
          <w:szCs w:val="24"/>
          <w:rtl/>
        </w:rPr>
        <w:t xml:space="preserve">שר התרבות והספורט לעומתו יטען </w:t>
      </w:r>
      <w:r w:rsidR="00B812F1">
        <w:rPr>
          <w:rFonts w:cs="David" w:hint="cs"/>
          <w:sz w:val="24"/>
          <w:szCs w:val="24"/>
          <w:rtl/>
        </w:rPr>
        <w:t>כי עיקר ההחלטה אינה פוליטית אלא נורמטיבית משפטית ולכן על הבית המשפט להכריע בסכסוך.</w:t>
      </w:r>
    </w:p>
    <w:p w:rsidR="001C6266" w:rsidRPr="0039689C" w:rsidRDefault="00B812F1" w:rsidP="004E7991">
      <w:pPr>
        <w:spacing w:line="360" w:lineRule="auto"/>
        <w:jc w:val="both"/>
        <w:rPr>
          <w:rFonts w:cs="David" w:hint="cs"/>
          <w:sz w:val="24"/>
          <w:szCs w:val="24"/>
          <w:rtl/>
        </w:rPr>
      </w:pPr>
      <w:r>
        <w:rPr>
          <w:rFonts w:cs="David" w:hint="cs"/>
          <w:sz w:val="24"/>
          <w:szCs w:val="24"/>
          <w:rtl/>
        </w:rPr>
        <w:t>ראש הממשלה יוכל להסתמך על פס"ד פולארד</w:t>
      </w:r>
      <w:r>
        <w:rPr>
          <w:rStyle w:val="a5"/>
          <w:rFonts w:cs="David"/>
          <w:sz w:val="24"/>
          <w:szCs w:val="24"/>
          <w:rtl/>
        </w:rPr>
        <w:footnoteReference w:id="4"/>
      </w:r>
      <w:r>
        <w:rPr>
          <w:rFonts w:cs="David" w:hint="cs"/>
          <w:sz w:val="24"/>
          <w:szCs w:val="24"/>
          <w:rtl/>
        </w:rPr>
        <w:t xml:space="preserve"> </w:t>
      </w:r>
      <w:r w:rsidR="003C38BC">
        <w:rPr>
          <w:rFonts w:cs="David" w:hint="cs"/>
          <w:sz w:val="24"/>
          <w:szCs w:val="24"/>
          <w:rtl/>
        </w:rPr>
        <w:t>שקובע כי ענייניה המדיניים של המדינה מופקדים ע"פ מהותם בידי הממשלה, לכן התערבות בית המשפט בעניינים אלה אינה לגיטימית ותיעשה רק במקרים קיצוניים של פגיעה בזכות אדם. המקרה הנידון הוא מקרה מובהק למדיניות חוץ</w:t>
      </w:r>
      <w:r w:rsidR="001C6266">
        <w:rPr>
          <w:rFonts w:cs="David" w:hint="cs"/>
          <w:sz w:val="24"/>
          <w:szCs w:val="24"/>
          <w:rtl/>
        </w:rPr>
        <w:t>, כי תכלית ההחלטה היא למנוע פגיעה ביחסי חוץ של ישראל</w:t>
      </w:r>
      <w:r w:rsidR="003C38BC">
        <w:rPr>
          <w:rFonts w:cs="David" w:hint="cs"/>
          <w:sz w:val="24"/>
          <w:szCs w:val="24"/>
          <w:rtl/>
        </w:rPr>
        <w:t xml:space="preserve">, אלא שבעניינינו לא מתקיימת פגיעה בזכות אדם אלא להיפך ישנה כוונה לגרום לשוויון בין ספורטאים מחו"ל לספורטאים מהארץ, לכן ראש הממשלה יכול להסתמך על </w:t>
      </w:r>
      <w:r w:rsidR="003C38BC" w:rsidRPr="0039689C">
        <w:rPr>
          <w:rFonts w:cs="David" w:hint="cs"/>
          <w:sz w:val="24"/>
          <w:szCs w:val="24"/>
          <w:rtl/>
        </w:rPr>
        <w:t>פסק דין זה.</w:t>
      </w:r>
    </w:p>
    <w:p w:rsidR="00091433" w:rsidRDefault="001C6266" w:rsidP="004E7991">
      <w:pPr>
        <w:spacing w:line="360" w:lineRule="auto"/>
        <w:jc w:val="both"/>
        <w:rPr>
          <w:rFonts w:cs="David"/>
          <w:sz w:val="24"/>
          <w:szCs w:val="24"/>
          <w:rtl/>
        </w:rPr>
      </w:pPr>
      <w:r w:rsidRPr="0039689C">
        <w:rPr>
          <w:rFonts w:cs="David" w:hint="cs"/>
          <w:sz w:val="24"/>
          <w:szCs w:val="24"/>
          <w:rtl/>
        </w:rPr>
        <w:t xml:space="preserve">שר התרבות והספורט, ליאור, מנגד יכול </w:t>
      </w:r>
      <w:r w:rsidR="00EA356A" w:rsidRPr="0039689C">
        <w:rPr>
          <w:rFonts w:cs="David" w:hint="cs"/>
          <w:sz w:val="24"/>
          <w:szCs w:val="24"/>
          <w:rtl/>
        </w:rPr>
        <w:t xml:space="preserve"> </w:t>
      </w:r>
      <w:r w:rsidRPr="0039689C">
        <w:rPr>
          <w:rFonts w:cs="David" w:hint="cs"/>
          <w:sz w:val="24"/>
          <w:szCs w:val="24"/>
          <w:rtl/>
        </w:rPr>
        <w:t>להתבסס על מאמרו של פרופ' בנדור</w:t>
      </w:r>
      <w:r w:rsidR="00B11B4D" w:rsidRPr="0039689C">
        <w:rPr>
          <w:rStyle w:val="a5"/>
          <w:rFonts w:cs="David"/>
          <w:sz w:val="24"/>
          <w:szCs w:val="24"/>
          <w:rtl/>
        </w:rPr>
        <w:footnoteReference w:id="5"/>
      </w:r>
      <w:r w:rsidR="0039689C" w:rsidRPr="0039689C">
        <w:rPr>
          <w:rFonts w:cs="David" w:hint="cs"/>
          <w:sz w:val="24"/>
          <w:szCs w:val="24"/>
          <w:rtl/>
        </w:rPr>
        <w:t xml:space="preserve"> </w:t>
      </w:r>
      <w:r w:rsidR="004070E6">
        <w:rPr>
          <w:rFonts w:cs="David" w:hint="cs"/>
          <w:sz w:val="24"/>
          <w:szCs w:val="24"/>
          <w:rtl/>
        </w:rPr>
        <w:t>ולטעון שהכל שפיט מפני שהמשפט מבוסס על ההיגיון והימנעות בית המשפט מלדון לגופה בעתירה בשל היותה "פוליטית" ככל שתהיה, אינה רצויה ופוגעת קשות בערכים שהפורמליזם המשפטי מגלם. לכן בית המשפט חייב לדון בסכסוך שהתעורר.</w:t>
      </w:r>
      <w:r w:rsidR="00091433">
        <w:rPr>
          <w:rFonts w:cs="David"/>
          <w:sz w:val="24"/>
          <w:szCs w:val="24"/>
          <w:rtl/>
        </w:rPr>
        <w:br w:type="page"/>
      </w:r>
    </w:p>
    <w:p w:rsidR="00B812F1" w:rsidRDefault="00091433" w:rsidP="004E7991">
      <w:pPr>
        <w:spacing w:line="360" w:lineRule="auto"/>
        <w:jc w:val="both"/>
        <w:rPr>
          <w:rFonts w:cs="David" w:hint="cs"/>
          <w:sz w:val="24"/>
          <w:szCs w:val="24"/>
          <w:rtl/>
        </w:rPr>
      </w:pPr>
      <w:r>
        <w:rPr>
          <w:rFonts w:cs="David" w:hint="cs"/>
          <w:sz w:val="24"/>
          <w:szCs w:val="24"/>
          <w:rtl/>
        </w:rPr>
        <w:lastRenderedPageBreak/>
        <w:t xml:space="preserve">העניים הבא שעלינו לבדוק הוא סמכותו של </w:t>
      </w:r>
      <w:r w:rsidRPr="00091433">
        <w:rPr>
          <w:rFonts w:cs="David" w:hint="cs"/>
          <w:b/>
          <w:bCs/>
          <w:sz w:val="24"/>
          <w:szCs w:val="24"/>
          <w:u w:val="single"/>
          <w:rtl/>
        </w:rPr>
        <w:t>היועץ המשפטי לממשלה</w:t>
      </w:r>
      <w:r>
        <w:rPr>
          <w:rFonts w:cs="David" w:hint="cs"/>
          <w:sz w:val="24"/>
          <w:szCs w:val="24"/>
          <w:rtl/>
        </w:rPr>
        <w:t>.</w:t>
      </w:r>
      <w:r w:rsidR="00815240">
        <w:rPr>
          <w:rFonts w:cs="David" w:hint="cs"/>
          <w:sz w:val="24"/>
          <w:szCs w:val="24"/>
          <w:rtl/>
        </w:rPr>
        <w:t xml:space="preserve"> שר התרבות והספורט יכול להסתמך על מעמדה המחייב שרכשה ח</w:t>
      </w:r>
      <w:r w:rsidR="007A7393">
        <w:rPr>
          <w:rFonts w:cs="David" w:hint="cs"/>
          <w:sz w:val="24"/>
          <w:szCs w:val="24"/>
          <w:rtl/>
        </w:rPr>
        <w:t xml:space="preserve">וות דעתו של היועץ המשפטי לממשלה </w:t>
      </w:r>
      <w:r w:rsidR="00815240">
        <w:rPr>
          <w:rFonts w:cs="David" w:hint="cs"/>
          <w:sz w:val="24"/>
          <w:szCs w:val="24"/>
          <w:rtl/>
        </w:rPr>
        <w:t xml:space="preserve">ולטעון כי לא היה ביכולתו שלא לציית לכך. </w:t>
      </w:r>
      <w:r w:rsidR="007A7393">
        <w:rPr>
          <w:rFonts w:cs="David" w:hint="cs"/>
          <w:sz w:val="24"/>
          <w:szCs w:val="24"/>
          <w:rtl/>
        </w:rPr>
        <w:t>בפס"ד סיעת מרצ</w:t>
      </w:r>
      <w:r w:rsidR="007A7393">
        <w:rPr>
          <w:rStyle w:val="a5"/>
          <w:rFonts w:cs="David"/>
          <w:sz w:val="24"/>
          <w:szCs w:val="24"/>
          <w:rtl/>
        </w:rPr>
        <w:footnoteReference w:id="6"/>
      </w:r>
      <w:r w:rsidR="00815240">
        <w:rPr>
          <w:rFonts w:cs="David" w:hint="cs"/>
          <w:sz w:val="24"/>
          <w:szCs w:val="24"/>
          <w:rtl/>
        </w:rPr>
        <w:t xml:space="preserve">  </w:t>
      </w:r>
      <w:r w:rsidR="00B84004">
        <w:rPr>
          <w:rFonts w:cs="David" w:hint="cs"/>
          <w:sz w:val="24"/>
          <w:szCs w:val="24"/>
          <w:rtl/>
        </w:rPr>
        <w:t>נאמר שהיועץ המשפטי לממשלה ונציגיו אינם "יועצים" במובן השגור של המילה, אלא חוות דעתם מחייבת את הרשויות בעוד שעמדתם האישית של נציגי הרשות אינה רלוונטית. לאחר מכן הגיע פס"ד לביא</w:t>
      </w:r>
      <w:r w:rsidR="00B84004">
        <w:rPr>
          <w:rStyle w:val="a5"/>
          <w:rFonts w:cs="David"/>
          <w:sz w:val="24"/>
          <w:szCs w:val="24"/>
          <w:rtl/>
        </w:rPr>
        <w:footnoteReference w:id="7"/>
      </w:r>
      <w:r w:rsidR="00B84004">
        <w:rPr>
          <w:rFonts w:cs="David" w:hint="cs"/>
          <w:sz w:val="24"/>
          <w:szCs w:val="24"/>
          <w:rtl/>
        </w:rPr>
        <w:t xml:space="preserve"> שרק חיזק את הלכת סיעת מרצ והוסיף </w:t>
      </w:r>
      <w:r w:rsidR="00EA5EB4">
        <w:rPr>
          <w:rFonts w:cs="David" w:hint="cs"/>
          <w:sz w:val="24"/>
          <w:szCs w:val="24"/>
          <w:rtl/>
        </w:rPr>
        <w:t xml:space="preserve">שהיועץ המשפטי לממשלה הוא ראש המערכת המשפטית ופרשן מוסמך של הדין ודעתו מחייבת את הרשויות כל עוד בת המשפט לא פסק אחרת. על בסיס פסקי דין אלה </w:t>
      </w:r>
      <w:r w:rsidR="00574F23">
        <w:rPr>
          <w:rFonts w:cs="David" w:hint="cs"/>
          <w:sz w:val="24"/>
          <w:szCs w:val="24"/>
          <w:rtl/>
        </w:rPr>
        <w:t>יכול ליאור להגיד שלא היה על ראש הממשלה לנהוג כנגד חוות דעתו של היועץ המשפטי ושאי אפשר להאשים אותו (את ליאור) על כך שהוא עצמו הקשיב לחוות דעתו.</w:t>
      </w:r>
      <w:r w:rsidR="0045196D">
        <w:rPr>
          <w:rFonts w:cs="David" w:hint="cs"/>
          <w:sz w:val="24"/>
          <w:szCs w:val="24"/>
          <w:rtl/>
        </w:rPr>
        <w:t xml:space="preserve"> פסק דין שיכול לעמוד לזכותו הוא פס"ד התנועה למען איכות השלטון</w:t>
      </w:r>
      <w:r w:rsidR="0045196D">
        <w:rPr>
          <w:rStyle w:val="a5"/>
          <w:rFonts w:cs="David"/>
          <w:sz w:val="24"/>
          <w:szCs w:val="24"/>
          <w:rtl/>
        </w:rPr>
        <w:footnoteReference w:id="8"/>
      </w:r>
      <w:r w:rsidR="008F7BAD">
        <w:rPr>
          <w:rFonts w:cs="David" w:hint="cs"/>
          <w:sz w:val="24"/>
          <w:szCs w:val="24"/>
          <w:rtl/>
        </w:rPr>
        <w:t xml:space="preserve"> שם השופט מצא בדעת הרוב טוען שאמנם בית המשפט "יועץ משפטי עליון" אך הוא עדיין צריך לבדוק את דרך קבלת ההחלטה שלו, האם הוא נקט במידת זהירות מוגברת, האם היקף המשאבים שהוא השקיע כדי למנוע החלטה מוטעית היה סביר בהשוואה להשלכות החלטה כזאת.</w:t>
      </w:r>
      <w:r w:rsidR="0041267A">
        <w:rPr>
          <w:rFonts w:cs="David" w:hint="cs"/>
          <w:sz w:val="24"/>
          <w:szCs w:val="24"/>
          <w:rtl/>
        </w:rPr>
        <w:t xml:space="preserve"> והשופט חשין</w:t>
      </w:r>
      <w:r w:rsidR="002F05F9">
        <w:rPr>
          <w:rStyle w:val="a5"/>
          <w:rFonts w:cs="David"/>
          <w:sz w:val="24"/>
          <w:szCs w:val="24"/>
          <w:rtl/>
        </w:rPr>
        <w:footnoteReference w:id="9"/>
      </w:r>
      <w:r w:rsidR="0041267A">
        <w:rPr>
          <w:rFonts w:cs="David" w:hint="cs"/>
          <w:sz w:val="24"/>
          <w:szCs w:val="24"/>
          <w:rtl/>
        </w:rPr>
        <w:t xml:space="preserve"> בדעת מיעוט </w:t>
      </w:r>
      <w:r w:rsidR="002F05F9">
        <w:rPr>
          <w:rFonts w:cs="David" w:hint="cs"/>
          <w:sz w:val="24"/>
          <w:szCs w:val="24"/>
          <w:rtl/>
        </w:rPr>
        <w:t>טוען שעל בית המשפט היה להתערב בהחלטת היועץ המשפטי לממשלה דווקא משום שהנושא עוסק בראש ממשלה. אך טענה זו אינה חזקה על פי דעתי כי חשין היה בדעת מיעוט וכדי לסתור את הטענה של ראש הממשלה המבוססת על דעתו של מצא כל שעל שר התרבות והספורט לעשות הוא להביא ראיות לכך שהיועץ המשפטי קיבלת את החלטתו בדרך ראויה.</w:t>
      </w:r>
    </w:p>
    <w:p w:rsidR="00647534" w:rsidRDefault="002F05F9" w:rsidP="004E7991">
      <w:pPr>
        <w:spacing w:line="360" w:lineRule="auto"/>
        <w:jc w:val="both"/>
        <w:rPr>
          <w:rFonts w:cs="David" w:hint="cs"/>
          <w:sz w:val="24"/>
          <w:szCs w:val="24"/>
          <w:rtl/>
        </w:rPr>
      </w:pPr>
      <w:r>
        <w:rPr>
          <w:rFonts w:cs="David" w:hint="cs"/>
          <w:sz w:val="24"/>
          <w:szCs w:val="24"/>
          <w:rtl/>
        </w:rPr>
        <w:t xml:space="preserve">הנושא השלישי שנדון בו הוא סמכות </w:t>
      </w:r>
      <w:r w:rsidRPr="002F05F9">
        <w:rPr>
          <w:rFonts w:cs="David" w:hint="cs"/>
          <w:b/>
          <w:bCs/>
          <w:sz w:val="24"/>
          <w:szCs w:val="24"/>
          <w:u w:val="single"/>
          <w:rtl/>
        </w:rPr>
        <w:t>הממשלה</w:t>
      </w:r>
      <w:r>
        <w:rPr>
          <w:rFonts w:cs="David" w:hint="cs"/>
          <w:sz w:val="24"/>
          <w:szCs w:val="24"/>
          <w:rtl/>
        </w:rPr>
        <w:t xml:space="preserve"> להחליט החלטות, </w:t>
      </w:r>
      <w:r w:rsidR="00A014BF">
        <w:rPr>
          <w:rFonts w:cs="David" w:hint="cs"/>
          <w:sz w:val="24"/>
          <w:szCs w:val="24"/>
          <w:rtl/>
        </w:rPr>
        <w:t xml:space="preserve">ראש הממשלה יטען כי מכח סעיף 32 לחוק </w:t>
      </w:r>
      <w:r w:rsidR="00A014BF">
        <w:rPr>
          <w:rFonts w:cs="David"/>
          <w:sz w:val="24"/>
          <w:szCs w:val="24"/>
          <w:rtl/>
        </w:rPr>
        <w:t>–</w:t>
      </w:r>
      <w:r w:rsidR="001308AF">
        <w:rPr>
          <w:rFonts w:cs="David" w:hint="cs"/>
          <w:sz w:val="24"/>
          <w:szCs w:val="24"/>
          <w:rtl/>
        </w:rPr>
        <w:t xml:space="preserve"> יסוד: הממשלה</w:t>
      </w:r>
      <w:r w:rsidR="004E7991">
        <w:rPr>
          <w:rStyle w:val="a5"/>
          <w:rFonts w:cs="David"/>
          <w:sz w:val="24"/>
          <w:szCs w:val="24"/>
          <w:rtl/>
        </w:rPr>
        <w:footnoteReference w:id="10"/>
      </w:r>
      <w:r w:rsidR="001308AF">
        <w:rPr>
          <w:rFonts w:cs="David" w:hint="cs"/>
          <w:sz w:val="24"/>
          <w:szCs w:val="24"/>
          <w:rtl/>
        </w:rPr>
        <w:t>, הממשלה רשאית להחליט החלטות מסמכות שיורית שסעיף זה מקנה לה. ליאור יכול לטעון לפי דעתו של השופט חשין</w:t>
      </w:r>
      <w:r w:rsidR="001308AF">
        <w:rPr>
          <w:rStyle w:val="a5"/>
          <w:rFonts w:cs="David"/>
          <w:sz w:val="24"/>
          <w:szCs w:val="24"/>
          <w:rtl/>
        </w:rPr>
        <w:footnoteReference w:id="11"/>
      </w:r>
      <w:r w:rsidR="001308AF">
        <w:rPr>
          <w:rFonts w:cs="David" w:hint="cs"/>
          <w:sz w:val="24"/>
          <w:szCs w:val="24"/>
          <w:rtl/>
        </w:rPr>
        <w:t xml:space="preserve"> </w:t>
      </w:r>
      <w:r w:rsidR="00392A1B">
        <w:rPr>
          <w:rFonts w:cs="David" w:hint="cs"/>
          <w:sz w:val="24"/>
          <w:szCs w:val="24"/>
          <w:rtl/>
        </w:rPr>
        <w:t xml:space="preserve">שהחוק מגביל את הסמכות השיורית בשתי מגבלות האחת היא שהסמכות היא בכפוף לכל דין והשנייה היא שמדובר על פעולה שעשייתה אינה מוטלת על רשות אחרת. מלבד זאת מוסיף חשין ואומר שסעיף 32 מקנה סמכות לממשלה להסדיר רק הסדרים משניים בעוד שהסמכות להסדיר הסדרים ראשוניים מוטלת בידי הכנסת. נבחין בין הסדרים ראשוניים ומשניים ע"פ נסיבות המקרה, במקרה שלנו ההחלטה נעשתה בניגוד לחוק שהרי בחוק נכתב בבירור שספורטאי חוץ לא יבוטחו, צריך לבחון את השפעתו של העניין על הציבור הישראלי, בנידון דידן יכול להיות שהחלטה </w:t>
      </w:r>
      <w:r w:rsidR="00CC295E">
        <w:rPr>
          <w:rFonts w:cs="David" w:hint="cs"/>
          <w:sz w:val="24"/>
          <w:szCs w:val="24"/>
          <w:rtl/>
        </w:rPr>
        <w:t>כזאת תגרום לחלק ממארגני התחרויות לא לארגן תחרויות בגלל ההוצאות הכספיות וזה יפגע בספורט הישראלי, צריך לבחון גם את תכלית ההחלטה, במקרה זה היא תכלית ראויה, לדעתי, לא לפגוע ביחסי חוץ של ישראל, ולבסוף עלינו לבדוק את העלות הכלכלית של ההחלטה שתהיה גדולה מפני שלבטח את כל הספורטאים זו הוצאה כבדה.</w:t>
      </w:r>
      <w:r w:rsidR="00572BA3">
        <w:rPr>
          <w:rFonts w:cs="David" w:hint="cs"/>
          <w:sz w:val="24"/>
          <w:szCs w:val="24"/>
          <w:rtl/>
        </w:rPr>
        <w:t xml:space="preserve"> לכן </w:t>
      </w:r>
      <w:r w:rsidR="00903B76">
        <w:rPr>
          <w:rFonts w:cs="David" w:hint="cs"/>
          <w:sz w:val="24"/>
          <w:szCs w:val="24"/>
          <w:rtl/>
        </w:rPr>
        <w:t xml:space="preserve">ניתן ליחס את ההחלטה להסדר ראשוני ויוצא מכאן שהממשלה לא יכלה להחליט אותה וליאור פעל בצורה נכונה כאשר הקשיב ליועץ המשפטי לממשלה. </w:t>
      </w:r>
    </w:p>
    <w:p w:rsidR="00903B76" w:rsidRDefault="00903B76" w:rsidP="004E7991">
      <w:pPr>
        <w:spacing w:line="360" w:lineRule="auto"/>
        <w:jc w:val="both"/>
        <w:rPr>
          <w:rFonts w:cs="David" w:hint="cs"/>
          <w:sz w:val="24"/>
          <w:szCs w:val="24"/>
          <w:rtl/>
        </w:rPr>
      </w:pPr>
    </w:p>
    <w:p w:rsidR="00903B76" w:rsidRDefault="00903B76" w:rsidP="004E7991">
      <w:pPr>
        <w:spacing w:line="360" w:lineRule="auto"/>
        <w:jc w:val="both"/>
        <w:rPr>
          <w:rFonts w:cs="David" w:hint="cs"/>
          <w:sz w:val="24"/>
          <w:szCs w:val="24"/>
          <w:rtl/>
        </w:rPr>
      </w:pPr>
      <w:r>
        <w:rPr>
          <w:rFonts w:cs="David" w:hint="cs"/>
          <w:sz w:val="24"/>
          <w:szCs w:val="24"/>
          <w:rtl/>
        </w:rPr>
        <w:t xml:space="preserve">בעניין </w:t>
      </w:r>
      <w:r w:rsidRPr="00903B76">
        <w:rPr>
          <w:rFonts w:cs="David" w:hint="cs"/>
          <w:b/>
          <w:bCs/>
          <w:sz w:val="24"/>
          <w:szCs w:val="24"/>
          <w:u w:val="single"/>
          <w:rtl/>
        </w:rPr>
        <w:t>פיטוריו</w:t>
      </w:r>
      <w:r w:rsidRPr="00903B76">
        <w:rPr>
          <w:rFonts w:cs="David" w:hint="cs"/>
          <w:sz w:val="24"/>
          <w:szCs w:val="24"/>
          <w:u w:val="single"/>
          <w:rtl/>
        </w:rPr>
        <w:t xml:space="preserve"> </w:t>
      </w:r>
      <w:r w:rsidRPr="00903B76">
        <w:rPr>
          <w:rFonts w:cs="David" w:hint="cs"/>
          <w:b/>
          <w:bCs/>
          <w:sz w:val="24"/>
          <w:szCs w:val="24"/>
          <w:u w:val="single"/>
          <w:rtl/>
        </w:rPr>
        <w:t>של שר</w:t>
      </w:r>
      <w:r>
        <w:rPr>
          <w:rFonts w:cs="David" w:hint="cs"/>
          <w:sz w:val="24"/>
          <w:szCs w:val="24"/>
          <w:rtl/>
        </w:rPr>
        <w:t xml:space="preserve"> התרבות והספורט, ראש הממשלה יוכל לטעון שסעיף 22(ב) לחוק - יסוד: הממשלה, מקנה לראש הממשלה רשות להעביר שר ממשרתו. גם בפס"ד פוקס</w:t>
      </w:r>
      <w:r>
        <w:rPr>
          <w:rStyle w:val="a5"/>
          <w:rFonts w:cs="David"/>
          <w:sz w:val="24"/>
          <w:szCs w:val="24"/>
          <w:rtl/>
        </w:rPr>
        <w:footnoteReference w:id="12"/>
      </w:r>
      <w:r w:rsidR="00154601">
        <w:rPr>
          <w:rFonts w:cs="David" w:hint="cs"/>
          <w:sz w:val="24"/>
          <w:szCs w:val="24"/>
          <w:rtl/>
        </w:rPr>
        <w:t xml:space="preserve"> נקבע כי מכח סעיף 22(ב) לחוק </w:t>
      </w:r>
      <w:r w:rsidR="004E7991">
        <w:rPr>
          <w:rFonts w:cs="David" w:hint="cs"/>
          <w:sz w:val="24"/>
          <w:szCs w:val="24"/>
          <w:rtl/>
        </w:rPr>
        <w:t>ראש הממשלה יכול להעביר שר מתפקידו במידה וזה מבוסס על קידום והגשמת יעדי הממשלה, במקרה שלנו יעד הממשלה היה לקדם את יחסי החוץ של ישראל וליאור עיכב את הגשמת היעד. השר יכול למחות ולטעון שאינו עיכב את היעד, אלא בסה"כ  פעל לפי החוק ומכאן שלא היה ביכולתו לפעול אחרת.</w:t>
      </w:r>
    </w:p>
    <w:p w:rsidR="004E7991" w:rsidRDefault="004E7991" w:rsidP="004E7991">
      <w:pPr>
        <w:spacing w:line="360" w:lineRule="auto"/>
        <w:jc w:val="both"/>
        <w:rPr>
          <w:rFonts w:cs="David" w:hint="cs"/>
          <w:sz w:val="24"/>
          <w:szCs w:val="24"/>
          <w:rtl/>
        </w:rPr>
      </w:pPr>
    </w:p>
    <w:p w:rsidR="004E7991" w:rsidRPr="001308AF" w:rsidRDefault="004E7991" w:rsidP="004E7991">
      <w:pPr>
        <w:spacing w:line="360" w:lineRule="auto"/>
        <w:jc w:val="both"/>
        <w:rPr>
          <w:rFonts w:cs="David" w:hint="cs"/>
          <w:sz w:val="24"/>
          <w:szCs w:val="24"/>
        </w:rPr>
      </w:pPr>
      <w:r>
        <w:rPr>
          <w:rFonts w:cs="David" w:hint="cs"/>
          <w:sz w:val="24"/>
          <w:szCs w:val="24"/>
          <w:rtl/>
        </w:rPr>
        <w:t xml:space="preserve">לדעתי בית המשפט יקבע שהסוגיה שפיטה מפני שהחלק הדומיננטי בה הוא ההיבט המשפטי ולא הפוליטי. לאחר מכן הוא יקבע שעל הממשלה היה לפעול בכפוף לחוות דעתו של היועץ המשפטי לממשלה מכיוון שהיא מחייבת ובכל מקרה לא יכלה הממשלה להחליט החלטה מסוג זה מכיוון שהיא מסוג הסדר ראשוני והחלטות כאלה מוטלות בסמכות הרשות המחוקקת. אך בעניין פיטוריו של השר לדידי יפסוק בית המשפט לטובת ראש הממשלה מפני שחוק היסוד הפקיד את הסמכות להעביר שר מתפקידו בידיו. </w:t>
      </w:r>
    </w:p>
    <w:sectPr w:rsidR="004E7991" w:rsidRPr="001308AF" w:rsidSect="005E7C3F">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48EC" w:rsidRDefault="001348EC" w:rsidP="00A372E5">
      <w:pPr>
        <w:spacing w:after="0" w:line="240" w:lineRule="auto"/>
      </w:pPr>
      <w:r>
        <w:separator/>
      </w:r>
    </w:p>
  </w:endnote>
  <w:endnote w:type="continuationSeparator" w:id="0">
    <w:p w:rsidR="001348EC" w:rsidRDefault="001348EC" w:rsidP="00A372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48EC" w:rsidRDefault="001348EC" w:rsidP="00A372E5">
      <w:pPr>
        <w:spacing w:after="0" w:line="240" w:lineRule="auto"/>
      </w:pPr>
      <w:r>
        <w:separator/>
      </w:r>
    </w:p>
  </w:footnote>
  <w:footnote w:type="continuationSeparator" w:id="0">
    <w:p w:rsidR="001348EC" w:rsidRDefault="001348EC" w:rsidP="00A372E5">
      <w:pPr>
        <w:spacing w:after="0" w:line="240" w:lineRule="auto"/>
      </w:pPr>
      <w:r>
        <w:continuationSeparator/>
      </w:r>
    </w:p>
  </w:footnote>
  <w:footnote w:id="1">
    <w:p w:rsidR="00A372E5" w:rsidRPr="0039689C" w:rsidRDefault="00A372E5">
      <w:pPr>
        <w:pStyle w:val="a3"/>
        <w:rPr>
          <w:rFonts w:cs="David" w:hint="cs"/>
        </w:rPr>
      </w:pPr>
      <w:r w:rsidRPr="00A372E5">
        <w:rPr>
          <w:rStyle w:val="a5"/>
          <w:rFonts w:cs="David"/>
        </w:rPr>
        <w:footnoteRef/>
      </w:r>
      <w:r w:rsidRPr="00A372E5">
        <w:rPr>
          <w:rFonts w:cs="David"/>
          <w:rtl/>
        </w:rPr>
        <w:t xml:space="preserve"> </w:t>
      </w:r>
      <w:r w:rsidRPr="0039689C">
        <w:rPr>
          <w:rFonts w:cs="David" w:hint="cs"/>
          <w:rtl/>
        </w:rPr>
        <w:t xml:space="preserve">בג"ץ 910/86 </w:t>
      </w:r>
      <w:r w:rsidRPr="0039689C">
        <w:rPr>
          <w:rFonts w:cs="David" w:hint="cs"/>
          <w:b/>
          <w:bCs/>
          <w:rtl/>
        </w:rPr>
        <w:t>רסלר נ' שר הביטחון</w:t>
      </w:r>
      <w:r w:rsidRPr="0039689C">
        <w:rPr>
          <w:rFonts w:cs="David" w:hint="cs"/>
          <w:rtl/>
        </w:rPr>
        <w:t>, פ"ד מב(2) 441 (1988).</w:t>
      </w:r>
    </w:p>
  </w:footnote>
  <w:footnote w:id="2">
    <w:p w:rsidR="0006151F" w:rsidRPr="0039689C" w:rsidRDefault="0006151F">
      <w:pPr>
        <w:pStyle w:val="a3"/>
        <w:rPr>
          <w:rFonts w:cs="David" w:hint="cs"/>
        </w:rPr>
      </w:pPr>
      <w:r w:rsidRPr="0039689C">
        <w:rPr>
          <w:rStyle w:val="a5"/>
          <w:rFonts w:cs="David"/>
        </w:rPr>
        <w:footnoteRef/>
      </w:r>
      <w:r w:rsidRPr="0039689C">
        <w:rPr>
          <w:rFonts w:cs="David"/>
          <w:rtl/>
        </w:rPr>
        <w:t xml:space="preserve"> </w:t>
      </w:r>
      <w:r w:rsidRPr="0039689C">
        <w:rPr>
          <w:rFonts w:cs="David" w:hint="cs"/>
          <w:rtl/>
        </w:rPr>
        <w:t>שם</w:t>
      </w:r>
      <w:r w:rsidR="008A439B">
        <w:rPr>
          <w:rFonts w:cs="David" w:hint="cs"/>
          <w:rtl/>
        </w:rPr>
        <w:t>,</w:t>
      </w:r>
      <w:r w:rsidRPr="0039689C">
        <w:rPr>
          <w:rFonts w:cs="David" w:hint="cs"/>
          <w:rtl/>
        </w:rPr>
        <w:t xml:space="preserve"> עמ' </w:t>
      </w:r>
      <w:r w:rsidR="009B1A19" w:rsidRPr="0039689C">
        <w:rPr>
          <w:rFonts w:cs="David" w:hint="cs"/>
          <w:rtl/>
        </w:rPr>
        <w:t>474.</w:t>
      </w:r>
    </w:p>
  </w:footnote>
  <w:footnote w:id="3">
    <w:p w:rsidR="0006151F" w:rsidRPr="0039689C" w:rsidRDefault="0006151F">
      <w:pPr>
        <w:pStyle w:val="a3"/>
        <w:rPr>
          <w:rFonts w:cs="David" w:hint="cs"/>
        </w:rPr>
      </w:pPr>
      <w:r w:rsidRPr="0039689C">
        <w:rPr>
          <w:rStyle w:val="a5"/>
          <w:rFonts w:cs="David"/>
        </w:rPr>
        <w:footnoteRef/>
      </w:r>
      <w:r w:rsidRPr="0039689C">
        <w:rPr>
          <w:rFonts w:cs="David"/>
          <w:rtl/>
        </w:rPr>
        <w:t xml:space="preserve"> </w:t>
      </w:r>
      <w:r w:rsidRPr="0039689C">
        <w:rPr>
          <w:rFonts w:cs="David" w:hint="cs"/>
          <w:rtl/>
        </w:rPr>
        <w:t>שם</w:t>
      </w:r>
      <w:r w:rsidR="008A439B">
        <w:rPr>
          <w:rFonts w:cs="David" w:hint="cs"/>
          <w:rtl/>
        </w:rPr>
        <w:t>,</w:t>
      </w:r>
      <w:r w:rsidRPr="0039689C">
        <w:rPr>
          <w:rFonts w:cs="David" w:hint="cs"/>
          <w:rtl/>
        </w:rPr>
        <w:t xml:space="preserve"> עמ' 524.</w:t>
      </w:r>
    </w:p>
  </w:footnote>
  <w:footnote w:id="4">
    <w:p w:rsidR="00B812F1" w:rsidRPr="0039689C" w:rsidRDefault="00B812F1">
      <w:pPr>
        <w:pStyle w:val="a3"/>
        <w:rPr>
          <w:rFonts w:cs="David" w:hint="cs"/>
        </w:rPr>
      </w:pPr>
      <w:r w:rsidRPr="0039689C">
        <w:rPr>
          <w:rStyle w:val="a5"/>
          <w:rFonts w:cs="David"/>
        </w:rPr>
        <w:footnoteRef/>
      </w:r>
      <w:r w:rsidRPr="0039689C">
        <w:rPr>
          <w:rFonts w:cs="David"/>
          <w:rtl/>
        </w:rPr>
        <w:t xml:space="preserve"> </w:t>
      </w:r>
      <w:r w:rsidRPr="0039689C">
        <w:rPr>
          <w:rFonts w:cs="David" w:hint="cs"/>
          <w:rtl/>
        </w:rPr>
        <w:t xml:space="preserve">בג"ץ 7712/05 </w:t>
      </w:r>
      <w:r w:rsidRPr="0039689C">
        <w:rPr>
          <w:rFonts w:cs="David" w:hint="cs"/>
          <w:b/>
          <w:bCs/>
          <w:rtl/>
        </w:rPr>
        <w:t>פולארד נ' ממשלת ישראל</w:t>
      </w:r>
      <w:r w:rsidRPr="0039689C">
        <w:rPr>
          <w:rFonts w:cs="David" w:hint="cs"/>
          <w:rtl/>
        </w:rPr>
        <w:t xml:space="preserve">, (טרם פורסם, ניתן בתאריך 6.6.06) </w:t>
      </w:r>
      <w:r w:rsidR="003C38BC" w:rsidRPr="0039689C">
        <w:rPr>
          <w:rFonts w:cs="David" w:hint="cs"/>
          <w:rtl/>
        </w:rPr>
        <w:t>פסקות 9-10 השופטת פרוקצ'יה</w:t>
      </w:r>
      <w:r w:rsidRPr="0039689C">
        <w:rPr>
          <w:rFonts w:cs="David" w:hint="cs"/>
          <w:rtl/>
        </w:rPr>
        <w:t>.</w:t>
      </w:r>
    </w:p>
  </w:footnote>
  <w:footnote w:id="5">
    <w:p w:rsidR="0039689C" w:rsidRPr="0039689C" w:rsidRDefault="00B11B4D" w:rsidP="0039689C">
      <w:pPr>
        <w:spacing w:line="360" w:lineRule="auto"/>
        <w:jc w:val="both"/>
        <w:rPr>
          <w:rFonts w:cs="David" w:hint="cs"/>
          <w:sz w:val="20"/>
          <w:szCs w:val="20"/>
          <w:rtl/>
        </w:rPr>
      </w:pPr>
      <w:r w:rsidRPr="0039689C">
        <w:rPr>
          <w:rStyle w:val="a5"/>
          <w:rFonts w:cs="David"/>
          <w:sz w:val="20"/>
          <w:szCs w:val="20"/>
        </w:rPr>
        <w:footnoteRef/>
      </w:r>
      <w:r w:rsidRPr="0039689C">
        <w:rPr>
          <w:rFonts w:cs="David"/>
          <w:sz w:val="20"/>
          <w:szCs w:val="20"/>
          <w:rtl/>
        </w:rPr>
        <w:t xml:space="preserve"> </w:t>
      </w:r>
      <w:r w:rsidR="0039689C" w:rsidRPr="0039689C">
        <w:rPr>
          <w:rFonts w:cs="David" w:hint="cs"/>
          <w:sz w:val="20"/>
          <w:szCs w:val="20"/>
          <w:rtl/>
        </w:rPr>
        <w:t>אריאל בנדור</w:t>
      </w:r>
      <w:hyperlink r:id="rId1" w:history="1">
        <w:r w:rsidR="0039689C" w:rsidRPr="0039689C">
          <w:rPr>
            <w:rStyle w:val="Hyperlink"/>
            <w:rFonts w:cs="David" w:hint="cs"/>
            <w:color w:val="auto"/>
            <w:sz w:val="20"/>
            <w:szCs w:val="20"/>
            <w:u w:val="none"/>
            <w:rtl/>
          </w:rPr>
          <w:t>,"חיי המשפט הם היגיון, ולכן הכול שפיט – על פורמליזם משפטי ראוי",</w:t>
        </w:r>
      </w:hyperlink>
      <w:r w:rsidR="0039689C" w:rsidRPr="0039689C">
        <w:rPr>
          <w:rFonts w:cs="David" w:hint="cs"/>
          <w:sz w:val="20"/>
          <w:szCs w:val="20"/>
          <w:rtl/>
        </w:rPr>
        <w:t xml:space="preserve"> </w:t>
      </w:r>
      <w:r w:rsidR="0039689C">
        <w:rPr>
          <w:rFonts w:cs="David" w:hint="cs"/>
          <w:sz w:val="20"/>
          <w:szCs w:val="20"/>
          <w:rtl/>
        </w:rPr>
        <w:t>משפט וממשל ו (תשס"ג) 591.</w:t>
      </w:r>
    </w:p>
    <w:p w:rsidR="00B11B4D" w:rsidRDefault="00B11B4D">
      <w:pPr>
        <w:pStyle w:val="a3"/>
        <w:rPr>
          <w:rFonts w:hint="cs"/>
          <w:rtl/>
        </w:rPr>
      </w:pPr>
    </w:p>
  </w:footnote>
  <w:footnote w:id="6">
    <w:p w:rsidR="007A7393" w:rsidRPr="00B84004" w:rsidRDefault="007A7393" w:rsidP="00B84004">
      <w:pPr>
        <w:pStyle w:val="a3"/>
        <w:rPr>
          <w:rFonts w:cs="David" w:hint="cs"/>
        </w:rPr>
      </w:pPr>
      <w:r>
        <w:rPr>
          <w:rStyle w:val="a5"/>
        </w:rPr>
        <w:footnoteRef/>
      </w:r>
      <w:r w:rsidR="00B84004" w:rsidRPr="00E06F40">
        <w:rPr>
          <w:rFonts w:cs="David"/>
          <w:rtl/>
        </w:rPr>
        <w:t xml:space="preserve"> </w:t>
      </w:r>
      <w:r w:rsidR="00B84004" w:rsidRPr="00E06F40">
        <w:rPr>
          <w:rFonts w:cs="David" w:hint="cs"/>
          <w:rtl/>
        </w:rPr>
        <w:t xml:space="preserve">בג"ץ 4247/97 </w:t>
      </w:r>
      <w:r w:rsidR="00B84004" w:rsidRPr="00E06F40">
        <w:rPr>
          <w:rFonts w:cs="David" w:hint="cs"/>
          <w:b/>
          <w:bCs/>
          <w:rtl/>
        </w:rPr>
        <w:t>סיעת מרצ במועצת עיריית ירושלים נ' השר לענייני דתות</w:t>
      </w:r>
      <w:r w:rsidR="00B84004" w:rsidRPr="00E06F40">
        <w:rPr>
          <w:rFonts w:cs="David" w:hint="cs"/>
          <w:rtl/>
        </w:rPr>
        <w:t>, פ"ד נב(5) 241</w:t>
      </w:r>
      <w:r w:rsidR="00B84004">
        <w:rPr>
          <w:rFonts w:cs="David" w:hint="cs"/>
          <w:rtl/>
        </w:rPr>
        <w:t>, 277 (1998).</w:t>
      </w:r>
    </w:p>
  </w:footnote>
  <w:footnote w:id="7">
    <w:p w:rsidR="00B84004" w:rsidRDefault="00B84004">
      <w:pPr>
        <w:pStyle w:val="a3"/>
        <w:rPr>
          <w:rFonts w:hint="cs"/>
        </w:rPr>
      </w:pPr>
      <w:r>
        <w:rPr>
          <w:rStyle w:val="a5"/>
        </w:rPr>
        <w:footnoteRef/>
      </w:r>
      <w:r>
        <w:rPr>
          <w:rtl/>
        </w:rPr>
        <w:t xml:space="preserve"> </w:t>
      </w:r>
      <w:r w:rsidRPr="00E06F40">
        <w:rPr>
          <w:rFonts w:cs="David" w:hint="cs"/>
          <w:rtl/>
        </w:rPr>
        <w:t xml:space="preserve">בג"ץ 4646/08 </w:t>
      </w:r>
      <w:r w:rsidRPr="00E06F40">
        <w:rPr>
          <w:rFonts w:cs="David" w:hint="cs"/>
          <w:b/>
          <w:bCs/>
          <w:rtl/>
        </w:rPr>
        <w:t>לביא נ' ראש הממשלה</w:t>
      </w:r>
      <w:r w:rsidRPr="00E06F40">
        <w:rPr>
          <w:rFonts w:cs="David" w:hint="cs"/>
          <w:rtl/>
        </w:rPr>
        <w:t>, (טרם פורסם, ניתן בתאריך 12.10.2008)</w:t>
      </w:r>
    </w:p>
  </w:footnote>
  <w:footnote w:id="8">
    <w:p w:rsidR="0045196D" w:rsidRPr="002F05F9" w:rsidRDefault="0045196D" w:rsidP="002F05F9">
      <w:pPr>
        <w:pStyle w:val="a3"/>
        <w:rPr>
          <w:rFonts w:cs="David" w:hint="cs"/>
        </w:rPr>
      </w:pPr>
      <w:r>
        <w:rPr>
          <w:rStyle w:val="a5"/>
        </w:rPr>
        <w:footnoteRef/>
      </w:r>
      <w:r>
        <w:rPr>
          <w:rtl/>
        </w:rPr>
        <w:t xml:space="preserve"> </w:t>
      </w:r>
      <w:r w:rsidRPr="00D214F0">
        <w:rPr>
          <w:rFonts w:cs="David" w:hint="cs"/>
          <w:rtl/>
        </w:rPr>
        <w:t xml:space="preserve">בג"ץ </w:t>
      </w:r>
      <w:r w:rsidR="0041267A">
        <w:rPr>
          <w:rFonts w:cs="David" w:hint="cs"/>
          <w:rtl/>
        </w:rPr>
        <w:t>5675/04</w:t>
      </w:r>
      <w:r w:rsidRPr="00D214F0">
        <w:rPr>
          <w:rFonts w:cs="David" w:hint="cs"/>
          <w:rtl/>
        </w:rPr>
        <w:t xml:space="preserve"> </w:t>
      </w:r>
      <w:r w:rsidRPr="00D214F0">
        <w:rPr>
          <w:rFonts w:cs="David" w:hint="cs"/>
          <w:b/>
          <w:bCs/>
          <w:rtl/>
        </w:rPr>
        <w:t xml:space="preserve">התנועה למען איכות השלטון בישראל נ' </w:t>
      </w:r>
      <w:r w:rsidR="008F7BAD">
        <w:rPr>
          <w:rFonts w:cs="David" w:hint="cs"/>
          <w:b/>
          <w:bCs/>
          <w:rtl/>
        </w:rPr>
        <w:t>היועץ המשפטי לממשלה</w:t>
      </w:r>
      <w:r w:rsidRPr="00D214F0">
        <w:rPr>
          <w:rFonts w:cs="David" w:hint="cs"/>
          <w:rtl/>
        </w:rPr>
        <w:t xml:space="preserve">, </w:t>
      </w:r>
      <w:r w:rsidR="0041267A" w:rsidRPr="00AB7D8C">
        <w:rPr>
          <w:rFonts w:cs="David" w:hint="cs"/>
          <w:rtl/>
        </w:rPr>
        <w:t>פ"ד נט(1)</w:t>
      </w:r>
      <w:r w:rsidR="0041267A">
        <w:rPr>
          <w:rFonts w:cs="David" w:hint="cs"/>
          <w:rtl/>
        </w:rPr>
        <w:t xml:space="preserve"> 199, 227 (2004)</w:t>
      </w:r>
      <w:r w:rsidR="002F05F9">
        <w:rPr>
          <w:rFonts w:cs="David" w:hint="cs"/>
          <w:rtl/>
        </w:rPr>
        <w:t>.</w:t>
      </w:r>
    </w:p>
  </w:footnote>
  <w:footnote w:id="9">
    <w:p w:rsidR="002F05F9" w:rsidRPr="002F05F9" w:rsidRDefault="002F05F9">
      <w:pPr>
        <w:pStyle w:val="a3"/>
        <w:rPr>
          <w:rFonts w:cs="David" w:hint="cs"/>
          <w:rtl/>
        </w:rPr>
      </w:pPr>
      <w:r>
        <w:rPr>
          <w:rStyle w:val="a5"/>
        </w:rPr>
        <w:footnoteRef/>
      </w:r>
      <w:r>
        <w:rPr>
          <w:rtl/>
        </w:rPr>
        <w:t xml:space="preserve"> </w:t>
      </w:r>
      <w:r>
        <w:rPr>
          <w:rFonts w:hint="cs"/>
          <w:rtl/>
        </w:rPr>
        <w:t xml:space="preserve"> </w:t>
      </w:r>
      <w:r>
        <w:rPr>
          <w:rFonts w:cs="David" w:hint="cs"/>
          <w:rtl/>
        </w:rPr>
        <w:t>שם, עמ' 236.</w:t>
      </w:r>
    </w:p>
  </w:footnote>
  <w:footnote w:id="10">
    <w:p w:rsidR="004E7991" w:rsidRDefault="004E7991">
      <w:pPr>
        <w:pStyle w:val="a3"/>
        <w:rPr>
          <w:rFonts w:hint="cs"/>
          <w:rtl/>
        </w:rPr>
      </w:pPr>
      <w:r>
        <w:rPr>
          <w:rStyle w:val="a5"/>
        </w:rPr>
        <w:footnoteRef/>
      </w:r>
      <w:r>
        <w:rPr>
          <w:rtl/>
        </w:rPr>
        <w:t xml:space="preserve"> </w:t>
      </w:r>
      <w:r w:rsidRPr="00FD3073">
        <w:rPr>
          <w:rFonts w:cs="David" w:hint="cs"/>
          <w:rtl/>
        </w:rPr>
        <w:t>חוק-יסוד: הממשלה</w:t>
      </w:r>
      <w:r>
        <w:rPr>
          <w:rFonts w:hint="cs"/>
          <w:rtl/>
        </w:rPr>
        <w:t>.</w:t>
      </w:r>
    </w:p>
  </w:footnote>
  <w:footnote w:id="11">
    <w:p w:rsidR="001308AF" w:rsidRPr="001308AF" w:rsidRDefault="001308AF" w:rsidP="001308AF">
      <w:pPr>
        <w:pStyle w:val="a3"/>
        <w:rPr>
          <w:rFonts w:hint="cs"/>
        </w:rPr>
      </w:pPr>
      <w:r w:rsidRPr="001308AF">
        <w:rPr>
          <w:rStyle w:val="a5"/>
        </w:rPr>
        <w:footnoteRef/>
      </w:r>
      <w:r w:rsidRPr="001308AF">
        <w:rPr>
          <w:rtl/>
        </w:rPr>
        <w:t xml:space="preserve"> </w:t>
      </w:r>
      <w:hyperlink r:id="rId2" w:history="1">
        <w:r w:rsidRPr="001308AF">
          <w:rPr>
            <w:rStyle w:val="Hyperlink"/>
            <w:rFonts w:cs="David" w:hint="cs"/>
            <w:color w:val="auto"/>
            <w:u w:val="none"/>
            <w:rtl/>
          </w:rPr>
          <w:t xml:space="preserve">בג"צ 11163/03 </w:t>
        </w:r>
        <w:r w:rsidRPr="001308AF">
          <w:rPr>
            <w:rStyle w:val="Hyperlink"/>
            <w:rFonts w:cs="David" w:hint="cs"/>
            <w:b/>
            <w:bCs/>
            <w:color w:val="auto"/>
            <w:u w:val="none"/>
            <w:rtl/>
          </w:rPr>
          <w:t>ועדת המעקב העליונה לענייני הערבים בישראל נ' ראש ממשלת ישראל</w:t>
        </w:r>
      </w:hyperlink>
      <w:r>
        <w:rPr>
          <w:rFonts w:cs="David" w:hint="cs"/>
          <w:rtl/>
        </w:rPr>
        <w:t xml:space="preserve"> (טרם פורסם, ניתן בתאריך 27/02/06</w:t>
      </w:r>
      <w:r w:rsidRPr="001308AF">
        <w:rPr>
          <w:rFonts w:cs="David" w:hint="cs"/>
          <w:rtl/>
        </w:rPr>
        <w:t>)</w:t>
      </w:r>
      <w:r w:rsidR="00903B76">
        <w:rPr>
          <w:rFonts w:cs="David" w:hint="cs"/>
          <w:rtl/>
        </w:rPr>
        <w:t xml:space="preserve"> פסקות 11 ו-38 לשופט חשין.</w:t>
      </w:r>
    </w:p>
  </w:footnote>
  <w:footnote w:id="12">
    <w:p w:rsidR="00903B76" w:rsidRDefault="00903B76" w:rsidP="004E7991">
      <w:pPr>
        <w:pStyle w:val="a3"/>
        <w:rPr>
          <w:rFonts w:hint="cs"/>
        </w:rPr>
      </w:pPr>
      <w:r>
        <w:rPr>
          <w:rStyle w:val="a5"/>
        </w:rPr>
        <w:footnoteRef/>
      </w:r>
      <w:r>
        <w:rPr>
          <w:rtl/>
        </w:rPr>
        <w:t xml:space="preserve"> </w:t>
      </w:r>
      <w:r w:rsidRPr="00A4158A">
        <w:rPr>
          <w:rFonts w:cs="David" w:hint="cs"/>
          <w:rtl/>
        </w:rPr>
        <w:t xml:space="preserve">בג"ץ 5261/04 </w:t>
      </w:r>
      <w:r w:rsidRPr="00A4158A">
        <w:rPr>
          <w:rFonts w:cs="David" w:hint="cs"/>
          <w:b/>
          <w:bCs/>
          <w:rtl/>
        </w:rPr>
        <w:t>פוקס נ' ראש ממשלת ישראל</w:t>
      </w:r>
      <w:r w:rsidRPr="00A4158A">
        <w:rPr>
          <w:rFonts w:cs="David" w:hint="cs"/>
          <w:rtl/>
        </w:rPr>
        <w:t>, פ"ד נט(2) 446</w:t>
      </w:r>
      <w:r w:rsidR="00154601">
        <w:rPr>
          <w:rFonts w:cs="David" w:hint="cs"/>
          <w:rtl/>
        </w:rPr>
        <w:t>, 477</w:t>
      </w:r>
      <w:r>
        <w:rPr>
          <w:rFonts w:cs="David" w:hint="cs"/>
          <w:rtl/>
        </w:rPr>
        <w:t xml:space="preserve"> </w:t>
      </w:r>
      <w:r w:rsidR="00154601">
        <w:rPr>
          <w:rFonts w:cs="David" w:hint="cs"/>
          <w:rtl/>
        </w:rPr>
        <w:t>(2004)</w:t>
      </w:r>
      <w:r w:rsidRPr="00A4158A">
        <w:rPr>
          <w:rFonts w:cs="David" w:hint="cs"/>
          <w:rtl/>
        </w:rPr>
        <w:t>.</w:t>
      </w:r>
    </w:p>
    <w:p w:rsidR="00903B76" w:rsidRPr="00903B76" w:rsidRDefault="00903B76">
      <w:pPr>
        <w:pStyle w:val="a3"/>
        <w:rPr>
          <w:rFonts w:hint="cs"/>
        </w:rPr>
      </w:pP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33CD3"/>
    <w:rsid w:val="00043D01"/>
    <w:rsid w:val="0006151F"/>
    <w:rsid w:val="00091433"/>
    <w:rsid w:val="001308AF"/>
    <w:rsid w:val="001348EC"/>
    <w:rsid w:val="00154601"/>
    <w:rsid w:val="001C6266"/>
    <w:rsid w:val="002F05F9"/>
    <w:rsid w:val="00392A1B"/>
    <w:rsid w:val="0039689C"/>
    <w:rsid w:val="003C38BC"/>
    <w:rsid w:val="004070E6"/>
    <w:rsid w:val="0041267A"/>
    <w:rsid w:val="00433CD3"/>
    <w:rsid w:val="0045196D"/>
    <w:rsid w:val="004E7991"/>
    <w:rsid w:val="00572BA3"/>
    <w:rsid w:val="00574F23"/>
    <w:rsid w:val="005E7C3F"/>
    <w:rsid w:val="00647534"/>
    <w:rsid w:val="007A7393"/>
    <w:rsid w:val="00815240"/>
    <w:rsid w:val="008A439B"/>
    <w:rsid w:val="008F7BAD"/>
    <w:rsid w:val="00903B76"/>
    <w:rsid w:val="009B1A19"/>
    <w:rsid w:val="00A014BF"/>
    <w:rsid w:val="00A372E5"/>
    <w:rsid w:val="00B11B4D"/>
    <w:rsid w:val="00B812F1"/>
    <w:rsid w:val="00B84004"/>
    <w:rsid w:val="00CC295E"/>
    <w:rsid w:val="00EA356A"/>
    <w:rsid w:val="00EA5EB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3D01"/>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semiHidden/>
    <w:unhideWhenUsed/>
    <w:rsid w:val="00A372E5"/>
    <w:pPr>
      <w:spacing w:after="0" w:line="240" w:lineRule="auto"/>
    </w:pPr>
    <w:rPr>
      <w:sz w:val="20"/>
      <w:szCs w:val="20"/>
    </w:rPr>
  </w:style>
  <w:style w:type="character" w:customStyle="1" w:styleId="a4">
    <w:name w:val="טקסט הערת שוליים תו"/>
    <w:basedOn w:val="a0"/>
    <w:link w:val="a3"/>
    <w:uiPriority w:val="99"/>
    <w:semiHidden/>
    <w:rsid w:val="00A372E5"/>
    <w:rPr>
      <w:sz w:val="20"/>
      <w:szCs w:val="20"/>
    </w:rPr>
  </w:style>
  <w:style w:type="character" w:styleId="a5">
    <w:name w:val="footnote reference"/>
    <w:basedOn w:val="a0"/>
    <w:semiHidden/>
    <w:unhideWhenUsed/>
    <w:rsid w:val="00A372E5"/>
    <w:rPr>
      <w:vertAlign w:val="superscript"/>
    </w:rPr>
  </w:style>
  <w:style w:type="character" w:styleId="Hyperlink">
    <w:name w:val="Hyperlink"/>
    <w:basedOn w:val="a0"/>
    <w:uiPriority w:val="99"/>
    <w:semiHidden/>
    <w:unhideWhenUsed/>
    <w:rsid w:val="0039689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hl2.biu.ac.il/upload/121107/media/&#1508;&#1505;&#1497;&#1511;&#1492;/&#1493;&#1506;&#1491;&#1514;%20&#1492;&#1502;&#1506;&#1511;&#1489;%20&#1492;&#1506;&#1500;&#1497;&#1493;&#1504;&#1492;%20&#1500;&#1506;&#1504;&#1497;&#1497;&#1504;&#1497;%20&#1492;&#1506;&#1512;&#1489;&#1497;&#1501;%20&#1489;&#1497;&#1513;&#1512;&#1488;&#1500;%2003.doc" TargetMode="External"/><Relationship Id="rId1" Type="http://schemas.openxmlformats.org/officeDocument/2006/relationships/hyperlink" Target="http://hl2.biu.ac.il/upload/121107/media/&#1502;&#1488;&#1502;&#1512;&#1497;&#1501;/&#1488;&#1512;&#1497;&#1488;&#1500;%20&#1489;&#1504;&#1491;&#1493;&#1512;%20&#1495;&#1497;&#1497;%20&#1492;&#1502;&#1513;&#1508;&#1496;%20&#1492;&#1501;%20&#1492;&#1490;&#1497;&#1493;&#150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A019D-4064-4578-8491-4B2E17E78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3</Pages>
  <Words>877</Words>
  <Characters>4385</Characters>
  <Application>Microsoft Office Word</Application>
  <DocSecurity>0</DocSecurity>
  <Lines>36</Lines>
  <Paragraphs>10</Paragraphs>
  <ScaleCrop>false</ScaleCrop>
  <HeadingPairs>
    <vt:vector size="2" baseType="variant">
      <vt:variant>
        <vt:lpstr>שם</vt:lpstr>
      </vt:variant>
      <vt:variant>
        <vt:i4>1</vt:i4>
      </vt:variant>
    </vt:vector>
  </HeadingPairs>
  <TitlesOfParts>
    <vt:vector size="1" baseType="lpstr">
      <vt:lpstr/>
    </vt:vector>
  </TitlesOfParts>
  <Company>@</Company>
  <LinksUpToDate>false</LinksUpToDate>
  <CharactersWithSpaces>5252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dc:creator>
  <cp:keywords/>
  <dc:description/>
  <cp:lastModifiedBy>Edit</cp:lastModifiedBy>
  <cp:revision>7</cp:revision>
  <dcterms:created xsi:type="dcterms:W3CDTF">2011-02-17T17:05:00Z</dcterms:created>
  <dcterms:modified xsi:type="dcterms:W3CDTF">2011-02-17T22:57:00Z</dcterms:modified>
</cp:coreProperties>
</file>