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04F" w:rsidRPr="0004072C" w:rsidRDefault="003D504F" w:rsidP="0004072C">
      <w:pPr>
        <w:jc w:val="center"/>
        <w:rPr>
          <w:rFonts w:cs="Times New Roman"/>
          <w:b/>
          <w:bCs/>
          <w:sz w:val="28"/>
          <w:szCs w:val="28"/>
          <w:rtl/>
        </w:rPr>
      </w:pPr>
      <w:r w:rsidRPr="0004072C">
        <w:rPr>
          <w:rFonts w:cs="Times New Roman"/>
          <w:b/>
          <w:bCs/>
          <w:sz w:val="28"/>
          <w:szCs w:val="28"/>
          <w:rtl/>
        </w:rPr>
        <w:t xml:space="preserve">אוניברסיטת בר-אילן </w:t>
      </w:r>
      <w:r w:rsidRPr="0004072C">
        <w:rPr>
          <w:rFonts w:cs="Times New Roman"/>
          <w:b/>
          <w:bCs/>
          <w:sz w:val="28"/>
          <w:szCs w:val="28"/>
        </w:rPr>
        <w:t>–</w:t>
      </w:r>
      <w:r w:rsidRPr="0004072C">
        <w:rPr>
          <w:rFonts w:cs="Times New Roman"/>
          <w:b/>
          <w:bCs/>
          <w:sz w:val="28"/>
          <w:szCs w:val="28"/>
          <w:rtl/>
        </w:rPr>
        <w:t xml:space="preserve"> הפקולטה למשפטים</w:t>
      </w:r>
    </w:p>
    <w:p w:rsidR="003D504F" w:rsidRPr="0004072C" w:rsidRDefault="003D504F" w:rsidP="0004072C">
      <w:pPr>
        <w:jc w:val="center"/>
        <w:rPr>
          <w:rFonts w:cs="Times New Roman"/>
          <w:rtl/>
        </w:rPr>
      </w:pPr>
      <w:r w:rsidRPr="0004072C">
        <w:rPr>
          <w:rFonts w:cs="Times New Roman"/>
          <w:rtl/>
        </w:rPr>
        <w:t>משפט ציבורי - ד"ר גדעון ספיר</w:t>
      </w:r>
    </w:p>
    <w:p w:rsidR="003D504F" w:rsidRPr="0004072C" w:rsidRDefault="003D504F" w:rsidP="00592F96">
      <w:pPr>
        <w:jc w:val="center"/>
        <w:rPr>
          <w:rFonts w:cs="Times New Roman" w:hint="cs"/>
          <w:rtl/>
        </w:rPr>
      </w:pPr>
      <w:r w:rsidRPr="0004072C">
        <w:rPr>
          <w:rFonts w:cs="Times New Roman"/>
          <w:rtl/>
        </w:rPr>
        <w:t xml:space="preserve">שנת הלימודים </w:t>
      </w:r>
      <w:r w:rsidR="00592F96">
        <w:rPr>
          <w:rFonts w:cs="Times New Roman"/>
          <w:rtl/>
        </w:rPr>
        <w:t>תש</w:t>
      </w:r>
      <w:r w:rsidR="002A5D6A" w:rsidRPr="0004072C">
        <w:rPr>
          <w:rFonts w:cs="Times New Roman"/>
          <w:rtl/>
        </w:rPr>
        <w:t>"</w:t>
      </w:r>
      <w:r w:rsidR="00592F96">
        <w:rPr>
          <w:rFonts w:cs="Times New Roman" w:hint="cs"/>
          <w:rtl/>
        </w:rPr>
        <w:t>ע</w:t>
      </w:r>
    </w:p>
    <w:p w:rsidR="00442B94" w:rsidRPr="0004072C" w:rsidRDefault="003D504F" w:rsidP="008D6F4D">
      <w:pPr>
        <w:jc w:val="center"/>
        <w:rPr>
          <w:rFonts w:cs="Times New Roman"/>
          <w:b/>
          <w:bCs/>
          <w:rtl/>
        </w:rPr>
      </w:pPr>
      <w:r w:rsidRPr="0004072C">
        <w:rPr>
          <w:rFonts w:cs="Times New Roman"/>
          <w:rtl/>
        </w:rPr>
        <w:t>99-2</w:t>
      </w:r>
      <w:r w:rsidR="003D11A4">
        <w:rPr>
          <w:rFonts w:cs="Times New Roman" w:hint="cs"/>
          <w:rtl/>
        </w:rPr>
        <w:t>04-0</w:t>
      </w:r>
      <w:r w:rsidR="008D6F4D">
        <w:rPr>
          <w:rFonts w:cs="Times New Roman" w:hint="cs"/>
          <w:rtl/>
        </w:rPr>
        <w:t>1</w:t>
      </w:r>
      <w:r w:rsidR="00442B94" w:rsidRPr="0004072C">
        <w:rPr>
          <w:rFonts w:cs="Times New Roman"/>
          <w:rtl/>
        </w:rPr>
        <w:t xml:space="preserve"> </w:t>
      </w:r>
    </w:p>
    <w:p w:rsidR="003D504F" w:rsidRPr="0004072C" w:rsidRDefault="003D504F" w:rsidP="0004072C">
      <w:pPr>
        <w:jc w:val="center"/>
        <w:rPr>
          <w:rFonts w:cs="Times New Roman"/>
          <w:b/>
          <w:bCs/>
          <w:rtl/>
        </w:rPr>
      </w:pPr>
      <w:r w:rsidRPr="0004072C">
        <w:rPr>
          <w:rFonts w:cs="Times New Roman"/>
          <w:b/>
          <w:bCs/>
          <w:rtl/>
        </w:rPr>
        <w:t xml:space="preserve">מבחן </w:t>
      </w:r>
      <w:r w:rsidRPr="0004072C">
        <w:rPr>
          <w:rFonts w:cs="Times New Roman"/>
          <w:b/>
          <w:bCs/>
        </w:rPr>
        <w:t>–</w:t>
      </w:r>
      <w:r w:rsidRPr="0004072C">
        <w:rPr>
          <w:rFonts w:cs="Times New Roman"/>
          <w:b/>
          <w:bCs/>
          <w:rtl/>
        </w:rPr>
        <w:t xml:space="preserve"> מועד א'</w:t>
      </w:r>
    </w:p>
    <w:p w:rsidR="00DC33F2" w:rsidRPr="0004072C" w:rsidRDefault="00DC33F2" w:rsidP="00A84A4C">
      <w:pPr>
        <w:jc w:val="center"/>
        <w:rPr>
          <w:rFonts w:cs="Times New Roman"/>
          <w:b/>
          <w:bCs/>
          <w:sz w:val="28"/>
          <w:szCs w:val="28"/>
          <w:rtl/>
        </w:rPr>
      </w:pPr>
      <w:r w:rsidRPr="0004072C">
        <w:rPr>
          <w:rFonts w:cs="Times New Roman"/>
          <w:b/>
          <w:bCs/>
          <w:sz w:val="28"/>
          <w:szCs w:val="28"/>
          <w:rtl/>
        </w:rPr>
        <w:t xml:space="preserve">חלק א – </w:t>
      </w:r>
      <w:r w:rsidR="00A84A4C">
        <w:rPr>
          <w:rFonts w:cs="Times New Roman" w:hint="cs"/>
          <w:b/>
          <w:bCs/>
          <w:sz w:val="28"/>
          <w:szCs w:val="28"/>
          <w:rtl/>
        </w:rPr>
        <w:t>60</w:t>
      </w:r>
      <w:r w:rsidRPr="0004072C">
        <w:rPr>
          <w:rFonts w:cs="Times New Roman"/>
          <w:b/>
          <w:bCs/>
          <w:sz w:val="28"/>
          <w:szCs w:val="28"/>
          <w:rtl/>
        </w:rPr>
        <w:t xml:space="preserve"> דקות</w:t>
      </w:r>
    </w:p>
    <w:p w:rsidR="00DC33F2" w:rsidRDefault="00DC33F2" w:rsidP="0004072C">
      <w:pPr>
        <w:rPr>
          <w:rFonts w:cs="Times New Roman" w:hint="cs"/>
          <w:rtl/>
        </w:rPr>
      </w:pPr>
    </w:p>
    <w:p w:rsidR="003D504F" w:rsidRPr="0004072C" w:rsidRDefault="003D504F" w:rsidP="0004072C">
      <w:pPr>
        <w:rPr>
          <w:rFonts w:cs="Times New Roman"/>
          <w:u w:val="single"/>
          <w:rtl/>
        </w:rPr>
      </w:pPr>
      <w:r w:rsidRPr="0004072C">
        <w:rPr>
          <w:rFonts w:cs="Times New Roman"/>
          <w:u w:val="single"/>
          <w:rtl/>
        </w:rPr>
        <w:t>הוראות</w:t>
      </w:r>
    </w:p>
    <w:p w:rsidR="003D504F" w:rsidRPr="0004072C" w:rsidRDefault="003D504F" w:rsidP="008C0374">
      <w:pPr>
        <w:numPr>
          <w:ilvl w:val="0"/>
          <w:numId w:val="1"/>
        </w:numPr>
        <w:rPr>
          <w:rFonts w:cs="Times New Roman"/>
          <w:rtl/>
        </w:rPr>
      </w:pPr>
      <w:r w:rsidRPr="0004072C">
        <w:rPr>
          <w:rFonts w:cs="Times New Roman"/>
          <w:rtl/>
        </w:rPr>
        <w:t xml:space="preserve">לבחינה שני חלקים, אורך החלק הראשון </w:t>
      </w:r>
      <w:r w:rsidR="008C0374">
        <w:rPr>
          <w:rFonts w:cs="Times New Roman" w:hint="cs"/>
          <w:rtl/>
        </w:rPr>
        <w:t>60</w:t>
      </w:r>
      <w:r w:rsidRPr="0004072C">
        <w:rPr>
          <w:rFonts w:cs="Times New Roman"/>
          <w:rtl/>
        </w:rPr>
        <w:t xml:space="preserve"> דקות ואורך החלק השני </w:t>
      </w:r>
      <w:r w:rsidR="00F42922">
        <w:rPr>
          <w:rFonts w:cs="Times New Roman" w:hint="cs"/>
          <w:rtl/>
        </w:rPr>
        <w:t>1</w:t>
      </w:r>
      <w:r w:rsidR="008C0374">
        <w:rPr>
          <w:rFonts w:cs="Times New Roman" w:hint="cs"/>
          <w:rtl/>
        </w:rPr>
        <w:t>20</w:t>
      </w:r>
      <w:r w:rsidRPr="0004072C">
        <w:rPr>
          <w:rFonts w:cs="Times New Roman"/>
          <w:rtl/>
        </w:rPr>
        <w:t xml:space="preserve"> דקות.  סך כל משך הבחינה שלוש שעות.  לא תינתן הארכה.</w:t>
      </w:r>
    </w:p>
    <w:p w:rsidR="003D504F" w:rsidRPr="0004072C" w:rsidRDefault="003D504F" w:rsidP="009817EE">
      <w:pPr>
        <w:numPr>
          <w:ilvl w:val="0"/>
          <w:numId w:val="1"/>
        </w:numPr>
        <w:rPr>
          <w:rFonts w:cs="Times New Roman"/>
          <w:rtl/>
        </w:rPr>
      </w:pPr>
      <w:r w:rsidRPr="0004072C">
        <w:rPr>
          <w:rFonts w:cs="Times New Roman"/>
          <w:rtl/>
        </w:rPr>
        <w:t>בחלק הראשון אין להשתמש כלל בחומרי עזר</w:t>
      </w:r>
      <w:r w:rsidR="009817EE">
        <w:rPr>
          <w:rFonts w:cs="Times New Roman" w:hint="cs"/>
          <w:rtl/>
        </w:rPr>
        <w:t>, למעט סילבוס הקורס (ללא הערות עליו).</w:t>
      </w:r>
      <w:r w:rsidRPr="0004072C">
        <w:rPr>
          <w:rFonts w:cs="Times New Roman"/>
          <w:rtl/>
        </w:rPr>
        <w:t xml:space="preserve"> בחלק השני ניתן להשתמש בכל חומר עזר.</w:t>
      </w:r>
    </w:p>
    <w:p w:rsidR="003D504F" w:rsidRPr="0004072C" w:rsidRDefault="003D504F" w:rsidP="0004072C">
      <w:pPr>
        <w:numPr>
          <w:ilvl w:val="0"/>
          <w:numId w:val="1"/>
        </w:numPr>
        <w:rPr>
          <w:rFonts w:cs="Times New Roman"/>
          <w:rtl/>
        </w:rPr>
      </w:pPr>
      <w:r w:rsidRPr="0004072C">
        <w:rPr>
          <w:rFonts w:cs="Times New Roman"/>
          <w:rtl/>
        </w:rPr>
        <w:t>יש להשיב על כל השאלות.</w:t>
      </w:r>
    </w:p>
    <w:p w:rsidR="003D504F" w:rsidRPr="0004072C" w:rsidRDefault="003D504F" w:rsidP="0004072C">
      <w:pPr>
        <w:numPr>
          <w:ilvl w:val="0"/>
          <w:numId w:val="1"/>
        </w:numPr>
        <w:rPr>
          <w:rFonts w:cs="Times New Roman"/>
          <w:rtl/>
        </w:rPr>
      </w:pPr>
      <w:r w:rsidRPr="0004072C">
        <w:rPr>
          <w:rFonts w:cs="Times New Roman"/>
          <w:rtl/>
        </w:rPr>
        <w:t>הקדישו מחשבה לתשובה לפני שתתחילו לכתוב אותה.</w:t>
      </w:r>
    </w:p>
    <w:p w:rsidR="003D504F" w:rsidRPr="0004072C" w:rsidRDefault="003D504F" w:rsidP="0004072C">
      <w:pPr>
        <w:numPr>
          <w:ilvl w:val="0"/>
          <w:numId w:val="1"/>
        </w:numPr>
        <w:rPr>
          <w:rFonts w:cs="Times New Roman"/>
          <w:rtl/>
        </w:rPr>
      </w:pPr>
      <w:r w:rsidRPr="0004072C">
        <w:rPr>
          <w:rFonts w:cs="Times New Roman"/>
          <w:rtl/>
        </w:rPr>
        <w:t>ענו בקצרה אך לא בסיסמאות, תוך שימוש באסמכתאות במידת הצורך.</w:t>
      </w:r>
    </w:p>
    <w:p w:rsidR="003D504F" w:rsidRPr="0004072C" w:rsidRDefault="003D504F" w:rsidP="0004072C">
      <w:pPr>
        <w:numPr>
          <w:ilvl w:val="0"/>
          <w:numId w:val="1"/>
        </w:numPr>
        <w:rPr>
          <w:rFonts w:cs="Times New Roman"/>
          <w:rtl/>
        </w:rPr>
      </w:pPr>
      <w:r w:rsidRPr="0004072C">
        <w:rPr>
          <w:rFonts w:cs="Times New Roman"/>
          <w:rtl/>
        </w:rPr>
        <w:t>אל תחרגו מן המקום המוקצה לתשובה.</w:t>
      </w:r>
    </w:p>
    <w:p w:rsidR="003D504F" w:rsidRPr="0004072C" w:rsidRDefault="003D504F" w:rsidP="0004072C">
      <w:pPr>
        <w:numPr>
          <w:ilvl w:val="0"/>
          <w:numId w:val="1"/>
        </w:numPr>
        <w:rPr>
          <w:rFonts w:cs="Times New Roman"/>
          <w:rtl/>
        </w:rPr>
      </w:pPr>
      <w:r w:rsidRPr="0004072C">
        <w:rPr>
          <w:rFonts w:cs="Times New Roman"/>
          <w:rtl/>
        </w:rPr>
        <w:t>בהצלחה!</w:t>
      </w:r>
    </w:p>
    <w:p w:rsidR="003D504F" w:rsidRDefault="003D504F" w:rsidP="0004072C">
      <w:pPr>
        <w:rPr>
          <w:rFonts w:cs="Times New Roman" w:hint="cs"/>
          <w:rtl/>
        </w:rPr>
      </w:pPr>
    </w:p>
    <w:p w:rsidR="009817EE" w:rsidRPr="0004072C" w:rsidRDefault="009817EE" w:rsidP="0004072C">
      <w:pPr>
        <w:rPr>
          <w:rFonts w:cs="Times New Roman" w:hint="cs"/>
          <w:rtl/>
        </w:rPr>
      </w:pPr>
    </w:p>
    <w:p w:rsidR="003D504F" w:rsidRPr="0004072C" w:rsidRDefault="003D504F" w:rsidP="00592F96">
      <w:pPr>
        <w:rPr>
          <w:rFonts w:cs="Times New Roman"/>
          <w:rtl/>
        </w:rPr>
      </w:pPr>
      <w:r w:rsidRPr="0004072C">
        <w:rPr>
          <w:rFonts w:cs="Times New Roman"/>
          <w:u w:val="single"/>
          <w:rtl/>
        </w:rPr>
        <w:t xml:space="preserve">שאלה </w:t>
      </w:r>
      <w:r w:rsidR="003109EC" w:rsidRPr="0004072C">
        <w:rPr>
          <w:rFonts w:cs="Times New Roman"/>
          <w:u w:val="single"/>
          <w:rtl/>
        </w:rPr>
        <w:t>ראשונה</w:t>
      </w:r>
      <w:r w:rsidR="003E2153" w:rsidRPr="0004072C">
        <w:rPr>
          <w:rFonts w:cs="Times New Roman"/>
          <w:rtl/>
        </w:rPr>
        <w:t xml:space="preserve"> (</w:t>
      </w:r>
      <w:r w:rsidR="00592F96">
        <w:rPr>
          <w:rFonts w:cs="Times New Roman" w:hint="cs"/>
          <w:rtl/>
        </w:rPr>
        <w:t>8</w:t>
      </w:r>
      <w:r w:rsidR="003E2153" w:rsidRPr="0004072C">
        <w:rPr>
          <w:rFonts w:cs="Times New Roman"/>
          <w:rtl/>
        </w:rPr>
        <w:t xml:space="preserve"> נקודות</w:t>
      </w:r>
      <w:r w:rsidR="002D5923" w:rsidRPr="0004072C">
        <w:rPr>
          <w:rFonts w:cs="Times New Roman"/>
          <w:rtl/>
        </w:rPr>
        <w:t xml:space="preserve"> – מקסימום </w:t>
      </w:r>
      <w:r w:rsidR="00693C19">
        <w:rPr>
          <w:rFonts w:cs="Times New Roman" w:hint="cs"/>
          <w:rtl/>
        </w:rPr>
        <w:t>1/2</w:t>
      </w:r>
      <w:r w:rsidR="0027539B">
        <w:rPr>
          <w:rFonts w:cs="Times New Roman" w:hint="cs"/>
          <w:rtl/>
        </w:rPr>
        <w:t xml:space="preserve"> עמוד</w:t>
      </w:r>
      <w:r w:rsidR="003E2153" w:rsidRPr="0004072C">
        <w:rPr>
          <w:rFonts w:cs="Times New Roman"/>
          <w:rtl/>
        </w:rPr>
        <w:t>)</w:t>
      </w:r>
    </w:p>
    <w:p w:rsidR="0027539B" w:rsidRDefault="002F5859" w:rsidP="002F5859">
      <w:pPr>
        <w:rPr>
          <w:rFonts w:cs="Times New Roman" w:hint="cs"/>
          <w:rtl/>
        </w:rPr>
      </w:pPr>
      <w:r>
        <w:rPr>
          <w:rFonts w:cs="Times New Roman" w:hint="cs"/>
          <w:rtl/>
        </w:rPr>
        <w:t xml:space="preserve">מהו הדמיון הכפול בין דברי השופט ברק </w:t>
      </w:r>
      <w:proofErr w:type="spellStart"/>
      <w:r>
        <w:rPr>
          <w:rFonts w:cs="Times New Roman" w:hint="cs"/>
          <w:rtl/>
        </w:rPr>
        <w:t>ב</w:t>
      </w:r>
      <w:r w:rsidRPr="00402762">
        <w:rPr>
          <w:rFonts w:cs="Times New Roman"/>
          <w:rtl/>
        </w:rPr>
        <w:t>בג”צ</w:t>
      </w:r>
      <w:proofErr w:type="spellEnd"/>
      <w:r w:rsidRPr="00402762">
        <w:rPr>
          <w:rFonts w:cs="Times New Roman"/>
          <w:rtl/>
        </w:rPr>
        <w:t xml:space="preserve"> 142/89 תנועת </w:t>
      </w:r>
      <w:proofErr w:type="spellStart"/>
      <w:r w:rsidRPr="00402762">
        <w:rPr>
          <w:rFonts w:cs="Times New Roman"/>
          <w:rtl/>
        </w:rPr>
        <w:t>לאו"ר</w:t>
      </w:r>
      <w:proofErr w:type="spellEnd"/>
      <w:r w:rsidRPr="00402762">
        <w:rPr>
          <w:rFonts w:cs="Times New Roman"/>
          <w:rtl/>
        </w:rPr>
        <w:t xml:space="preserve"> נ' יו"ר הכנסת</w:t>
      </w:r>
      <w:r w:rsidR="00016345">
        <w:rPr>
          <w:rFonts w:cs="Times New Roman" w:hint="cs"/>
          <w:rtl/>
        </w:rPr>
        <w:t>,</w:t>
      </w:r>
      <w:r>
        <w:rPr>
          <w:rFonts w:cs="Times New Roman" w:hint="cs"/>
          <w:rtl/>
        </w:rPr>
        <w:t xml:space="preserve"> לבין דבריו </w:t>
      </w:r>
      <w:proofErr w:type="spellStart"/>
      <w:r>
        <w:rPr>
          <w:rFonts w:cs="Times New Roman" w:hint="cs"/>
          <w:rtl/>
        </w:rPr>
        <w:t>ב</w:t>
      </w:r>
      <w:r w:rsidRPr="00402762">
        <w:rPr>
          <w:rFonts w:cs="Times New Roman"/>
          <w:rtl/>
        </w:rPr>
        <w:t>בג”צ</w:t>
      </w:r>
      <w:proofErr w:type="spellEnd"/>
      <w:r w:rsidRPr="00402762">
        <w:rPr>
          <w:rFonts w:cs="Times New Roman"/>
          <w:rtl/>
        </w:rPr>
        <w:t xml:space="preserve"> 4676/94 </w:t>
      </w:r>
      <w:proofErr w:type="spellStart"/>
      <w:r w:rsidRPr="00402762">
        <w:rPr>
          <w:rFonts w:cs="Times New Roman"/>
          <w:rtl/>
        </w:rPr>
        <w:t>מיטראל</w:t>
      </w:r>
      <w:proofErr w:type="spellEnd"/>
      <w:r w:rsidRPr="00402762">
        <w:rPr>
          <w:rFonts w:cs="Times New Roman"/>
          <w:rtl/>
        </w:rPr>
        <w:t xml:space="preserve"> נ' כנסת ישראל</w:t>
      </w:r>
      <w:r>
        <w:rPr>
          <w:rFonts w:cs="Times New Roman" w:hint="cs"/>
          <w:rtl/>
        </w:rPr>
        <w:t>?</w:t>
      </w:r>
    </w:p>
    <w:p w:rsidR="00A305E6" w:rsidRDefault="00A305E6" w:rsidP="00A305E6">
      <w:pPr>
        <w:numPr>
          <w:ilvl w:val="0"/>
          <w:numId w:val="15"/>
        </w:numPr>
        <w:rPr>
          <w:rFonts w:cs="Guttman Yad" w:hint="cs"/>
          <w:sz w:val="20"/>
          <w:szCs w:val="20"/>
          <w:rtl/>
        </w:rPr>
      </w:pPr>
      <w:r w:rsidRPr="00A305E6">
        <w:rPr>
          <w:rFonts w:cs="Guttman Yad" w:hint="cs"/>
          <w:sz w:val="20"/>
          <w:szCs w:val="20"/>
          <w:rtl/>
        </w:rPr>
        <w:t xml:space="preserve">בשני המקרים בית המשפט קובע שניתן לפסול חוק גם אם עמד בדרישות ש מציבה החוקה. בעניין </w:t>
      </w:r>
      <w:proofErr w:type="spellStart"/>
      <w:r w:rsidRPr="00A305E6">
        <w:rPr>
          <w:rFonts w:cs="Guttman Yad" w:hint="cs"/>
          <w:b/>
          <w:bCs/>
          <w:sz w:val="20"/>
          <w:szCs w:val="20"/>
          <w:rtl/>
        </w:rPr>
        <w:t>לאו"ר</w:t>
      </w:r>
      <w:proofErr w:type="spellEnd"/>
      <w:r w:rsidRPr="00A305E6">
        <w:rPr>
          <w:rFonts w:cs="Guttman Yad" w:hint="cs"/>
          <w:sz w:val="20"/>
          <w:szCs w:val="20"/>
          <w:rtl/>
        </w:rPr>
        <w:t xml:space="preserve"> נדון חוק שפגע בזכות לשוויון, המשוריינת בסעיף 4 לחוק יסוד: הכנסת, אך התקבל ברוב שחוק היסוד דורש כתנאי לשינוי הסעיף. חרף זאת, ברק היה מוכן עקרונית לשקול את פסילתו של החוק המותקף לאחר שקבע שבית המשפט רשאי להציב רף גבוה מזה שקבעה החוקה. בעניין </w:t>
      </w:r>
      <w:proofErr w:type="spellStart"/>
      <w:r w:rsidRPr="00A305E6">
        <w:rPr>
          <w:rFonts w:cs="Guttman Yad" w:hint="cs"/>
          <w:b/>
          <w:bCs/>
          <w:sz w:val="20"/>
          <w:szCs w:val="20"/>
          <w:rtl/>
        </w:rPr>
        <w:t>מיטראל</w:t>
      </w:r>
      <w:proofErr w:type="spellEnd"/>
      <w:r w:rsidRPr="00A305E6">
        <w:rPr>
          <w:rFonts w:cs="Guttman Yad" w:hint="cs"/>
          <w:sz w:val="20"/>
          <w:szCs w:val="20"/>
          <w:rtl/>
        </w:rPr>
        <w:t xml:space="preserve"> חזר ברק על אותו רציונל, כשהפעם הרציונל משמש אותו כבסיס אפשרי ל"התגברות" על פסקת ההתגברות. ברק הסכים לעמדת העותרים ששימוש בפסקת ההתגברות אינו מהווה סוף פסוק, במובן זה שהוא אינו מעניק לחוק העומד בתנאיה חסינות מובטחת, אלא יש לבחון תחילה אם הפגיעה בזכות איננה חמורה מדי.</w:t>
      </w:r>
    </w:p>
    <w:p w:rsidR="00A305E6" w:rsidRPr="00A305E6" w:rsidRDefault="00A305E6" w:rsidP="00A305E6">
      <w:pPr>
        <w:numPr>
          <w:ilvl w:val="0"/>
          <w:numId w:val="15"/>
        </w:numPr>
        <w:rPr>
          <w:rFonts w:cs="Guttman Yad" w:hint="cs"/>
          <w:sz w:val="20"/>
          <w:szCs w:val="20"/>
        </w:rPr>
      </w:pPr>
      <w:r>
        <w:rPr>
          <w:rFonts w:cs="Guttman Yad" w:hint="cs"/>
          <w:sz w:val="20"/>
          <w:szCs w:val="20"/>
          <w:rtl/>
        </w:rPr>
        <w:t xml:space="preserve">בשני המקרים, הדברים נאמרים </w:t>
      </w:r>
      <w:proofErr w:type="spellStart"/>
      <w:r>
        <w:rPr>
          <w:rFonts w:cs="Guttman Yad" w:hint="cs"/>
          <w:sz w:val="20"/>
          <w:szCs w:val="20"/>
          <w:rtl/>
        </w:rPr>
        <w:t>באוביטר</w:t>
      </w:r>
      <w:proofErr w:type="spellEnd"/>
      <w:r>
        <w:rPr>
          <w:rFonts w:cs="Guttman Yad" w:hint="cs"/>
          <w:sz w:val="20"/>
          <w:szCs w:val="20"/>
          <w:rtl/>
        </w:rPr>
        <w:t xml:space="preserve"> ובפועל החוקים המותקפים אינם נפסלים.</w:t>
      </w:r>
    </w:p>
    <w:p w:rsidR="00A305E6" w:rsidRPr="00A305E6" w:rsidRDefault="00A305E6" w:rsidP="00A305E6">
      <w:pPr>
        <w:rPr>
          <w:rFonts w:cs="Times New Roman" w:hint="cs"/>
          <w:rtl/>
        </w:rPr>
      </w:pPr>
    </w:p>
    <w:p w:rsidR="003D504F" w:rsidRPr="0004072C" w:rsidRDefault="003109EC" w:rsidP="00072C11">
      <w:pPr>
        <w:rPr>
          <w:rFonts w:cs="Times New Roman" w:hint="cs"/>
          <w:rtl/>
        </w:rPr>
      </w:pPr>
      <w:r w:rsidRPr="0004072C">
        <w:rPr>
          <w:rFonts w:cs="Times New Roman"/>
          <w:u w:val="single"/>
          <w:rtl/>
        </w:rPr>
        <w:t xml:space="preserve">שאלה </w:t>
      </w:r>
      <w:proofErr w:type="spellStart"/>
      <w:r w:rsidRPr="0004072C">
        <w:rPr>
          <w:rFonts w:cs="Times New Roman"/>
          <w:u w:val="single"/>
          <w:rtl/>
        </w:rPr>
        <w:t>שניה</w:t>
      </w:r>
      <w:proofErr w:type="spellEnd"/>
      <w:r w:rsidR="003E2153" w:rsidRPr="0004072C">
        <w:rPr>
          <w:rFonts w:cs="Times New Roman"/>
          <w:rtl/>
        </w:rPr>
        <w:t xml:space="preserve"> (</w:t>
      </w:r>
      <w:r w:rsidR="00072C11">
        <w:rPr>
          <w:rFonts w:cs="Times New Roman" w:hint="cs"/>
          <w:rtl/>
        </w:rPr>
        <w:t>8</w:t>
      </w:r>
      <w:r w:rsidR="003E2153" w:rsidRPr="0004072C">
        <w:rPr>
          <w:rFonts w:cs="Times New Roman"/>
          <w:rtl/>
        </w:rPr>
        <w:t xml:space="preserve"> נקודות</w:t>
      </w:r>
      <w:r w:rsidR="002D5923" w:rsidRPr="0004072C">
        <w:rPr>
          <w:rFonts w:cs="Times New Roman"/>
          <w:rtl/>
        </w:rPr>
        <w:t xml:space="preserve"> – מקסימום </w:t>
      </w:r>
      <w:r w:rsidR="00693C19">
        <w:rPr>
          <w:rFonts w:cs="Times New Roman" w:hint="cs"/>
          <w:rtl/>
        </w:rPr>
        <w:t>1/2</w:t>
      </w:r>
      <w:r w:rsidR="0017492C">
        <w:rPr>
          <w:rFonts w:cs="Times New Roman" w:hint="cs"/>
          <w:rtl/>
        </w:rPr>
        <w:t xml:space="preserve"> </w:t>
      </w:r>
      <w:r w:rsidR="002D5923" w:rsidRPr="0004072C">
        <w:rPr>
          <w:rFonts w:cs="Times New Roman"/>
          <w:rtl/>
        </w:rPr>
        <w:t>עמוד</w:t>
      </w:r>
      <w:r w:rsidR="003E2153" w:rsidRPr="0004072C">
        <w:rPr>
          <w:rFonts w:cs="Times New Roman"/>
          <w:rtl/>
        </w:rPr>
        <w:t>)</w:t>
      </w:r>
      <w:r w:rsidR="00E53262">
        <w:rPr>
          <w:rFonts w:cs="Times New Roman" w:hint="cs"/>
          <w:rtl/>
        </w:rPr>
        <w:t xml:space="preserve"> (לימוד עצמי)</w:t>
      </w:r>
    </w:p>
    <w:p w:rsidR="00327039" w:rsidRPr="00EB16F8" w:rsidRDefault="001038D6" w:rsidP="00EB16F8">
      <w:pPr>
        <w:numPr>
          <w:ilvl w:val="0"/>
          <w:numId w:val="14"/>
        </w:numPr>
        <w:ind w:left="714" w:hanging="357"/>
        <w:jc w:val="both"/>
        <w:rPr>
          <w:rFonts w:cs="Guttman Yad" w:hint="cs"/>
          <w:sz w:val="20"/>
          <w:szCs w:val="20"/>
          <w:rtl/>
        </w:rPr>
      </w:pPr>
      <w:r w:rsidRPr="00EB16F8">
        <w:rPr>
          <w:rFonts w:cs="Times New Roman"/>
          <w:rtl/>
        </w:rPr>
        <w:t>מה</w:t>
      </w:r>
      <w:r w:rsidR="003E1855" w:rsidRPr="00EB16F8">
        <w:rPr>
          <w:rFonts w:cs="Times New Roman"/>
          <w:rtl/>
        </w:rPr>
        <w:t>י</w:t>
      </w:r>
      <w:r w:rsidRPr="00EB16F8">
        <w:rPr>
          <w:rFonts w:cs="Times New Roman"/>
          <w:rtl/>
        </w:rPr>
        <w:t xml:space="preserve"> ההלכה שנקבעה בשאלת מעמדה של חוות-דעת היועץ המשפטי לממשלה בסוגיות משפטיות?</w:t>
      </w:r>
      <w:r w:rsidRPr="00EB16F8">
        <w:rPr>
          <w:rFonts w:cs="Guttman Yad"/>
          <w:sz w:val="20"/>
          <w:szCs w:val="20"/>
          <w:rtl/>
        </w:rPr>
        <w:t xml:space="preserve"> כיצד על הממשלה להתייחס </w:t>
      </w:r>
      <w:r w:rsidR="004C1BEB" w:rsidRPr="00EB16F8">
        <w:rPr>
          <w:rFonts w:cs="Guttman Yad"/>
          <w:sz w:val="20"/>
          <w:szCs w:val="20"/>
          <w:rtl/>
        </w:rPr>
        <w:t>ל</w:t>
      </w:r>
      <w:r w:rsidRPr="00EB16F8">
        <w:rPr>
          <w:rFonts w:cs="Guttman Yad"/>
          <w:sz w:val="20"/>
          <w:szCs w:val="20"/>
          <w:rtl/>
        </w:rPr>
        <w:t>חוות-דעת כזו?</w:t>
      </w:r>
      <w:r w:rsidR="004C1BEB" w:rsidRPr="00EB16F8">
        <w:rPr>
          <w:rFonts w:cs="Guttman Yad" w:hint="cs"/>
          <w:sz w:val="20"/>
          <w:szCs w:val="20"/>
          <w:rtl/>
        </w:rPr>
        <w:t xml:space="preserve"> האם היא רשאית לפעול בניגוד לה?</w:t>
      </w:r>
      <w:r w:rsidR="00EB16F8" w:rsidRPr="00EB16F8">
        <w:rPr>
          <w:rFonts w:cs="Guttman Yad" w:hint="cs"/>
          <w:sz w:val="20"/>
          <w:szCs w:val="20"/>
          <w:rtl/>
        </w:rPr>
        <w:t xml:space="preserve"> בהתאם לוועדת המשפטנים בראשות השופט </w:t>
      </w:r>
      <w:proofErr w:type="spellStart"/>
      <w:r w:rsidR="00EB16F8" w:rsidRPr="00EB16F8">
        <w:rPr>
          <w:rFonts w:cs="Guttman Yad" w:hint="cs"/>
          <w:sz w:val="20"/>
          <w:szCs w:val="20"/>
          <w:rtl/>
        </w:rPr>
        <w:t>אגרנט</w:t>
      </w:r>
      <w:proofErr w:type="spellEnd"/>
      <w:r w:rsidR="00EB16F8" w:rsidRPr="00EB16F8">
        <w:rPr>
          <w:rFonts w:cs="Guttman Yad" w:hint="cs"/>
          <w:sz w:val="20"/>
          <w:szCs w:val="20"/>
          <w:rtl/>
        </w:rPr>
        <w:t xml:space="preserve"> חוות דעתו של היועץ המשפטי לממשלה משקפת את המצב המשפטי הקיים, ועל הממשלה לנהוג על פי הנחיותיו. אמנם, לממשלה האפשרות לדחות את חוות דעתו, אך במקרה כזה תהיה חשופה לביקורת בג"צ, שלא יהסס להתערב (פרשת </w:t>
      </w:r>
      <w:r w:rsidR="00EB16F8" w:rsidRPr="00EB16F8">
        <w:rPr>
          <w:rFonts w:cs="Guttman Yad" w:hint="cs"/>
          <w:b/>
          <w:bCs/>
          <w:sz w:val="20"/>
          <w:szCs w:val="20"/>
          <w:rtl/>
        </w:rPr>
        <w:t>אמיתי)</w:t>
      </w:r>
      <w:r w:rsidR="00EB16F8" w:rsidRPr="00EB16F8">
        <w:rPr>
          <w:rFonts w:cs="Guttman Yad" w:hint="cs"/>
          <w:sz w:val="20"/>
          <w:szCs w:val="20"/>
          <w:rtl/>
        </w:rPr>
        <w:t xml:space="preserve">. </w:t>
      </w:r>
    </w:p>
    <w:p w:rsidR="00072C11" w:rsidRPr="00EB16F8" w:rsidRDefault="00072C11" w:rsidP="00072C11">
      <w:pPr>
        <w:numPr>
          <w:ilvl w:val="0"/>
          <w:numId w:val="14"/>
        </w:numPr>
        <w:rPr>
          <w:rFonts w:cs="Guttman Yad" w:hint="cs"/>
          <w:sz w:val="20"/>
          <w:szCs w:val="20"/>
          <w:rtl/>
        </w:rPr>
      </w:pPr>
      <w:r>
        <w:rPr>
          <w:rFonts w:cs="Times New Roman" w:hint="cs"/>
          <w:rtl/>
        </w:rPr>
        <w:t>מה היקף ההתערבות של בית המשפט בהחלטת היועמ"ש שלא להעמיד לדין?</w:t>
      </w:r>
      <w:r w:rsidR="00EB16F8">
        <w:rPr>
          <w:rFonts w:cs="Times New Roman" w:hint="cs"/>
          <w:rtl/>
        </w:rPr>
        <w:t xml:space="preserve"> </w:t>
      </w:r>
      <w:r w:rsidR="00EB16F8" w:rsidRPr="00EB16F8">
        <w:rPr>
          <w:rFonts w:cs="Guttman Yad" w:hint="cs"/>
          <w:sz w:val="20"/>
          <w:szCs w:val="20"/>
          <w:rtl/>
        </w:rPr>
        <w:t xml:space="preserve">לאורך השנים הורחבה ההתערבות השיפוטית בהחלטת היועץ המשפטי לממשלה שלא להעמיד לדין. בפרשת </w:t>
      </w:r>
      <w:r w:rsidR="00EB16F8" w:rsidRPr="00EB16F8">
        <w:rPr>
          <w:rFonts w:cs="Guttman Yad" w:hint="cs"/>
          <w:b/>
          <w:bCs/>
          <w:sz w:val="20"/>
          <w:szCs w:val="20"/>
          <w:rtl/>
        </w:rPr>
        <w:t>שור</w:t>
      </w:r>
      <w:r w:rsidR="00EB16F8" w:rsidRPr="00EB16F8">
        <w:rPr>
          <w:rFonts w:cs="Guttman Yad" w:hint="cs"/>
          <w:sz w:val="20"/>
          <w:szCs w:val="20"/>
          <w:rtl/>
        </w:rPr>
        <w:t xml:space="preserve"> נקבע כי לבג"צ סמכות כללית לפקח על היועמ"ש, אך עילות ההתערבות יהיו קיצוניות ודווקניות: חוסר תו"ל או חוסר יושר, מניעים נפסדים, לא טהורים או ניגוד גמור בין ההחלטה לבין טובת הכלל. פרשת </w:t>
      </w:r>
      <w:r w:rsidR="00EB16F8" w:rsidRPr="00EB16F8">
        <w:rPr>
          <w:rFonts w:cs="Guttman Yad" w:hint="cs"/>
          <w:b/>
          <w:bCs/>
          <w:sz w:val="20"/>
          <w:szCs w:val="20"/>
          <w:rtl/>
        </w:rPr>
        <w:t>נוף</w:t>
      </w:r>
      <w:r w:rsidR="00EB16F8" w:rsidRPr="00EB16F8">
        <w:rPr>
          <w:rFonts w:cs="Guttman Yad" w:hint="cs"/>
          <w:sz w:val="20"/>
          <w:szCs w:val="20"/>
          <w:rtl/>
        </w:rPr>
        <w:t xml:space="preserve"> סימנה את ראשית הרחבת עילות ההתערבות בשיקול דעת היועמ"ש, שם אמנם נדחתה העתירה, אך נוספה עילת "חוסר סבירות קיצוני היורד לשורשו של עניין", אף ללא סימנים של העדר תו"ל. בהמשך, בפרשת </w:t>
      </w:r>
      <w:r w:rsidR="00EB16F8" w:rsidRPr="00EB16F8">
        <w:rPr>
          <w:rFonts w:cs="Guttman Yad" w:hint="cs"/>
          <w:b/>
          <w:bCs/>
          <w:sz w:val="20"/>
          <w:szCs w:val="20"/>
          <w:rtl/>
        </w:rPr>
        <w:t>שפטל,</w:t>
      </w:r>
      <w:r w:rsidR="00EB16F8" w:rsidRPr="00EB16F8">
        <w:rPr>
          <w:rFonts w:cs="Guttman Yad" w:hint="cs"/>
          <w:sz w:val="20"/>
          <w:szCs w:val="20"/>
          <w:rtl/>
        </w:rPr>
        <w:t xml:space="preserve"> נקבע כי התערבות </w:t>
      </w:r>
      <w:proofErr w:type="spellStart"/>
      <w:r w:rsidR="00EB16F8" w:rsidRPr="00EB16F8">
        <w:rPr>
          <w:rFonts w:cs="Guttman Yad" w:hint="cs"/>
          <w:sz w:val="20"/>
          <w:szCs w:val="20"/>
          <w:rtl/>
        </w:rPr>
        <w:t>בשק"ד</w:t>
      </w:r>
      <w:proofErr w:type="spellEnd"/>
      <w:r w:rsidR="00EB16F8" w:rsidRPr="00EB16F8">
        <w:rPr>
          <w:rFonts w:cs="Guttman Yad" w:hint="cs"/>
          <w:sz w:val="20"/>
          <w:szCs w:val="20"/>
          <w:rtl/>
        </w:rPr>
        <w:t xml:space="preserve"> היועמ"ש אפשרית אם השיקולים המובאים על ידו לביסוס מסקנתו הם בבירור מוטעים או זרים לעניין, ובפרשת </w:t>
      </w:r>
      <w:proofErr w:type="spellStart"/>
      <w:r w:rsidR="00EB16F8" w:rsidRPr="00EB16F8">
        <w:rPr>
          <w:rFonts w:cs="Guttman Yad" w:hint="cs"/>
          <w:b/>
          <w:bCs/>
          <w:sz w:val="20"/>
          <w:szCs w:val="20"/>
          <w:rtl/>
        </w:rPr>
        <w:t>גנור</w:t>
      </w:r>
      <w:proofErr w:type="spellEnd"/>
      <w:r w:rsidR="00EB16F8" w:rsidRPr="00EB16F8">
        <w:rPr>
          <w:rFonts w:cs="Guttman Yad" w:hint="cs"/>
          <w:sz w:val="20"/>
          <w:szCs w:val="20"/>
          <w:rtl/>
        </w:rPr>
        <w:t xml:space="preserve"> נקבע כי שק"ד היועמ"ש אינו חסין, ובג"צ יפסול את החלטתו באותן עילות פסילה המקובלות לגבי הרשויות האחרות, ויבחן האם החלטתו נמצאת במתחם הסבירות</w:t>
      </w:r>
    </w:p>
    <w:p w:rsidR="004C1BEB" w:rsidRPr="004C1BEB" w:rsidRDefault="004C1BEB" w:rsidP="004C1BEB">
      <w:pPr>
        <w:rPr>
          <w:rFonts w:cs="Times New Roman" w:hint="cs"/>
          <w:rtl/>
        </w:rPr>
      </w:pPr>
    </w:p>
    <w:p w:rsidR="00A10447" w:rsidRPr="0004072C" w:rsidRDefault="00593663" w:rsidP="00072C11">
      <w:pPr>
        <w:rPr>
          <w:rFonts w:cs="Times New Roman"/>
          <w:rtl/>
        </w:rPr>
      </w:pPr>
      <w:r w:rsidRPr="0004072C">
        <w:rPr>
          <w:rFonts w:cs="Times New Roman"/>
          <w:u w:val="single"/>
          <w:rtl/>
        </w:rPr>
        <w:t>שאלה שלישית</w:t>
      </w:r>
      <w:r w:rsidRPr="0004072C">
        <w:rPr>
          <w:rFonts w:cs="Times New Roman"/>
          <w:rtl/>
        </w:rPr>
        <w:t xml:space="preserve"> (</w:t>
      </w:r>
      <w:r w:rsidR="00072C11">
        <w:rPr>
          <w:rFonts w:cs="Times New Roman" w:hint="cs"/>
          <w:rtl/>
        </w:rPr>
        <w:t>8</w:t>
      </w:r>
      <w:r w:rsidRPr="0004072C">
        <w:rPr>
          <w:rFonts w:cs="Times New Roman"/>
          <w:rtl/>
        </w:rPr>
        <w:t xml:space="preserve"> נקודות – מקסימום </w:t>
      </w:r>
      <w:r w:rsidR="00693C19">
        <w:rPr>
          <w:rFonts w:cs="Times New Roman" w:hint="cs"/>
          <w:rtl/>
        </w:rPr>
        <w:t>1/2</w:t>
      </w:r>
      <w:r w:rsidRPr="0004072C">
        <w:rPr>
          <w:rFonts w:cs="Times New Roman"/>
          <w:rtl/>
        </w:rPr>
        <w:t>)</w:t>
      </w:r>
    </w:p>
    <w:p w:rsidR="00E53262" w:rsidRDefault="00E53262" w:rsidP="003E1855">
      <w:pPr>
        <w:pStyle w:val="ab"/>
        <w:spacing w:after="120" w:line="240" w:lineRule="auto"/>
        <w:ind w:firstLine="0"/>
        <w:rPr>
          <w:rFonts w:cs="Times New Roman" w:hint="cs"/>
          <w:rtl/>
        </w:rPr>
      </w:pPr>
      <w:r>
        <w:rPr>
          <w:rFonts w:cs="Times New Roman" w:hint="cs"/>
          <w:rtl/>
        </w:rPr>
        <w:lastRenderedPageBreak/>
        <w:t>ב</w:t>
      </w:r>
      <w:r w:rsidRPr="005D4989">
        <w:rPr>
          <w:rFonts w:cs="Times New Roman"/>
          <w:rtl/>
        </w:rPr>
        <w:t>בג"צ 6871/03 מדינת ישראל נ' בית הדין הארצי לעבודה</w:t>
      </w:r>
      <w:r>
        <w:rPr>
          <w:rFonts w:cs="Times New Roman" w:hint="cs"/>
          <w:rtl/>
        </w:rPr>
        <w:t>, אמר השופט לוי את הדברים הבאים:</w:t>
      </w:r>
    </w:p>
    <w:p w:rsidR="00E53262" w:rsidRPr="003917F5" w:rsidRDefault="00E53262" w:rsidP="00E53262">
      <w:pPr>
        <w:pStyle w:val="ab"/>
        <w:spacing w:after="120" w:line="240" w:lineRule="auto"/>
        <w:ind w:left="720" w:firstLine="0"/>
        <w:rPr>
          <w:rFonts w:cs="Times New Roman"/>
          <w:rtl/>
        </w:rPr>
      </w:pPr>
      <w:r w:rsidRPr="003917F5">
        <w:rPr>
          <w:rFonts w:cs="Times New Roman"/>
          <w:rtl/>
        </w:rPr>
        <w:t>כדי שבית</w:t>
      </w:r>
      <w:r w:rsidRPr="003917F5">
        <w:rPr>
          <w:rFonts w:cs="Times New Roman"/>
          <w:position w:val="4"/>
          <w:rtl/>
        </w:rPr>
        <w:t>-</w:t>
      </w:r>
      <w:r w:rsidRPr="003917F5">
        <w:rPr>
          <w:rFonts w:cs="Times New Roman"/>
          <w:rtl/>
        </w:rPr>
        <w:t>הדין הארצי לעבודה יקנה סמכות לדון בעתירתה, היה על המשיבה 2 להצביע על מחלוקת שנפלה בינה למשיבה 8, מחלוקת שלא נמצא לה פתרון, ומכאן הצורך ליישבה באמצעות פנייה לערכאה שיפוטית. אם הייתה המשיבה 2 מצליחה להצביע על מחלוקת מסוג זה, ולאור הדין הקיים, אפשר</w:t>
      </w:r>
      <w:r>
        <w:rPr>
          <w:rFonts w:cs="Times New Roman" w:hint="cs"/>
          <w:rtl/>
        </w:rPr>
        <w:t xml:space="preserve"> </w:t>
      </w:r>
      <w:r w:rsidRPr="003917F5">
        <w:rPr>
          <w:rFonts w:cs="Times New Roman"/>
          <w:rtl/>
        </w:rPr>
        <w:t>שהייתה נסללת בפניה הדרך לבקש את הכרעת בית</w:t>
      </w:r>
      <w:r w:rsidRPr="003917F5">
        <w:rPr>
          <w:rFonts w:cs="Times New Roman"/>
          <w:position w:val="4"/>
          <w:rtl/>
        </w:rPr>
        <w:t>-</w:t>
      </w:r>
      <w:r w:rsidRPr="003917F5">
        <w:rPr>
          <w:rFonts w:cs="Times New Roman"/>
          <w:rtl/>
        </w:rPr>
        <w:t>הדין הארצי גם בשאלת חוקיותו של החוק כשאלה שבגררה.</w:t>
      </w:r>
    </w:p>
    <w:p w:rsidR="00E53262" w:rsidRDefault="00E53262" w:rsidP="00E53262">
      <w:pPr>
        <w:spacing w:after="120"/>
        <w:ind w:left="720"/>
        <w:jc w:val="both"/>
        <w:rPr>
          <w:rFonts w:cs="Times New Roman" w:hint="cs"/>
          <w:rtl/>
        </w:rPr>
      </w:pPr>
      <w:r w:rsidRPr="003917F5">
        <w:rPr>
          <w:rFonts w:cs="Times New Roman"/>
          <w:rtl/>
        </w:rPr>
        <w:t>כדי להשיב על שאלה זו עיינתי ושבתי ועיינתי בעתירתה של המשיבה 2, ומסקנתי היא שלאחר שאתה פושט ממנה את אותן מחלצות מלאכותיות שהולבשה בהן, אינך יכול שלא להגיע למסקנה כי בינה למשיבה 8 אין קיימת מחלוקת אמיתית כלשהי וגם לא אבק של מחלוקת, המחייבים את הכרעתו של בית</w:t>
      </w:r>
      <w:r w:rsidRPr="003917F5">
        <w:rPr>
          <w:rFonts w:cs="Times New Roman"/>
          <w:position w:val="4"/>
          <w:rtl/>
        </w:rPr>
        <w:t>-</w:t>
      </w:r>
      <w:r w:rsidRPr="003917F5">
        <w:rPr>
          <w:rFonts w:cs="Times New Roman"/>
          <w:rtl/>
        </w:rPr>
        <w:t>הדין הארצי לעבודה. אדרבה, מתוך טיעוניהם של באי</w:t>
      </w:r>
      <w:r w:rsidRPr="003917F5">
        <w:rPr>
          <w:rFonts w:cs="Times New Roman"/>
          <w:position w:val="4"/>
          <w:rtl/>
        </w:rPr>
        <w:t>-</w:t>
      </w:r>
      <w:r w:rsidRPr="003917F5">
        <w:rPr>
          <w:rFonts w:cs="Times New Roman"/>
          <w:rtl/>
        </w:rPr>
        <w:t>כוחה של המשיבה 8 אתה למד כי הם, כמו המשיבה 2, רואים את עצמם מחויבים על</w:t>
      </w:r>
      <w:r w:rsidRPr="003917F5">
        <w:rPr>
          <w:rFonts w:cs="Times New Roman"/>
          <w:position w:val="4"/>
          <w:rtl/>
        </w:rPr>
        <w:t>-</w:t>
      </w:r>
      <w:r w:rsidRPr="003917F5">
        <w:rPr>
          <w:rFonts w:cs="Times New Roman"/>
          <w:rtl/>
        </w:rPr>
        <w:t>פי ההסכמים, ואין כל ספק שהיו מוסיפים למלא אחריהם, גם ללא צורך בהכרעה שיפוטית, לולא מצוותו של החוק. במצב זה כל אשר היה על המשיבה 2 לעשות הוא ללכת בדרך המלך ולנסות לסלק מעל דרכה של משיבה 8 את המכשלה שיצר החוק החדש. את זאת הייתה יכולה לעשות רק בדרך של תקיפה ישירה של החוק בפני בית</w:t>
      </w:r>
      <w:r w:rsidRPr="003917F5">
        <w:rPr>
          <w:rFonts w:cs="Times New Roman"/>
          <w:position w:val="4"/>
          <w:rtl/>
        </w:rPr>
        <w:t>-</w:t>
      </w:r>
      <w:r w:rsidRPr="003917F5">
        <w:rPr>
          <w:rFonts w:cs="Times New Roman"/>
          <w:rtl/>
        </w:rPr>
        <w:t>משפט זה, אך מטעמים השמורים עמה בחרה ללכת בדרך אחרת, שלהבנתי אינה פתוחה בפניה.</w:t>
      </w:r>
    </w:p>
    <w:p w:rsidR="00E53262" w:rsidRDefault="00E53262" w:rsidP="00495327">
      <w:pPr>
        <w:numPr>
          <w:ilvl w:val="0"/>
          <w:numId w:val="11"/>
        </w:numPr>
        <w:ind w:left="714" w:hanging="357"/>
        <w:jc w:val="both"/>
        <w:rPr>
          <w:rFonts w:cs="Times New Roman" w:hint="cs"/>
          <w:rtl/>
        </w:rPr>
      </w:pPr>
      <w:r>
        <w:rPr>
          <w:rFonts w:cs="Times New Roman" w:hint="cs"/>
          <w:rtl/>
        </w:rPr>
        <w:t>מה היה נושא העתירה?</w:t>
      </w:r>
      <w:r w:rsidR="00A305E6">
        <w:rPr>
          <w:rFonts w:cs="Times New Roman" w:hint="cs"/>
          <w:rtl/>
        </w:rPr>
        <w:t xml:space="preserve"> </w:t>
      </w:r>
      <w:r w:rsidR="00A305E6" w:rsidRPr="00A305E6">
        <w:rPr>
          <w:rFonts w:cs="Guttman Yad"/>
          <w:snapToGrid w:val="0"/>
          <w:sz w:val="20"/>
          <w:szCs w:val="20"/>
          <w:rtl/>
        </w:rPr>
        <w:t xml:space="preserve">בין ההסתדרות הכללית לבין התאחדות התעשיינים קיימים הסכמים קיבוציים. ההסתדרות הגישה </w:t>
      </w:r>
      <w:r w:rsidR="00495327">
        <w:rPr>
          <w:rFonts w:cs="Guttman Yad" w:hint="cs"/>
          <w:snapToGrid w:val="0"/>
          <w:sz w:val="20"/>
          <w:szCs w:val="20"/>
          <w:rtl/>
        </w:rPr>
        <w:t>בקשה</w:t>
      </w:r>
      <w:r w:rsidR="00A305E6" w:rsidRPr="00A305E6">
        <w:rPr>
          <w:rFonts w:cs="Guttman Yad"/>
          <w:snapToGrid w:val="0"/>
          <w:sz w:val="20"/>
          <w:szCs w:val="20"/>
          <w:rtl/>
        </w:rPr>
        <w:t xml:space="preserve"> למתן שורה של סעדים על רקע חקיקת חוק התכנית להבראת כלכלת ישראל אשר עקב הוראות הכלולות בו התאחדות התעשיינים נמנעת מלקיים הוראות בהסכמים הקיבוציים הנוגעות לזכויות הפנסיה של העובדים. ההסתדרות </w:t>
      </w:r>
      <w:r w:rsidR="00A305E6" w:rsidRPr="00A305E6">
        <w:rPr>
          <w:rFonts w:cs="Guttman Yad" w:hint="cs"/>
          <w:snapToGrid w:val="0"/>
          <w:sz w:val="20"/>
          <w:szCs w:val="20"/>
          <w:rtl/>
        </w:rPr>
        <w:t>ביקשה</w:t>
      </w:r>
      <w:r w:rsidR="00A305E6" w:rsidRPr="00A305E6">
        <w:rPr>
          <w:rFonts w:cs="Guttman Yad"/>
          <w:snapToGrid w:val="0"/>
          <w:sz w:val="20"/>
          <w:szCs w:val="20"/>
          <w:rtl/>
        </w:rPr>
        <w:t xml:space="preserve"> מבית-הדין שיכריז כי ההסכמים הקיבוציים תקפים וכן יכריז כי הוראות החוק אינן תקפות מכוח סמכותו הנגררת. ה</w:t>
      </w:r>
      <w:r w:rsidR="00A305E6" w:rsidRPr="00A305E6">
        <w:rPr>
          <w:rFonts w:cs="Guttman Yad" w:hint="cs"/>
          <w:snapToGrid w:val="0"/>
          <w:sz w:val="20"/>
          <w:szCs w:val="20"/>
          <w:rtl/>
        </w:rPr>
        <w:t>מדינה</w:t>
      </w:r>
      <w:r w:rsidR="00A305E6" w:rsidRPr="00A305E6">
        <w:rPr>
          <w:rFonts w:cs="Guttman Yad"/>
          <w:snapToGrid w:val="0"/>
          <w:sz w:val="20"/>
          <w:szCs w:val="20"/>
          <w:rtl/>
        </w:rPr>
        <w:t>, שצורפה כצד לדיון בבית-הדין לעבודה, טענ</w:t>
      </w:r>
      <w:r w:rsidR="00A305E6" w:rsidRPr="00A305E6">
        <w:rPr>
          <w:rFonts w:cs="Guttman Yad" w:hint="cs"/>
          <w:snapToGrid w:val="0"/>
          <w:sz w:val="20"/>
          <w:szCs w:val="20"/>
          <w:rtl/>
        </w:rPr>
        <w:t>ה,</w:t>
      </w:r>
      <w:r w:rsidR="00A305E6" w:rsidRPr="00A305E6">
        <w:rPr>
          <w:rFonts w:cs="Guttman Yad"/>
          <w:snapToGrid w:val="0"/>
          <w:sz w:val="20"/>
          <w:szCs w:val="20"/>
          <w:rtl/>
        </w:rPr>
        <w:t xml:space="preserve"> </w:t>
      </w:r>
      <w:r w:rsidR="00A305E6" w:rsidRPr="00A305E6">
        <w:rPr>
          <w:rFonts w:cs="Guttman Yad" w:hint="cs"/>
          <w:snapToGrid w:val="0"/>
          <w:sz w:val="20"/>
          <w:szCs w:val="20"/>
          <w:rtl/>
        </w:rPr>
        <w:t xml:space="preserve">בין היתר, </w:t>
      </w:r>
      <w:r w:rsidR="00A305E6" w:rsidRPr="00A305E6">
        <w:rPr>
          <w:rFonts w:cs="Guttman Yad"/>
          <w:snapToGrid w:val="0"/>
          <w:sz w:val="20"/>
          <w:szCs w:val="20"/>
          <w:rtl/>
        </w:rPr>
        <w:t>כי תקיפת חוק יש לעשות בבית-המשפט הגבוה לצדק. טענה זו נדחתה בבית-הדין הארצי לעבודה. מכאן העתירה.</w:t>
      </w:r>
    </w:p>
    <w:p w:rsidR="00E53262" w:rsidRDefault="00E53262" w:rsidP="00495327">
      <w:pPr>
        <w:numPr>
          <w:ilvl w:val="0"/>
          <w:numId w:val="11"/>
        </w:numPr>
        <w:ind w:left="714" w:hanging="357"/>
        <w:jc w:val="both"/>
        <w:rPr>
          <w:rFonts w:cs="Times New Roman" w:hint="cs"/>
        </w:rPr>
      </w:pPr>
      <w:r>
        <w:rPr>
          <w:rFonts w:cs="Times New Roman" w:hint="cs"/>
          <w:rtl/>
        </w:rPr>
        <w:t>הסבר את עמדתו של לוי.</w:t>
      </w:r>
      <w:r w:rsidR="00495327">
        <w:rPr>
          <w:rFonts w:cs="Times New Roman" w:hint="cs"/>
          <w:rtl/>
        </w:rPr>
        <w:t xml:space="preserve"> </w:t>
      </w:r>
      <w:r w:rsidR="00495327" w:rsidRPr="00495327">
        <w:rPr>
          <w:rFonts w:cs="Guttman Yad" w:hint="cs"/>
          <w:sz w:val="20"/>
          <w:szCs w:val="20"/>
          <w:rtl/>
        </w:rPr>
        <w:t>לוי טען שהסכסוך נוגע לתוקף החוק ושאין באמת מחלוקת בשאלת ההסכם הקיבוצי. לכן, לא ניתן לעטוף את העניין בעטיפה של תקיפה עקיפה, והברירה היחידה היא תקיפה ישירה שאפשרית בישראל רק בבג"צ.</w:t>
      </w:r>
    </w:p>
    <w:p w:rsidR="00E53262" w:rsidRPr="00F07DCB" w:rsidRDefault="00E53262" w:rsidP="00F07DCB">
      <w:pPr>
        <w:numPr>
          <w:ilvl w:val="0"/>
          <w:numId w:val="11"/>
        </w:numPr>
        <w:ind w:left="714" w:hanging="357"/>
        <w:jc w:val="both"/>
        <w:rPr>
          <w:rFonts w:cs="Guttman Yad" w:hint="cs"/>
          <w:sz w:val="20"/>
          <w:szCs w:val="20"/>
          <w:rtl/>
        </w:rPr>
      </w:pPr>
      <w:r>
        <w:rPr>
          <w:rFonts w:cs="Times New Roman" w:hint="cs"/>
          <w:rtl/>
        </w:rPr>
        <w:t xml:space="preserve">יש הטוענים שהכרעת הרוב בבג"צ זה מקרבת את המערכת בישראל למודל </w:t>
      </w:r>
      <w:proofErr w:type="spellStart"/>
      <w:r>
        <w:rPr>
          <w:rFonts w:cs="Times New Roman" w:hint="cs"/>
          <w:rtl/>
        </w:rPr>
        <w:t>הביזורי</w:t>
      </w:r>
      <w:proofErr w:type="spellEnd"/>
      <w:r>
        <w:rPr>
          <w:rFonts w:cs="Times New Roman" w:hint="cs"/>
          <w:rtl/>
        </w:rPr>
        <w:t xml:space="preserve"> של ביקורת שיפוטית. הסבר.</w:t>
      </w:r>
      <w:r w:rsidR="00495327">
        <w:rPr>
          <w:rFonts w:cs="Times New Roman" w:hint="cs"/>
          <w:rtl/>
        </w:rPr>
        <w:t xml:space="preserve"> </w:t>
      </w:r>
      <w:r w:rsidR="00495327" w:rsidRPr="00F07DCB">
        <w:rPr>
          <w:rFonts w:cs="Guttman Yad" w:hint="cs"/>
          <w:snapToGrid w:val="0"/>
          <w:sz w:val="20"/>
          <w:szCs w:val="20"/>
          <w:rtl/>
        </w:rPr>
        <w:t xml:space="preserve">המודל הישראלי דומה למודל הריכוזי בכך שתקיפה ישירה אפשרית רק בבג"צ. </w:t>
      </w:r>
      <w:r w:rsidR="00F07DCB">
        <w:rPr>
          <w:rFonts w:cs="Guttman Yad" w:hint="cs"/>
          <w:snapToGrid w:val="0"/>
          <w:sz w:val="20"/>
          <w:szCs w:val="20"/>
          <w:rtl/>
        </w:rPr>
        <w:t>מצד שני</w:t>
      </w:r>
      <w:r w:rsidR="00495327" w:rsidRPr="00F07DCB">
        <w:rPr>
          <w:rFonts w:cs="Guttman Yad" w:hint="cs"/>
          <w:snapToGrid w:val="0"/>
          <w:sz w:val="20"/>
          <w:szCs w:val="20"/>
          <w:rtl/>
        </w:rPr>
        <w:t xml:space="preserve">, יש גם </w:t>
      </w:r>
      <w:r w:rsidR="00F07DCB">
        <w:rPr>
          <w:rFonts w:cs="Guttman Yad" w:hint="cs"/>
          <w:snapToGrid w:val="0"/>
          <w:sz w:val="20"/>
          <w:szCs w:val="20"/>
          <w:rtl/>
        </w:rPr>
        <w:t xml:space="preserve">מרכיב </w:t>
      </w:r>
      <w:r w:rsidR="00495327" w:rsidRPr="00F07DCB">
        <w:rPr>
          <w:rFonts w:cs="Guttman Yad" w:hint="cs"/>
          <w:snapToGrid w:val="0"/>
          <w:sz w:val="20"/>
          <w:szCs w:val="20"/>
          <w:rtl/>
        </w:rPr>
        <w:t xml:space="preserve">ביזורי, </w:t>
      </w:r>
      <w:r w:rsidR="00F07DCB">
        <w:rPr>
          <w:rFonts w:cs="Guttman Yad" w:hint="cs"/>
          <w:snapToGrid w:val="0"/>
          <w:sz w:val="20"/>
          <w:szCs w:val="20"/>
          <w:rtl/>
        </w:rPr>
        <w:t>המתבטא ב</w:t>
      </w:r>
      <w:r w:rsidR="00495327" w:rsidRPr="00F07DCB">
        <w:rPr>
          <w:rFonts w:cs="Guttman Yad" w:hint="cs"/>
          <w:snapToGrid w:val="0"/>
          <w:sz w:val="20"/>
          <w:szCs w:val="20"/>
          <w:rtl/>
        </w:rPr>
        <w:t>אופציה של תקיפה עקיפה</w:t>
      </w:r>
      <w:r w:rsidR="00F07DCB">
        <w:rPr>
          <w:rFonts w:cs="Guttman Yad" w:hint="cs"/>
          <w:snapToGrid w:val="0"/>
          <w:sz w:val="20"/>
          <w:szCs w:val="20"/>
          <w:rtl/>
        </w:rPr>
        <w:t xml:space="preserve"> בבתי משפט רגילים</w:t>
      </w:r>
      <w:r w:rsidR="00495327" w:rsidRPr="00F07DCB">
        <w:rPr>
          <w:rFonts w:cs="Guttman Yad" w:hint="cs"/>
          <w:snapToGrid w:val="0"/>
          <w:sz w:val="20"/>
          <w:szCs w:val="20"/>
          <w:rtl/>
        </w:rPr>
        <w:t>, במקום בו השאלה מתעוררת אגב העיסוק במחלוקת המצויה בסמכות</w:t>
      </w:r>
      <w:r w:rsidR="00F07DCB">
        <w:rPr>
          <w:rFonts w:cs="Guttman Yad" w:hint="cs"/>
          <w:snapToGrid w:val="0"/>
          <w:sz w:val="20"/>
          <w:szCs w:val="20"/>
          <w:rtl/>
        </w:rPr>
        <w:t>ם</w:t>
      </w:r>
      <w:r w:rsidR="00495327" w:rsidRPr="00F07DCB">
        <w:rPr>
          <w:rFonts w:cs="Guttman Yad" w:hint="cs"/>
          <w:snapToGrid w:val="0"/>
          <w:sz w:val="20"/>
          <w:szCs w:val="20"/>
          <w:rtl/>
        </w:rPr>
        <w:t xml:space="preserve">. </w:t>
      </w:r>
      <w:r w:rsidR="00F07DCB">
        <w:rPr>
          <w:rFonts w:cs="Guttman Yad" w:hint="cs"/>
          <w:snapToGrid w:val="0"/>
          <w:sz w:val="20"/>
          <w:szCs w:val="20"/>
          <w:rtl/>
        </w:rPr>
        <w:t>הטענה היא</w:t>
      </w:r>
      <w:r w:rsidR="00495327" w:rsidRPr="00F07DCB">
        <w:rPr>
          <w:rFonts w:cs="Guttman Yad" w:hint="cs"/>
          <w:snapToGrid w:val="0"/>
          <w:sz w:val="20"/>
          <w:szCs w:val="20"/>
          <w:rtl/>
        </w:rPr>
        <w:t xml:space="preserve"> שפסיקת בג"צ בפרשה זו </w:t>
      </w:r>
      <w:r w:rsidR="00495327" w:rsidRPr="00F07DCB">
        <w:rPr>
          <w:rFonts w:cs="Guttman Yad"/>
          <w:snapToGrid w:val="0"/>
          <w:sz w:val="20"/>
          <w:szCs w:val="20"/>
          <w:rtl/>
        </w:rPr>
        <w:t>מאפשר</w:t>
      </w:r>
      <w:r w:rsidR="00495327" w:rsidRPr="00F07DCB">
        <w:rPr>
          <w:rFonts w:cs="Guttman Yad" w:hint="cs"/>
          <w:snapToGrid w:val="0"/>
          <w:sz w:val="20"/>
          <w:szCs w:val="20"/>
          <w:rtl/>
        </w:rPr>
        <w:t>ת</w:t>
      </w:r>
      <w:r w:rsidR="00495327" w:rsidRPr="00F07DCB">
        <w:rPr>
          <w:rFonts w:cs="Guttman Yad"/>
          <w:snapToGrid w:val="0"/>
          <w:sz w:val="20"/>
          <w:szCs w:val="20"/>
          <w:rtl/>
        </w:rPr>
        <w:t xml:space="preserve"> </w:t>
      </w:r>
      <w:r w:rsidR="00F07DCB">
        <w:rPr>
          <w:rFonts w:cs="Guttman Yad" w:hint="cs"/>
          <w:snapToGrid w:val="0"/>
          <w:sz w:val="20"/>
          <w:szCs w:val="20"/>
          <w:rtl/>
        </w:rPr>
        <w:t xml:space="preserve">למעשה </w:t>
      </w:r>
      <w:r w:rsidR="00495327" w:rsidRPr="00F07DCB">
        <w:rPr>
          <w:rFonts w:cs="Guttman Yad"/>
          <w:snapToGrid w:val="0"/>
          <w:sz w:val="20"/>
          <w:szCs w:val="20"/>
          <w:rtl/>
        </w:rPr>
        <w:t xml:space="preserve">להלביש </w:t>
      </w:r>
      <w:r w:rsidR="00495327" w:rsidRPr="00F07DCB">
        <w:rPr>
          <w:rFonts w:cs="Guttman Yad" w:hint="cs"/>
          <w:snapToGrid w:val="0"/>
          <w:sz w:val="20"/>
          <w:szCs w:val="20"/>
          <w:rtl/>
        </w:rPr>
        <w:t xml:space="preserve">כמעט </w:t>
      </w:r>
      <w:r w:rsidR="00495327" w:rsidRPr="00F07DCB">
        <w:rPr>
          <w:rFonts w:cs="Guttman Yad"/>
          <w:snapToGrid w:val="0"/>
          <w:sz w:val="20"/>
          <w:szCs w:val="20"/>
          <w:rtl/>
        </w:rPr>
        <w:t xml:space="preserve">כל </w:t>
      </w:r>
      <w:r w:rsidR="00F07DCB" w:rsidRPr="00F07DCB">
        <w:rPr>
          <w:rFonts w:cs="Guttman Yad" w:hint="cs"/>
          <w:snapToGrid w:val="0"/>
          <w:sz w:val="20"/>
          <w:szCs w:val="20"/>
          <w:rtl/>
        </w:rPr>
        <w:t>ערעור על תוקף חוק</w:t>
      </w:r>
      <w:r w:rsidR="00495327" w:rsidRPr="00F07DCB">
        <w:rPr>
          <w:rFonts w:cs="Guttman Yad"/>
          <w:snapToGrid w:val="0"/>
          <w:sz w:val="20"/>
          <w:szCs w:val="20"/>
          <w:rtl/>
        </w:rPr>
        <w:t xml:space="preserve"> בלבוש של תקיפה עקיפה</w:t>
      </w:r>
      <w:r w:rsidR="00495327" w:rsidRPr="00F07DCB">
        <w:rPr>
          <w:rFonts w:cs="Guttman Yad" w:hint="cs"/>
          <w:snapToGrid w:val="0"/>
          <w:sz w:val="20"/>
          <w:szCs w:val="20"/>
          <w:rtl/>
        </w:rPr>
        <w:t>, ובכך</w:t>
      </w:r>
      <w:r w:rsidR="00F07DCB">
        <w:rPr>
          <w:rFonts w:cs="Guttman Yad" w:hint="cs"/>
          <w:snapToGrid w:val="0"/>
          <w:sz w:val="20"/>
          <w:szCs w:val="20"/>
          <w:rtl/>
        </w:rPr>
        <w:t xml:space="preserve"> כאמור, </w:t>
      </w:r>
      <w:proofErr w:type="spellStart"/>
      <w:r w:rsidR="00F07DCB">
        <w:rPr>
          <w:rFonts w:cs="Guttman Yad" w:hint="cs"/>
          <w:snapToGrid w:val="0"/>
          <w:sz w:val="20"/>
          <w:szCs w:val="20"/>
          <w:rtl/>
        </w:rPr>
        <w:t>מחזרקת</w:t>
      </w:r>
      <w:proofErr w:type="spellEnd"/>
      <w:r w:rsidR="00F07DCB">
        <w:rPr>
          <w:rFonts w:cs="Guttman Yad" w:hint="cs"/>
          <w:snapToGrid w:val="0"/>
          <w:sz w:val="20"/>
          <w:szCs w:val="20"/>
          <w:rtl/>
        </w:rPr>
        <w:t xml:space="preserve"> את </w:t>
      </w:r>
      <w:proofErr w:type="spellStart"/>
      <w:r w:rsidR="00F07DCB">
        <w:rPr>
          <w:rFonts w:cs="Guttman Yad" w:hint="cs"/>
          <w:snapToGrid w:val="0"/>
          <w:sz w:val="20"/>
          <w:szCs w:val="20"/>
          <w:rtl/>
        </w:rPr>
        <w:t>את</w:t>
      </w:r>
      <w:proofErr w:type="spellEnd"/>
      <w:r w:rsidR="00F07DCB">
        <w:rPr>
          <w:rFonts w:cs="Guttman Yad" w:hint="cs"/>
          <w:snapToGrid w:val="0"/>
          <w:sz w:val="20"/>
          <w:szCs w:val="20"/>
          <w:rtl/>
        </w:rPr>
        <w:t xml:space="preserve"> המימד </w:t>
      </w:r>
      <w:proofErr w:type="spellStart"/>
      <w:r w:rsidR="00F07DCB">
        <w:rPr>
          <w:rFonts w:cs="Guttman Yad" w:hint="cs"/>
          <w:snapToGrid w:val="0"/>
          <w:sz w:val="20"/>
          <w:szCs w:val="20"/>
          <w:rtl/>
        </w:rPr>
        <w:t>הביזורי</w:t>
      </w:r>
      <w:proofErr w:type="spellEnd"/>
      <w:r w:rsidR="00495327" w:rsidRPr="00F07DCB">
        <w:rPr>
          <w:rFonts w:cs="Guttman Yad"/>
          <w:snapToGrid w:val="0"/>
          <w:sz w:val="20"/>
          <w:szCs w:val="20"/>
          <w:rtl/>
        </w:rPr>
        <w:t>.</w:t>
      </w:r>
    </w:p>
    <w:p w:rsidR="00E53262" w:rsidRDefault="00E53262" w:rsidP="00693C19">
      <w:pPr>
        <w:rPr>
          <w:rFonts w:cs="Times New Roman" w:hint="cs"/>
          <w:u w:val="single"/>
          <w:rtl/>
        </w:rPr>
      </w:pPr>
    </w:p>
    <w:p w:rsidR="00693C19" w:rsidRDefault="00693C19" w:rsidP="00072C11">
      <w:pPr>
        <w:rPr>
          <w:rFonts w:cs="Times New Roman" w:hint="cs"/>
          <w:rtl/>
        </w:rPr>
      </w:pPr>
      <w:r w:rsidRPr="00A928B2">
        <w:rPr>
          <w:rFonts w:cs="Times New Roman"/>
          <w:u w:val="single"/>
          <w:rtl/>
        </w:rPr>
        <w:t xml:space="preserve">שאלה </w:t>
      </w:r>
      <w:r>
        <w:rPr>
          <w:rFonts w:cs="Times New Roman" w:hint="cs"/>
          <w:u w:val="single"/>
          <w:rtl/>
        </w:rPr>
        <w:t>רביעית</w:t>
      </w:r>
      <w:r w:rsidRPr="00A928B2">
        <w:rPr>
          <w:rFonts w:cs="Times New Roman"/>
          <w:rtl/>
        </w:rPr>
        <w:t xml:space="preserve"> (</w:t>
      </w:r>
      <w:r w:rsidR="00072C11">
        <w:rPr>
          <w:rFonts w:cs="Times New Roman" w:hint="cs"/>
          <w:rtl/>
        </w:rPr>
        <w:t>8</w:t>
      </w:r>
      <w:r w:rsidRPr="00A928B2">
        <w:rPr>
          <w:rFonts w:cs="Times New Roman"/>
          <w:rtl/>
        </w:rPr>
        <w:t xml:space="preserve"> נקודות – מקסימום </w:t>
      </w:r>
      <w:r>
        <w:rPr>
          <w:rFonts w:cs="Times New Roman" w:hint="cs"/>
          <w:rtl/>
        </w:rPr>
        <w:t xml:space="preserve">1/2 </w:t>
      </w:r>
      <w:r w:rsidRPr="00A928B2">
        <w:rPr>
          <w:rFonts w:cs="Times New Roman"/>
          <w:rtl/>
        </w:rPr>
        <w:t xml:space="preserve">עמוד) </w:t>
      </w:r>
    </w:p>
    <w:p w:rsidR="003E1855" w:rsidRDefault="003E1855" w:rsidP="003E1855">
      <w:pPr>
        <w:jc w:val="both"/>
        <w:rPr>
          <w:rFonts w:cs="Times New Roman" w:hint="cs"/>
          <w:rtl/>
        </w:rPr>
      </w:pPr>
      <w:proofErr w:type="spellStart"/>
      <w:r>
        <w:rPr>
          <w:rFonts w:cs="Times New Roman" w:hint="cs"/>
          <w:rtl/>
        </w:rPr>
        <w:t>ב</w:t>
      </w:r>
      <w:r w:rsidRPr="00E2470E">
        <w:rPr>
          <w:rFonts w:cs="Times New Roman"/>
          <w:rtl/>
        </w:rPr>
        <w:t>דנג"צ</w:t>
      </w:r>
      <w:proofErr w:type="spellEnd"/>
      <w:r w:rsidRPr="00E2470E">
        <w:rPr>
          <w:rFonts w:cs="Times New Roman"/>
          <w:rtl/>
        </w:rPr>
        <w:t xml:space="preserve"> 4128/00 מנכ"ל משרד רה"מ נ' הופמן</w:t>
      </w:r>
      <w:r>
        <w:rPr>
          <w:rFonts w:cs="Times New Roman" w:hint="cs"/>
          <w:rtl/>
        </w:rPr>
        <w:t xml:space="preserve"> (הופמן השלישי), אמר השופט </w:t>
      </w:r>
      <w:proofErr w:type="spellStart"/>
      <w:r>
        <w:rPr>
          <w:rFonts w:cs="Times New Roman" w:hint="cs"/>
          <w:rtl/>
        </w:rPr>
        <w:t>אנגלרד</w:t>
      </w:r>
      <w:proofErr w:type="spellEnd"/>
      <w:r>
        <w:rPr>
          <w:rFonts w:cs="Times New Roman" w:hint="cs"/>
          <w:rtl/>
        </w:rPr>
        <w:t xml:space="preserve"> את הדברים הבאים:</w:t>
      </w:r>
    </w:p>
    <w:p w:rsidR="003E1855" w:rsidRDefault="003E1855" w:rsidP="00592F96">
      <w:pPr>
        <w:spacing w:after="120"/>
        <w:ind w:left="720"/>
        <w:jc w:val="both"/>
        <w:rPr>
          <w:rFonts w:cs="Times New Roman" w:hint="cs"/>
          <w:rtl/>
        </w:rPr>
      </w:pPr>
      <w:r w:rsidRPr="004D7EF8">
        <w:rPr>
          <w:rFonts w:cs="Times New Roman"/>
          <w:rtl/>
        </w:rPr>
        <w:t>מסקנה זו בדבר סמכותו של בית</w:t>
      </w:r>
      <w:r w:rsidRPr="004D7EF8">
        <w:rPr>
          <w:rFonts w:cs="Times New Roman"/>
          <w:position w:val="4"/>
          <w:rtl/>
        </w:rPr>
        <w:t>-</w:t>
      </w:r>
      <w:r w:rsidRPr="004D7EF8">
        <w:rPr>
          <w:rFonts w:cs="Times New Roman"/>
          <w:rtl/>
        </w:rPr>
        <w:t>המשפט, על רקע הוראות דבר המלך במועצה על ארץ</w:t>
      </w:r>
      <w:r w:rsidRPr="004D7EF8">
        <w:rPr>
          <w:rFonts w:cs="Times New Roman"/>
          <w:position w:val="4"/>
          <w:rtl/>
        </w:rPr>
        <w:t>-</w:t>
      </w:r>
      <w:r w:rsidRPr="004D7EF8">
        <w:rPr>
          <w:rFonts w:cs="Times New Roman"/>
          <w:rtl/>
        </w:rPr>
        <w:t>ישראל (המקומות הקדושים), 1924 ודעת הרוב בפרשת בג"ץ 222/68 חוגים לאומיים אגודה רשומה נ' שר המשטרה, אינה עומדת בפני הביקורת. העניין הנדון כאן נוגע במישרין לחופש הפולחן ולא לחופש הגישה או לעבירות פליליות המתייחסות למקומות הקדושים. כנזכר, אין מונעים מן העותרות לגשת ולהתפלל סמוך לכותל, אלא המניעה הבלעדית היא בדבר אופן הפולחן החיצוני. סכסוך מעין זה נתפס, לטעמי, על</w:t>
      </w:r>
      <w:r w:rsidRPr="004D7EF8">
        <w:rPr>
          <w:rFonts w:cs="Times New Roman"/>
          <w:position w:val="4"/>
          <w:rtl/>
        </w:rPr>
        <w:t>-</w:t>
      </w:r>
      <w:r w:rsidRPr="004D7EF8">
        <w:rPr>
          <w:rFonts w:cs="Times New Roman"/>
          <w:rtl/>
        </w:rPr>
        <w:t>ידי הוראות דבר המלך במועצה, וזאת גם בכפוף לסייגים שנקבעו על</w:t>
      </w:r>
      <w:r w:rsidRPr="004D7EF8">
        <w:rPr>
          <w:rFonts w:cs="Times New Roman"/>
          <w:position w:val="4"/>
          <w:rtl/>
        </w:rPr>
        <w:t>-</w:t>
      </w:r>
      <w:r w:rsidRPr="004D7EF8">
        <w:rPr>
          <w:rFonts w:cs="Times New Roman"/>
          <w:rtl/>
        </w:rPr>
        <w:t xml:space="preserve">ידי הנשיא </w:t>
      </w:r>
      <w:proofErr w:type="spellStart"/>
      <w:r w:rsidRPr="004D7EF8">
        <w:rPr>
          <w:rFonts w:cs="Times New Roman"/>
          <w:rtl/>
        </w:rPr>
        <w:t>אגרנט</w:t>
      </w:r>
      <w:proofErr w:type="spellEnd"/>
      <w:r w:rsidRPr="004D7EF8">
        <w:rPr>
          <w:rFonts w:cs="Times New Roman"/>
          <w:rtl/>
        </w:rPr>
        <w:t xml:space="preserve"> בפרשת חוגים לאומיים</w:t>
      </w:r>
      <w:r>
        <w:rPr>
          <w:rFonts w:cs="Times New Roman" w:hint="cs"/>
          <w:rtl/>
        </w:rPr>
        <w:t>.</w:t>
      </w:r>
    </w:p>
    <w:p w:rsidR="003E1855" w:rsidRDefault="003E1855" w:rsidP="003E1855">
      <w:pPr>
        <w:numPr>
          <w:ilvl w:val="0"/>
          <w:numId w:val="12"/>
        </w:numPr>
        <w:jc w:val="both"/>
        <w:rPr>
          <w:rFonts w:cs="Times New Roman" w:hint="cs"/>
          <w:rtl/>
        </w:rPr>
      </w:pPr>
      <w:r>
        <w:rPr>
          <w:rFonts w:cs="Times New Roman" w:hint="cs"/>
          <w:rtl/>
        </w:rPr>
        <w:t>מהו הנושא שנדון בדיון הנוסף?</w:t>
      </w:r>
      <w:r w:rsidR="00F07DCB">
        <w:rPr>
          <w:rFonts w:cs="Times New Roman" w:hint="cs"/>
          <w:rtl/>
        </w:rPr>
        <w:t xml:space="preserve"> </w:t>
      </w:r>
      <w:r w:rsidR="00F07DCB" w:rsidRPr="00F07DCB">
        <w:rPr>
          <w:rFonts w:cs="Guttman Yad" w:hint="cs"/>
          <w:sz w:val="20"/>
          <w:szCs w:val="20"/>
          <w:rtl/>
        </w:rPr>
        <w:t xml:space="preserve">סיבוב שלישי בדיון במחלוקת שעניינה תפילת נשים בכותל המערבי. בסיבוב השני חייב בג"צ את המדינה לאפשר תפילה כזאת. </w:t>
      </w:r>
      <w:r w:rsidR="00F07DCB" w:rsidRPr="00F07DCB">
        <w:rPr>
          <w:rFonts w:cs="Guttman Yad"/>
          <w:sz w:val="20"/>
          <w:szCs w:val="20"/>
          <w:rtl/>
        </w:rPr>
        <w:t>הסיבוב השלישי נערך ביזמת המדינה אשר ביקשה מבית המשפט העליון שישוב וישקול את עמדתו בנושא.</w:t>
      </w:r>
    </w:p>
    <w:p w:rsidR="003E1855" w:rsidRDefault="003E1855" w:rsidP="00F07DCB">
      <w:pPr>
        <w:numPr>
          <w:ilvl w:val="0"/>
          <w:numId w:val="12"/>
        </w:numPr>
        <w:jc w:val="both"/>
        <w:rPr>
          <w:rFonts w:cs="Times New Roman" w:hint="cs"/>
        </w:rPr>
      </w:pPr>
      <w:r>
        <w:rPr>
          <w:rFonts w:cs="Times New Roman" w:hint="cs"/>
          <w:rtl/>
        </w:rPr>
        <w:t>מה הייתה הכרעת הרוב בדיון הנוסף ומה היו נימוקיה?</w:t>
      </w:r>
      <w:r w:rsidR="00F07DCB">
        <w:rPr>
          <w:rFonts w:cs="Times New Roman" w:hint="cs"/>
          <w:rtl/>
        </w:rPr>
        <w:t xml:space="preserve"> </w:t>
      </w:r>
      <w:r w:rsidR="00F07DCB" w:rsidRPr="00F07DCB">
        <w:rPr>
          <w:rFonts w:cs="Guttman Yad"/>
          <w:sz w:val="20"/>
          <w:szCs w:val="20"/>
          <w:rtl/>
        </w:rPr>
        <w:t xml:space="preserve">בדיון, שנערך בהרכב מורחב של תשעה שופטים, נחלקו השופטים לשלושה מחנות. במחנה האחד התייצבו ארבעה שופטים שהתנגדו לשינוי ההלכה. במחנה האחר התייצבו שני השופטים הדתיים, </w:t>
      </w:r>
      <w:proofErr w:type="spellStart"/>
      <w:r w:rsidR="00F07DCB" w:rsidRPr="00F07DCB">
        <w:rPr>
          <w:rFonts w:cs="Guttman Yad"/>
          <w:sz w:val="20"/>
          <w:szCs w:val="20"/>
          <w:rtl/>
        </w:rPr>
        <w:t>אנגלרד</w:t>
      </w:r>
      <w:proofErr w:type="spellEnd"/>
      <w:r w:rsidR="00F07DCB" w:rsidRPr="00F07DCB">
        <w:rPr>
          <w:rFonts w:cs="Guttman Yad"/>
          <w:sz w:val="20"/>
          <w:szCs w:val="20"/>
          <w:rtl/>
        </w:rPr>
        <w:t xml:space="preserve"> </w:t>
      </w:r>
      <w:proofErr w:type="spellStart"/>
      <w:r w:rsidR="00F07DCB" w:rsidRPr="00F07DCB">
        <w:rPr>
          <w:rFonts w:cs="Guttman Yad"/>
          <w:sz w:val="20"/>
          <w:szCs w:val="20"/>
          <w:rtl/>
        </w:rPr>
        <w:t>וטירקל</w:t>
      </w:r>
      <w:proofErr w:type="spellEnd"/>
      <w:r w:rsidR="00F07DCB" w:rsidRPr="00F07DCB">
        <w:rPr>
          <w:rFonts w:cs="Guttman Yad"/>
          <w:sz w:val="20"/>
          <w:szCs w:val="20"/>
          <w:rtl/>
        </w:rPr>
        <w:t>, שצידדו בהפיכת ההלכה ובאימוץ עמדת המדינה. בתווך התייצבו שלושה שופטים, בהנהגת השופט חשין, שהחליטו לקבל את המלצות וועדה</w:t>
      </w:r>
      <w:r w:rsidR="00F07DCB">
        <w:rPr>
          <w:rFonts w:cs="Guttman Yad" w:hint="cs"/>
          <w:sz w:val="20"/>
          <w:szCs w:val="20"/>
          <w:rtl/>
        </w:rPr>
        <w:t xml:space="preserve"> שדנה בעניין</w:t>
      </w:r>
      <w:r w:rsidR="00F07DCB" w:rsidRPr="00F07DCB">
        <w:rPr>
          <w:rFonts w:cs="Guttman Yad"/>
          <w:sz w:val="20"/>
          <w:szCs w:val="20"/>
          <w:rtl/>
        </w:rPr>
        <w:t xml:space="preserve"> ולהורות למדינה להכשיר את קשת </w:t>
      </w:r>
      <w:proofErr w:type="spellStart"/>
      <w:r w:rsidR="00F07DCB" w:rsidRPr="00F07DCB">
        <w:rPr>
          <w:rFonts w:cs="Guttman Yad"/>
          <w:sz w:val="20"/>
          <w:szCs w:val="20"/>
          <w:rtl/>
        </w:rPr>
        <w:t>רובינסון</w:t>
      </w:r>
      <w:proofErr w:type="spellEnd"/>
      <w:r w:rsidR="00F07DCB" w:rsidRPr="00F07DCB">
        <w:rPr>
          <w:rFonts w:cs="Guttman Yad"/>
          <w:sz w:val="20"/>
          <w:szCs w:val="20"/>
          <w:rtl/>
        </w:rPr>
        <w:t xml:space="preserve"> כאתר תפילה חלופי. עם זאת קבעו שופטים אלה שבמידה והאתר לא </w:t>
      </w:r>
      <w:r w:rsidR="00F07DCB" w:rsidRPr="00F07DCB">
        <w:rPr>
          <w:rFonts w:cs="Guttman Yad"/>
          <w:sz w:val="20"/>
          <w:szCs w:val="20"/>
          <w:rtl/>
        </w:rPr>
        <w:lastRenderedPageBreak/>
        <w:t>יוכשר תוך שנים עשר חודשים יהיה על המדינה לקבוע הסדרים ותנאים מתאימים שבגדרם תוכלנה נשות הכותל להתפלל כמנהגן ברחבת הכותל המערבי. השופטים הדתיים צירפו את דעתם לדעת האמצע כך שהתוצאה</w:t>
      </w:r>
      <w:r w:rsidR="00F07DCB" w:rsidRPr="00F07DCB">
        <w:rPr>
          <w:rFonts w:cs="Guttman Yad"/>
          <w:sz w:val="20"/>
          <w:szCs w:val="20"/>
        </w:rPr>
        <w:t xml:space="preserve"> </w:t>
      </w:r>
      <w:r w:rsidR="00F07DCB" w:rsidRPr="00F07DCB">
        <w:rPr>
          <w:rFonts w:cs="Guttman Yad"/>
          <w:sz w:val="20"/>
          <w:szCs w:val="20"/>
          <w:rtl/>
        </w:rPr>
        <w:t>שהתקבלה תאמה את האמור בחוות דעתו של חשין.</w:t>
      </w:r>
    </w:p>
    <w:p w:rsidR="00F07DCB" w:rsidRPr="004D7EF8" w:rsidRDefault="003E1855" w:rsidP="003856AF">
      <w:pPr>
        <w:numPr>
          <w:ilvl w:val="0"/>
          <w:numId w:val="12"/>
        </w:numPr>
        <w:jc w:val="both"/>
        <w:rPr>
          <w:rFonts w:cs="Times New Roman" w:hint="cs"/>
        </w:rPr>
      </w:pPr>
      <w:r>
        <w:rPr>
          <w:rFonts w:cs="Times New Roman" w:hint="cs"/>
          <w:rtl/>
        </w:rPr>
        <w:t xml:space="preserve">הסבר את עמדת השופט </w:t>
      </w:r>
      <w:proofErr w:type="spellStart"/>
      <w:r>
        <w:rPr>
          <w:rFonts w:cs="Times New Roman" w:hint="cs"/>
          <w:rtl/>
        </w:rPr>
        <w:t>אנגלרד</w:t>
      </w:r>
      <w:proofErr w:type="spellEnd"/>
      <w:r>
        <w:rPr>
          <w:rFonts w:cs="Times New Roman" w:hint="cs"/>
          <w:rtl/>
        </w:rPr>
        <w:t xml:space="preserve"> בקטע המצוטט.</w:t>
      </w:r>
      <w:r w:rsidR="00F07DCB">
        <w:rPr>
          <w:rFonts w:cs="Times New Roman" w:hint="cs"/>
          <w:rtl/>
        </w:rPr>
        <w:t xml:space="preserve"> </w:t>
      </w:r>
      <w:r w:rsidR="00F07DCB" w:rsidRPr="003856AF">
        <w:rPr>
          <w:rFonts w:cs="Guttman Yad" w:hint="cs"/>
          <w:sz w:val="20"/>
          <w:szCs w:val="20"/>
          <w:rtl/>
        </w:rPr>
        <w:t>סעיף בדבר המלך במועצה שלל את סמכות בתי המשפט לעסוק בעניינים הנוגעים למקומות הקדושים. בפרשת חוגים לאומיים נדונה השאלה האם הקמת המדינה הובילה לפקיעת הסעיף. עמד</w:t>
      </w:r>
      <w:r w:rsidR="003856AF">
        <w:rPr>
          <w:rFonts w:cs="Guttman Yad" w:hint="cs"/>
          <w:sz w:val="20"/>
          <w:szCs w:val="20"/>
          <w:rtl/>
        </w:rPr>
        <w:t xml:space="preserve">ת </w:t>
      </w:r>
      <w:proofErr w:type="spellStart"/>
      <w:r w:rsidR="003856AF">
        <w:rPr>
          <w:rFonts w:cs="Guttman Yad" w:hint="cs"/>
          <w:sz w:val="20"/>
          <w:szCs w:val="20"/>
          <w:rtl/>
        </w:rPr>
        <w:t>אגרנט</w:t>
      </w:r>
      <w:proofErr w:type="spellEnd"/>
      <w:r w:rsidR="003856AF">
        <w:rPr>
          <w:rFonts w:cs="Guttman Yad" w:hint="cs"/>
          <w:sz w:val="20"/>
          <w:szCs w:val="20"/>
          <w:rtl/>
        </w:rPr>
        <w:t>,</w:t>
      </w:r>
      <w:r w:rsidR="00F07DCB" w:rsidRPr="003856AF">
        <w:rPr>
          <w:rFonts w:cs="Guttman Yad" w:hint="cs"/>
          <w:sz w:val="20"/>
          <w:szCs w:val="20"/>
          <w:rtl/>
        </w:rPr>
        <w:t xml:space="preserve"> שהתקבלה להלכה, הייתה שדבר המלך עודו בתוקף, </w:t>
      </w:r>
      <w:r w:rsidR="003856AF">
        <w:rPr>
          <w:rFonts w:cs="Guttman Yad" w:hint="cs"/>
          <w:sz w:val="20"/>
          <w:szCs w:val="20"/>
          <w:rtl/>
        </w:rPr>
        <w:t xml:space="preserve">למעט ביחס </w:t>
      </w:r>
      <w:r w:rsidR="00F07DCB" w:rsidRPr="003856AF">
        <w:rPr>
          <w:rFonts w:cs="Guttman Yad" w:hint="cs"/>
          <w:sz w:val="20"/>
          <w:szCs w:val="20"/>
          <w:rtl/>
        </w:rPr>
        <w:t>ל</w:t>
      </w:r>
      <w:r w:rsidR="00F07DCB" w:rsidRPr="003856AF">
        <w:rPr>
          <w:rFonts w:cs="Guttman Yad"/>
          <w:sz w:val="20"/>
          <w:szCs w:val="20"/>
          <w:rtl/>
        </w:rPr>
        <w:t>זכויות מהותיות, שקמו לתושבי המדינה כתוצאה מחקיקת הכנסת.</w:t>
      </w:r>
      <w:r w:rsidR="00F07DCB" w:rsidRPr="003856AF">
        <w:rPr>
          <w:rFonts w:cs="Guttman Yad" w:hint="cs"/>
          <w:sz w:val="20"/>
          <w:szCs w:val="20"/>
          <w:rtl/>
        </w:rPr>
        <w:t xml:space="preserve"> הכנסת הסדירה את זכות הגישה למקומות הקדושים אך לא את זכות הפולחן בהם. לאור זאת, נפסק כי לבית המשפט </w:t>
      </w:r>
      <w:r w:rsidR="003856AF" w:rsidRPr="003856AF">
        <w:rPr>
          <w:rFonts w:cs="Guttman Yad" w:hint="cs"/>
          <w:sz w:val="20"/>
          <w:szCs w:val="20"/>
          <w:rtl/>
        </w:rPr>
        <w:t xml:space="preserve">יש </w:t>
      </w:r>
      <w:r w:rsidR="00F07DCB" w:rsidRPr="003856AF">
        <w:rPr>
          <w:rFonts w:cs="Guttman Yad" w:hint="cs"/>
          <w:sz w:val="20"/>
          <w:szCs w:val="20"/>
          <w:rtl/>
        </w:rPr>
        <w:t xml:space="preserve">סמכות </w:t>
      </w:r>
      <w:r w:rsidR="003856AF" w:rsidRPr="003856AF">
        <w:rPr>
          <w:rFonts w:cs="Guttman Yad" w:hint="cs"/>
          <w:sz w:val="20"/>
          <w:szCs w:val="20"/>
          <w:rtl/>
        </w:rPr>
        <w:t>לדון ב</w:t>
      </w:r>
      <w:r w:rsidR="003856AF">
        <w:rPr>
          <w:rFonts w:cs="Guttman Yad" w:hint="cs"/>
          <w:sz w:val="20"/>
          <w:szCs w:val="20"/>
          <w:rtl/>
        </w:rPr>
        <w:t>מחלוקות</w:t>
      </w:r>
      <w:r w:rsidR="003856AF" w:rsidRPr="003856AF">
        <w:rPr>
          <w:rFonts w:cs="Guttman Yad" w:hint="cs"/>
          <w:sz w:val="20"/>
          <w:szCs w:val="20"/>
          <w:rtl/>
        </w:rPr>
        <w:t xml:space="preserve"> הנוגעות לזכות הגישה אך לא למחלוקות שעניינן פולחן. במקרה שלנו המחלוקת נוגעת לפולחן ולא לגישה ולכן אין לבית המשפט סמכות לדון בה.</w:t>
      </w:r>
    </w:p>
    <w:p w:rsidR="00730E55" w:rsidRPr="003E1855" w:rsidRDefault="00730E55" w:rsidP="00730E55">
      <w:pPr>
        <w:jc w:val="both"/>
        <w:rPr>
          <w:rFonts w:cs="Times New Roman" w:hint="cs"/>
          <w:rtl/>
        </w:rPr>
      </w:pPr>
    </w:p>
    <w:p w:rsidR="00693C19" w:rsidRDefault="00693C19" w:rsidP="00072C11">
      <w:pPr>
        <w:rPr>
          <w:rFonts w:cs="Times New Roman" w:hint="cs"/>
          <w:rtl/>
        </w:rPr>
      </w:pPr>
      <w:r w:rsidRPr="00A928B2">
        <w:rPr>
          <w:rFonts w:cs="Times New Roman"/>
          <w:u w:val="single"/>
          <w:rtl/>
        </w:rPr>
        <w:t xml:space="preserve">שאלה </w:t>
      </w:r>
      <w:r>
        <w:rPr>
          <w:rFonts w:cs="Times New Roman" w:hint="cs"/>
          <w:u w:val="single"/>
          <w:rtl/>
        </w:rPr>
        <w:t>חמישית</w:t>
      </w:r>
      <w:r w:rsidRPr="00A928B2">
        <w:rPr>
          <w:rFonts w:cs="Times New Roman"/>
          <w:rtl/>
        </w:rPr>
        <w:t xml:space="preserve"> (</w:t>
      </w:r>
      <w:r w:rsidR="00072C11">
        <w:rPr>
          <w:rFonts w:cs="Times New Roman" w:hint="cs"/>
          <w:rtl/>
        </w:rPr>
        <w:t>8</w:t>
      </w:r>
      <w:r w:rsidRPr="00A928B2">
        <w:rPr>
          <w:rFonts w:cs="Times New Roman"/>
          <w:rtl/>
        </w:rPr>
        <w:t xml:space="preserve"> נקודות – מקסימום </w:t>
      </w:r>
      <w:r>
        <w:rPr>
          <w:rFonts w:cs="Times New Roman" w:hint="cs"/>
          <w:rtl/>
        </w:rPr>
        <w:t>1/2</w:t>
      </w:r>
      <w:r w:rsidRPr="00A928B2">
        <w:rPr>
          <w:rFonts w:cs="Times New Roman"/>
          <w:rtl/>
        </w:rPr>
        <w:t xml:space="preserve"> עמוד) </w:t>
      </w:r>
    </w:p>
    <w:p w:rsidR="00592F96" w:rsidRPr="00592F96" w:rsidRDefault="00592F96" w:rsidP="00592F96">
      <w:pPr>
        <w:jc w:val="both"/>
        <w:rPr>
          <w:rFonts w:cs="Times New Roman"/>
          <w:rtl/>
        </w:rPr>
      </w:pPr>
      <w:r w:rsidRPr="00592F96">
        <w:rPr>
          <w:rFonts w:cs="Times New Roman"/>
          <w:rtl/>
        </w:rPr>
        <w:t xml:space="preserve">בבג"צ 6427/02 התנועה לאיכות השלטון נ' הכנסת, שעסק בשאלת תוקפו החוקתי של חוק דחיית שירות לתלמידי ישיבות שתורתם אומנותם, </w:t>
      </w:r>
      <w:proofErr w:type="spellStart"/>
      <w:r w:rsidRPr="00592F96">
        <w:rPr>
          <w:rFonts w:cs="Times New Roman"/>
          <w:rtl/>
        </w:rPr>
        <w:t>התשס"ב</w:t>
      </w:r>
      <w:proofErr w:type="spellEnd"/>
      <w:r w:rsidRPr="00592F96">
        <w:rPr>
          <w:rFonts w:cs="Times New Roman"/>
          <w:rtl/>
        </w:rPr>
        <w:t xml:space="preserve">-2002 (חוק טל), אמר השופט </w:t>
      </w:r>
      <w:proofErr w:type="spellStart"/>
      <w:r w:rsidRPr="00592F96">
        <w:rPr>
          <w:rFonts w:cs="Times New Roman"/>
          <w:rtl/>
        </w:rPr>
        <w:t>גרוניס</w:t>
      </w:r>
      <w:proofErr w:type="spellEnd"/>
      <w:r w:rsidRPr="00592F96">
        <w:rPr>
          <w:rFonts w:cs="Times New Roman"/>
          <w:rtl/>
        </w:rPr>
        <w:t xml:space="preserve"> את הדברים הבאים:</w:t>
      </w:r>
    </w:p>
    <w:p w:rsidR="00592F96" w:rsidRDefault="00592F96" w:rsidP="00592F96">
      <w:pPr>
        <w:spacing w:after="120"/>
        <w:ind w:left="720"/>
        <w:jc w:val="both"/>
        <w:rPr>
          <w:rFonts w:cs="Times New Roman" w:hint="cs"/>
          <w:rtl/>
        </w:rPr>
      </w:pPr>
      <w:r w:rsidRPr="00592F96">
        <w:rPr>
          <w:rFonts w:cs="Times New Roman"/>
          <w:rtl/>
        </w:rPr>
        <w:t>אלמנט חשוב בכתיבתו של איליי הוא תפקידו של בית המשפט בשמירת כללי המשחק הדמוקרטי. לשיטתו, בית המשפט אמור לדאוג לכך שהרשויות האחרות לא תפגענה בהסדרים המאפשרים להביא לידי שינוי פוליטי. הוא מקביל את תפקידו של בית המשפט לזה של שופט במשחק ספורטיבי. האחרון אינו אמור להשפיע בהחלטותיו על תוצאותיו של המשחק, אלא עליו להקפיד על כך שהספורטאים ישחקו על פי כללי המשחק</w:t>
      </w:r>
      <w:r>
        <w:rPr>
          <w:rFonts w:cs="Times New Roman" w:hint="cs"/>
          <w:rtl/>
        </w:rPr>
        <w:t>.</w:t>
      </w:r>
    </w:p>
    <w:p w:rsidR="00592F96" w:rsidRDefault="00592F96" w:rsidP="003856AF">
      <w:pPr>
        <w:numPr>
          <w:ilvl w:val="0"/>
          <w:numId w:val="13"/>
        </w:numPr>
        <w:jc w:val="both"/>
        <w:rPr>
          <w:rFonts w:cs="Times New Roman" w:hint="cs"/>
          <w:rtl/>
        </w:rPr>
      </w:pPr>
      <w:r>
        <w:rPr>
          <w:rFonts w:cs="Times New Roman" w:hint="cs"/>
          <w:rtl/>
        </w:rPr>
        <w:t>מהי עמדתו של איליי, ואלו קשיים היא מתיימרת לפתור?</w:t>
      </w:r>
      <w:r w:rsidR="003856AF">
        <w:rPr>
          <w:rFonts w:cs="Times New Roman" w:hint="cs"/>
          <w:rtl/>
        </w:rPr>
        <w:t xml:space="preserve"> </w:t>
      </w:r>
      <w:r w:rsidR="003856AF" w:rsidRPr="003856AF">
        <w:rPr>
          <w:rFonts w:cs="Guttman Yad" w:hint="cs"/>
          <w:sz w:val="20"/>
          <w:szCs w:val="20"/>
          <w:rtl/>
        </w:rPr>
        <w:t>ההצעה מתיימרת להתגבר על הכשל האנטי-רובני</w:t>
      </w:r>
      <w:r w:rsidR="003856AF">
        <w:rPr>
          <w:rFonts w:cs="Guttman Yad" w:hint="cs"/>
          <w:sz w:val="20"/>
          <w:szCs w:val="20"/>
          <w:rtl/>
        </w:rPr>
        <w:t xml:space="preserve"> הטמון לדעת המבקרים במוסד הביקורת השיפוטית</w:t>
      </w:r>
      <w:r w:rsidR="003856AF" w:rsidRPr="003856AF">
        <w:rPr>
          <w:rFonts w:cs="Guttman Yad" w:hint="cs"/>
          <w:sz w:val="20"/>
          <w:szCs w:val="20"/>
          <w:rtl/>
        </w:rPr>
        <w:t xml:space="preserve">. </w:t>
      </w:r>
      <w:r w:rsidR="003856AF" w:rsidRPr="003856AF">
        <w:rPr>
          <w:rFonts w:cs="Guttman Yad" w:hint="cs"/>
          <w:sz w:val="18"/>
          <w:szCs w:val="18"/>
          <w:rtl/>
        </w:rPr>
        <w:t>לדעת אילי</w:t>
      </w:r>
      <w:r w:rsidR="003856AF" w:rsidRPr="003856AF">
        <w:rPr>
          <w:rFonts w:cs="Guttman Yad" w:hint="cs"/>
          <w:sz w:val="20"/>
          <w:szCs w:val="20"/>
          <w:rtl/>
        </w:rPr>
        <w:t xml:space="preserve"> </w:t>
      </w:r>
      <w:r w:rsidR="003856AF">
        <w:rPr>
          <w:rFonts w:cs="Guttman Yad" w:hint="cs"/>
          <w:sz w:val="20"/>
          <w:szCs w:val="20"/>
          <w:rtl/>
        </w:rPr>
        <w:t>הביקורת השיפוטית</w:t>
      </w:r>
      <w:r w:rsidR="003856AF" w:rsidRPr="003856AF">
        <w:rPr>
          <w:rFonts w:cs="Guttman Yad" w:hint="cs"/>
          <w:sz w:val="20"/>
          <w:szCs w:val="20"/>
          <w:rtl/>
        </w:rPr>
        <w:t xml:space="preserve"> נועדה להבטיח את תקינות ההליך הרובני ולא לפגוע בו.</w:t>
      </w:r>
      <w:r w:rsidR="003856AF" w:rsidRPr="003856AF">
        <w:rPr>
          <w:rFonts w:cs="Guttman Yad" w:hint="cs"/>
          <w:sz w:val="18"/>
          <w:szCs w:val="18"/>
          <w:rtl/>
        </w:rPr>
        <w:t xml:space="preserve"> </w:t>
      </w:r>
      <w:r w:rsidR="003856AF">
        <w:rPr>
          <w:rFonts w:cs="Guttman Yad" w:hint="cs"/>
          <w:sz w:val="18"/>
          <w:szCs w:val="18"/>
          <w:rtl/>
        </w:rPr>
        <w:t>אם יש פגיעה בהליך זה על בית המשפט להתערב</w:t>
      </w:r>
      <w:r w:rsidR="003856AF" w:rsidRPr="003856AF">
        <w:rPr>
          <w:rFonts w:cs="Guttman Yad" w:hint="cs"/>
          <w:sz w:val="18"/>
          <w:szCs w:val="18"/>
          <w:rtl/>
        </w:rPr>
        <w:t xml:space="preserve">, </w:t>
      </w:r>
      <w:r w:rsidR="003856AF">
        <w:rPr>
          <w:rFonts w:cs="Guttman Yad" w:hint="cs"/>
          <w:sz w:val="18"/>
          <w:szCs w:val="18"/>
          <w:rtl/>
        </w:rPr>
        <w:t>לעומת זאת,</w:t>
      </w:r>
      <w:r w:rsidR="003856AF" w:rsidRPr="003856AF">
        <w:rPr>
          <w:rFonts w:cs="Guttman Yad" w:hint="cs"/>
          <w:sz w:val="18"/>
          <w:szCs w:val="18"/>
          <w:rtl/>
        </w:rPr>
        <w:t xml:space="preserve"> </w:t>
      </w:r>
      <w:r w:rsidR="003856AF">
        <w:rPr>
          <w:rFonts w:cs="Guttman Yad" w:hint="cs"/>
          <w:sz w:val="18"/>
          <w:szCs w:val="18"/>
          <w:rtl/>
        </w:rPr>
        <w:t>אם</w:t>
      </w:r>
      <w:r w:rsidR="003856AF" w:rsidRPr="003856AF">
        <w:rPr>
          <w:rFonts w:cs="Guttman Yad" w:hint="cs"/>
          <w:sz w:val="18"/>
          <w:szCs w:val="18"/>
          <w:rtl/>
        </w:rPr>
        <w:t xml:space="preserve"> האופי הדמוקרטי של ההליך הפוליטי נשמר, על בית המשפט להימנע מלהתערב בהכרעות הפוליטיות גם אם לדעתו הן מנוגדות להוראות החוקה</w:t>
      </w:r>
      <w:r w:rsidR="003856AF">
        <w:rPr>
          <w:rFonts w:cs="Times New Roman" w:hint="cs"/>
          <w:rtl/>
        </w:rPr>
        <w:t xml:space="preserve">. </w:t>
      </w:r>
    </w:p>
    <w:p w:rsidR="00592F96" w:rsidRPr="00592F96" w:rsidRDefault="00592F96" w:rsidP="00FB6C9D">
      <w:pPr>
        <w:numPr>
          <w:ilvl w:val="0"/>
          <w:numId w:val="13"/>
        </w:numPr>
        <w:jc w:val="both"/>
        <w:rPr>
          <w:rFonts w:cs="Times New Roman" w:hint="cs"/>
          <w:rtl/>
        </w:rPr>
      </w:pPr>
      <w:r>
        <w:rPr>
          <w:rFonts w:cs="Times New Roman" w:hint="cs"/>
          <w:rtl/>
        </w:rPr>
        <w:t xml:space="preserve">איזה שימוש עושה </w:t>
      </w:r>
      <w:proofErr w:type="spellStart"/>
      <w:r>
        <w:rPr>
          <w:rFonts w:cs="Times New Roman" w:hint="cs"/>
          <w:rtl/>
        </w:rPr>
        <w:t>גרוניס</w:t>
      </w:r>
      <w:proofErr w:type="spellEnd"/>
      <w:r>
        <w:rPr>
          <w:rFonts w:cs="Times New Roman" w:hint="cs"/>
          <w:rtl/>
        </w:rPr>
        <w:t xml:space="preserve"> בעמדתו של אילי</w:t>
      </w:r>
      <w:r w:rsidR="00072C11">
        <w:rPr>
          <w:rFonts w:cs="Times New Roman" w:hint="cs"/>
          <w:rtl/>
        </w:rPr>
        <w:t>י</w:t>
      </w:r>
      <w:r>
        <w:rPr>
          <w:rFonts w:cs="Times New Roman" w:hint="cs"/>
          <w:rtl/>
        </w:rPr>
        <w:t xml:space="preserve"> בפסק הדין הנדון?</w:t>
      </w:r>
      <w:r w:rsidR="003856AF">
        <w:rPr>
          <w:rFonts w:cs="Times New Roman" w:hint="cs"/>
          <w:rtl/>
        </w:rPr>
        <w:t xml:space="preserve"> </w:t>
      </w:r>
      <w:proofErr w:type="spellStart"/>
      <w:r w:rsidR="003856AF" w:rsidRPr="00FB6C9D">
        <w:rPr>
          <w:rFonts w:cs="Guttman Yad" w:hint="cs"/>
          <w:sz w:val="20"/>
          <w:szCs w:val="20"/>
          <w:rtl/>
        </w:rPr>
        <w:t>גרוניס</w:t>
      </w:r>
      <w:proofErr w:type="spellEnd"/>
      <w:r w:rsidR="003856AF" w:rsidRPr="00FB6C9D">
        <w:rPr>
          <w:rFonts w:cs="Guttman Yad" w:hint="cs"/>
          <w:sz w:val="20"/>
          <w:szCs w:val="20"/>
          <w:rtl/>
        </w:rPr>
        <w:t xml:space="preserve"> טען שבמקרה הנדון המשחק הדמוקרטי התנהל באופן תקין. המערכת הפוליטית דנה והכריעה</w:t>
      </w:r>
      <w:r w:rsidR="00FB6C9D" w:rsidRPr="00FB6C9D">
        <w:rPr>
          <w:rFonts w:cs="Guttman Yad" w:hint="cs"/>
          <w:sz w:val="20"/>
          <w:szCs w:val="20"/>
          <w:rtl/>
        </w:rPr>
        <w:t xml:space="preserve"> ולכן אין מקום להתערבות שיפוטית. הכשל במשחק הדמוקרטי מתקיים בדרך כלל כשהרוב אינו נותן למיעוט להשמיע את דברו ולשחק במשחק הפוליטי. אולם, במקרה שלנו הרוב הוא זה ש"מוותר" למיעוט מה שמספק עדות לתקינות המשחק. לאור האמור, </w:t>
      </w:r>
      <w:proofErr w:type="spellStart"/>
      <w:r w:rsidR="00FB6C9D" w:rsidRPr="00FB6C9D">
        <w:rPr>
          <w:rFonts w:cs="Guttman Yad" w:hint="cs"/>
          <w:sz w:val="20"/>
          <w:szCs w:val="20"/>
          <w:rtl/>
        </w:rPr>
        <w:t>גרוניס</w:t>
      </w:r>
      <w:proofErr w:type="spellEnd"/>
      <w:r w:rsidR="00FB6C9D" w:rsidRPr="00FB6C9D">
        <w:rPr>
          <w:rFonts w:cs="Guttman Yad" w:hint="cs"/>
          <w:sz w:val="20"/>
          <w:szCs w:val="20"/>
          <w:rtl/>
        </w:rPr>
        <w:t xml:space="preserve"> טוען שבית המשפט אינו רשאי לבחון את תוקפו של חוק טל.</w:t>
      </w:r>
    </w:p>
    <w:p w:rsidR="00A10447" w:rsidRPr="0004072C" w:rsidRDefault="00A10447" w:rsidP="0004072C">
      <w:pPr>
        <w:rPr>
          <w:rFonts w:cs="Times New Roman"/>
          <w:rtl/>
        </w:rPr>
      </w:pPr>
    </w:p>
    <w:p w:rsidR="00DC33F2" w:rsidRPr="0004072C" w:rsidRDefault="00B07BAB" w:rsidP="0004072C">
      <w:pPr>
        <w:jc w:val="center"/>
        <w:rPr>
          <w:rFonts w:cs="Times New Roman"/>
          <w:b/>
          <w:bCs/>
          <w:sz w:val="28"/>
          <w:szCs w:val="28"/>
          <w:rtl/>
        </w:rPr>
      </w:pPr>
      <w:r w:rsidRPr="0004072C">
        <w:rPr>
          <w:rFonts w:cs="Times New Roman"/>
          <w:rtl/>
        </w:rPr>
        <w:br w:type="page"/>
      </w:r>
      <w:r w:rsidR="00DC33F2" w:rsidRPr="0004072C">
        <w:rPr>
          <w:rFonts w:cs="Times New Roman"/>
          <w:b/>
          <w:bCs/>
          <w:sz w:val="28"/>
          <w:szCs w:val="28"/>
          <w:rtl/>
        </w:rPr>
        <w:lastRenderedPageBreak/>
        <w:t xml:space="preserve">אוניברסיטת בר-אילן </w:t>
      </w:r>
      <w:r w:rsidR="00DC33F2" w:rsidRPr="0004072C">
        <w:rPr>
          <w:rFonts w:cs="Times New Roman"/>
          <w:b/>
          <w:bCs/>
          <w:sz w:val="28"/>
          <w:szCs w:val="28"/>
        </w:rPr>
        <w:t>–</w:t>
      </w:r>
      <w:r w:rsidR="00DC33F2" w:rsidRPr="0004072C">
        <w:rPr>
          <w:rFonts w:cs="Times New Roman"/>
          <w:b/>
          <w:bCs/>
          <w:sz w:val="28"/>
          <w:szCs w:val="28"/>
          <w:rtl/>
        </w:rPr>
        <w:t xml:space="preserve"> הפקולטה למשפטים</w:t>
      </w:r>
    </w:p>
    <w:p w:rsidR="00E42FEF" w:rsidRDefault="00DC33F2" w:rsidP="00E42FEF">
      <w:pPr>
        <w:jc w:val="center"/>
        <w:rPr>
          <w:rFonts w:cs="Times New Roman" w:hint="cs"/>
          <w:rtl/>
        </w:rPr>
      </w:pPr>
      <w:r w:rsidRPr="0004072C">
        <w:rPr>
          <w:rFonts w:cs="Times New Roman"/>
          <w:rtl/>
        </w:rPr>
        <w:t>משפט ציבורי - ד"ר גדעון ספיר</w:t>
      </w:r>
      <w:r w:rsidR="008C0374">
        <w:rPr>
          <w:rFonts w:cs="Times New Roman" w:hint="cs"/>
          <w:rtl/>
        </w:rPr>
        <w:t xml:space="preserve"> </w:t>
      </w:r>
    </w:p>
    <w:p w:rsidR="00E42FEF" w:rsidRDefault="00DC33F2" w:rsidP="008D6F4D">
      <w:pPr>
        <w:jc w:val="center"/>
        <w:rPr>
          <w:rFonts w:cs="Times New Roman" w:hint="cs"/>
          <w:rtl/>
        </w:rPr>
      </w:pPr>
      <w:r w:rsidRPr="0004072C">
        <w:rPr>
          <w:rFonts w:cs="Times New Roman"/>
          <w:rtl/>
        </w:rPr>
        <w:t>שנת הלימודים תש"</w:t>
      </w:r>
      <w:r w:rsidR="008D6F4D">
        <w:rPr>
          <w:rFonts w:cs="Times New Roman" w:hint="cs"/>
          <w:rtl/>
        </w:rPr>
        <w:t>ע</w:t>
      </w:r>
      <w:r w:rsidR="008C0374">
        <w:rPr>
          <w:rFonts w:cs="Times New Roman" w:hint="cs"/>
          <w:rtl/>
        </w:rPr>
        <w:t xml:space="preserve"> </w:t>
      </w:r>
    </w:p>
    <w:p w:rsidR="00DC33F2" w:rsidRPr="0004072C" w:rsidRDefault="00DC33F2" w:rsidP="008D6F4D">
      <w:pPr>
        <w:jc w:val="center"/>
        <w:rPr>
          <w:rFonts w:cs="Times New Roman" w:hint="cs"/>
          <w:rtl/>
        </w:rPr>
      </w:pPr>
      <w:r w:rsidRPr="0004072C">
        <w:rPr>
          <w:rFonts w:cs="Times New Roman"/>
          <w:rtl/>
        </w:rPr>
        <w:t>99-2</w:t>
      </w:r>
      <w:r w:rsidR="003D11A4">
        <w:rPr>
          <w:rFonts w:cs="Times New Roman" w:hint="cs"/>
          <w:rtl/>
        </w:rPr>
        <w:t>04-0</w:t>
      </w:r>
      <w:r w:rsidR="008D6F4D">
        <w:rPr>
          <w:rFonts w:cs="Times New Roman" w:hint="cs"/>
          <w:rtl/>
        </w:rPr>
        <w:t>1</w:t>
      </w:r>
    </w:p>
    <w:p w:rsidR="00DC33F2" w:rsidRPr="0004072C" w:rsidRDefault="00DC33F2" w:rsidP="0004072C">
      <w:pPr>
        <w:jc w:val="center"/>
        <w:rPr>
          <w:rFonts w:cs="Times New Roman"/>
          <w:b/>
          <w:bCs/>
          <w:rtl/>
        </w:rPr>
      </w:pPr>
      <w:r w:rsidRPr="0004072C">
        <w:rPr>
          <w:rFonts w:cs="Times New Roman"/>
          <w:b/>
          <w:bCs/>
          <w:rtl/>
        </w:rPr>
        <w:t xml:space="preserve">מבחן </w:t>
      </w:r>
      <w:r w:rsidRPr="0004072C">
        <w:rPr>
          <w:rFonts w:cs="Times New Roman"/>
          <w:b/>
          <w:bCs/>
        </w:rPr>
        <w:t>–</w:t>
      </w:r>
      <w:r w:rsidRPr="0004072C">
        <w:rPr>
          <w:rFonts w:cs="Times New Roman"/>
          <w:b/>
          <w:bCs/>
          <w:rtl/>
        </w:rPr>
        <w:t xml:space="preserve"> מועד א'</w:t>
      </w:r>
    </w:p>
    <w:p w:rsidR="003D504F" w:rsidRPr="0004072C" w:rsidRDefault="003D504F" w:rsidP="00A84A4C">
      <w:pPr>
        <w:jc w:val="center"/>
        <w:rPr>
          <w:rFonts w:cs="Times New Roman"/>
          <w:b/>
          <w:bCs/>
          <w:sz w:val="28"/>
          <w:szCs w:val="28"/>
          <w:rtl/>
        </w:rPr>
      </w:pPr>
      <w:r w:rsidRPr="0004072C">
        <w:rPr>
          <w:rFonts w:cs="Times New Roman"/>
          <w:b/>
          <w:bCs/>
          <w:sz w:val="28"/>
          <w:szCs w:val="28"/>
          <w:rtl/>
        </w:rPr>
        <w:t xml:space="preserve">חלק ב </w:t>
      </w:r>
      <w:r w:rsidRPr="0004072C">
        <w:rPr>
          <w:rFonts w:cs="Times New Roman"/>
          <w:b/>
          <w:bCs/>
          <w:sz w:val="28"/>
          <w:szCs w:val="28"/>
        </w:rPr>
        <w:t>–</w:t>
      </w:r>
      <w:r w:rsidRPr="0004072C">
        <w:rPr>
          <w:rFonts w:cs="Times New Roman"/>
          <w:b/>
          <w:bCs/>
          <w:sz w:val="28"/>
          <w:szCs w:val="28"/>
          <w:rtl/>
        </w:rPr>
        <w:t xml:space="preserve"> 1</w:t>
      </w:r>
      <w:r w:rsidR="00A84A4C">
        <w:rPr>
          <w:rFonts w:cs="Times New Roman" w:hint="cs"/>
          <w:b/>
          <w:bCs/>
          <w:sz w:val="28"/>
          <w:szCs w:val="28"/>
          <w:rtl/>
        </w:rPr>
        <w:t>20</w:t>
      </w:r>
      <w:r w:rsidRPr="0004072C">
        <w:rPr>
          <w:rFonts w:cs="Times New Roman"/>
          <w:b/>
          <w:bCs/>
          <w:sz w:val="28"/>
          <w:szCs w:val="28"/>
          <w:rtl/>
        </w:rPr>
        <w:t xml:space="preserve"> דקות</w:t>
      </w:r>
    </w:p>
    <w:p w:rsidR="001E79A7" w:rsidRPr="0004072C" w:rsidRDefault="001E79A7" w:rsidP="0004072C">
      <w:pPr>
        <w:rPr>
          <w:rFonts w:cs="Times New Roman"/>
          <w:u w:val="single"/>
          <w:rtl/>
        </w:rPr>
      </w:pPr>
    </w:p>
    <w:p w:rsidR="003D504F" w:rsidRPr="0004072C" w:rsidRDefault="003D504F" w:rsidP="00D762EA">
      <w:pPr>
        <w:rPr>
          <w:rFonts w:cs="Times New Roman"/>
          <w:rtl/>
        </w:rPr>
      </w:pPr>
      <w:r w:rsidRPr="0004072C">
        <w:rPr>
          <w:rFonts w:cs="Times New Roman"/>
          <w:u w:val="single"/>
          <w:rtl/>
        </w:rPr>
        <w:t>שאלה ראשונה</w:t>
      </w:r>
      <w:r w:rsidR="008E6BB8" w:rsidRPr="0004072C">
        <w:rPr>
          <w:rFonts w:cs="Times New Roman"/>
          <w:rtl/>
        </w:rPr>
        <w:t xml:space="preserve"> (</w:t>
      </w:r>
      <w:r w:rsidR="00D762EA">
        <w:rPr>
          <w:rFonts w:cs="Times New Roman" w:hint="cs"/>
          <w:rtl/>
        </w:rPr>
        <w:t>45</w:t>
      </w:r>
      <w:r w:rsidR="008E6BB8" w:rsidRPr="0004072C">
        <w:rPr>
          <w:rFonts w:cs="Times New Roman"/>
          <w:rtl/>
        </w:rPr>
        <w:t xml:space="preserve"> נקודות – מקסימום </w:t>
      </w:r>
      <w:r w:rsidR="00DA112D">
        <w:rPr>
          <w:rFonts w:cs="Times New Roman" w:hint="cs"/>
          <w:rtl/>
        </w:rPr>
        <w:t>3</w:t>
      </w:r>
      <w:r w:rsidR="008E6BB8" w:rsidRPr="0004072C">
        <w:rPr>
          <w:rFonts w:cs="Times New Roman"/>
          <w:rtl/>
        </w:rPr>
        <w:t xml:space="preserve"> עמוד</w:t>
      </w:r>
      <w:r w:rsidR="003733FE" w:rsidRPr="0004072C">
        <w:rPr>
          <w:rFonts w:cs="Times New Roman"/>
          <w:rtl/>
        </w:rPr>
        <w:t>ים</w:t>
      </w:r>
      <w:r w:rsidR="008E6BB8" w:rsidRPr="0004072C">
        <w:rPr>
          <w:rFonts w:cs="Times New Roman"/>
          <w:rtl/>
        </w:rPr>
        <w:t>)</w:t>
      </w:r>
    </w:p>
    <w:p w:rsidR="00D762EA" w:rsidRDefault="00D762EA" w:rsidP="00D762EA">
      <w:pPr>
        <w:spacing w:after="120" w:line="295" w:lineRule="exact"/>
        <w:jc w:val="both"/>
        <w:rPr>
          <w:rFonts w:cs="Times New Roman" w:hint="cs"/>
          <w:rtl/>
        </w:rPr>
      </w:pPr>
      <w:r w:rsidRPr="00D25356">
        <w:rPr>
          <w:rFonts w:cs="Times New Roman"/>
          <w:rtl/>
        </w:rPr>
        <w:t xml:space="preserve">נכון להיום, קיימות בישראל מספר מסגרות המכינות לקראת גיור. הגוף המרכזי הינו המכון המשותף ללימודי יהדות (להלן: </w:t>
      </w:r>
      <w:r w:rsidRPr="00D25356">
        <w:rPr>
          <w:rFonts w:cs="Times New Roman"/>
          <w:sz w:val="28"/>
          <w:rtl/>
        </w:rPr>
        <w:t>המכון המשותף</w:t>
      </w:r>
      <w:r w:rsidRPr="00D25356">
        <w:rPr>
          <w:rFonts w:cs="Times New Roman"/>
          <w:rtl/>
        </w:rPr>
        <w:t xml:space="preserve">), שהוקם על-פי החלטת ממשלה שאימצה את המלצות ועדת נאמן. על הנהלתו וצוותו של המכון נמנים מורים משלושת הזרמים – האורתודוכסי, הרפורמי והקונסרבטיבי. גיור בוגרי המכון מבוצע בבתי הדין המיוחדים לגיור, הפועלים בהתאם לדין תורה. </w:t>
      </w:r>
    </w:p>
    <w:p w:rsidR="00D762EA" w:rsidRPr="00D25356" w:rsidRDefault="00D762EA" w:rsidP="00D762EA">
      <w:pPr>
        <w:spacing w:after="120" w:line="295" w:lineRule="exact"/>
        <w:jc w:val="both"/>
        <w:rPr>
          <w:rFonts w:cs="Times New Roman"/>
          <w:rtl/>
        </w:rPr>
      </w:pPr>
      <w:r w:rsidRPr="00D25356">
        <w:rPr>
          <w:rFonts w:cs="Times New Roman"/>
          <w:rtl/>
        </w:rPr>
        <w:t xml:space="preserve">לצד המכון המשותף, שהינו כאמור הגוף שהוקם על-פי החלטת הממשלה והוא אמון על הליכי ההכנה לגיור האורתודוכסי, פועלות בישראל עמותות נוספות המכינות לקראת גיור במכונים "פרטיים". עמותות אלו ניתן לחלק לשתי קבוצות עיקריות – </w:t>
      </w:r>
      <w:r w:rsidRPr="00D25356">
        <w:rPr>
          <w:rFonts w:cs="Times New Roman"/>
          <w:sz w:val="28"/>
          <w:rtl/>
        </w:rPr>
        <w:t>הראשונה</w:t>
      </w:r>
      <w:r w:rsidRPr="00D25356">
        <w:rPr>
          <w:rFonts w:cs="Times New Roman"/>
          <w:rtl/>
        </w:rPr>
        <w:t xml:space="preserve">, קבוצת אולפני הגיור הפרטיים המופעלים על-ידי הזרם האורתודוכסי ואשר מפנים את המועמדים לגיור הלומדים במסגרתם אל בתי הדין המיוחדים לגיור ואל בתי הדין הרבניים, </w:t>
      </w:r>
      <w:r w:rsidRPr="00D25356">
        <w:rPr>
          <w:rFonts w:cs="Times New Roman"/>
          <w:sz w:val="28"/>
          <w:rtl/>
        </w:rPr>
        <w:t>והשנייה</w:t>
      </w:r>
      <w:r w:rsidRPr="00D25356">
        <w:rPr>
          <w:rFonts w:cs="Times New Roman"/>
          <w:rtl/>
        </w:rPr>
        <w:t>, אולפני גיור פרטיים המופעלים על-ידי הזרם הרפורמי והקונסרבטיבי, המפנים את הלומדים במסגרתם אל בתי הדין העצמאיים של זרמים אלו – בהתאמה.</w:t>
      </w:r>
    </w:p>
    <w:p w:rsidR="00D762EA" w:rsidRPr="00D25356" w:rsidRDefault="00D762EA" w:rsidP="00D762EA">
      <w:pPr>
        <w:spacing w:after="120" w:line="295" w:lineRule="exact"/>
        <w:jc w:val="both"/>
        <w:rPr>
          <w:rFonts w:cs="Times New Roman"/>
          <w:rtl/>
        </w:rPr>
      </w:pPr>
      <w:r w:rsidRPr="00D25356">
        <w:rPr>
          <w:rFonts w:cs="Times New Roman"/>
          <w:rtl/>
        </w:rPr>
        <w:t>לאחרונה חוקקה הכנסת חוק הקובע, בין היתר, כי מדינת ישראל תעניק תמיכה כספית למכון המשותף ולעמותות המשתייכות לקבוצה הראשונה בלבד.</w:t>
      </w:r>
    </w:p>
    <w:p w:rsidR="00D762EA" w:rsidRPr="00D25356" w:rsidRDefault="00D762EA" w:rsidP="00D762EA">
      <w:pPr>
        <w:spacing w:after="120" w:line="295" w:lineRule="exact"/>
        <w:jc w:val="both"/>
        <w:rPr>
          <w:rFonts w:cs="Times New Roman"/>
          <w:rtl/>
        </w:rPr>
      </w:pPr>
      <w:r w:rsidRPr="00D25356">
        <w:rPr>
          <w:rFonts w:cs="Times New Roman"/>
          <w:rtl/>
        </w:rPr>
        <w:t>התנועה ליהדות מתקדמת (להלן: העותרת) עתרה לבג"צ כנגד החוק, בטענה שמבחנים אלו מפלים לרעה את מוסדות הציבור הלא-אורתודוכסיים העוסקים בהכנה לגיור. עוד טוענת העותרת כי ההחלטה שלא לתמוך במכוני הגיור מטעמה מונעת משיקולים זרים ופסולים שעניינם שוני בתפיסה דתית, וכי ככאלה פוגעים הם בזכותה של העותרת ובזכות המשתייכים לקהילתה לחופש דת ומצפון. העותרת מבקשת מבג"צ שיורה על ביטול החוק.</w:t>
      </w:r>
    </w:p>
    <w:p w:rsidR="00D762EA" w:rsidRPr="00D25356" w:rsidRDefault="00D762EA" w:rsidP="00D762EA">
      <w:pPr>
        <w:spacing w:after="120" w:line="295" w:lineRule="exact"/>
        <w:jc w:val="both"/>
        <w:rPr>
          <w:rFonts w:cs="Times New Roman" w:hint="cs"/>
          <w:rtl/>
        </w:rPr>
      </w:pPr>
      <w:r w:rsidRPr="00D25356">
        <w:rPr>
          <w:rFonts w:cs="Times New Roman"/>
          <w:rtl/>
        </w:rPr>
        <w:t xml:space="preserve">המדינה מצידה מבקשת מבית המשפט לדחות את העתירה. לטענתה, האבחנה בין  שתי קבוצות העמותות אינה עולה כדי הפלייה שכן קיים שוני בין אולפני הגיור האורתודוכסיים הפרטיים לבין יתר מכוני הגיור הפרטיים - וליתר דיוק בין הליכי הגיור האורתודוכסיים להליכי הגיור האחרים - באופן המצדיק את ההבחנה הקיימת במתן תמיכות מדינה רק לאולפני הגיור הפרטיים האורתודוכסיים. המדינה מצביעה על שני הבדלים עיקריים בין הליכי הגיור השונים- </w:t>
      </w:r>
      <w:r w:rsidRPr="00D25356">
        <w:rPr>
          <w:rFonts w:cs="Times New Roman"/>
          <w:sz w:val="28"/>
          <w:rtl/>
        </w:rPr>
        <w:t>ראשית</w:t>
      </w:r>
      <w:r w:rsidRPr="00D25356">
        <w:rPr>
          <w:rFonts w:cs="Times New Roman"/>
          <w:rtl/>
        </w:rPr>
        <w:t xml:space="preserve">, העובדה כי הגיור האורתודוכסי, אשר מבוצע בחסות ממלכתית באמצעות בתי הדין המיוחדים לגיור או בתי הדין הרבניים האזוריים, מוכר על-פי הטענה על-ידי כל חלקי העם, להבדיל, למשל, מן הגיור הרפורמי או הקונסרבטיבי. </w:t>
      </w:r>
      <w:r w:rsidRPr="00D25356">
        <w:rPr>
          <w:rFonts w:cs="Times New Roman"/>
          <w:sz w:val="28"/>
          <w:rtl/>
        </w:rPr>
        <w:t>שנית</w:t>
      </w:r>
      <w:r w:rsidRPr="00D25356">
        <w:rPr>
          <w:rFonts w:cs="Times New Roman"/>
          <w:rtl/>
        </w:rPr>
        <w:t xml:space="preserve">, העובדה כי בהתאם למצב המשפטי הנוהג היום, קיים הבדל </w:t>
      </w:r>
      <w:proofErr w:type="spellStart"/>
      <w:r w:rsidRPr="00D25356">
        <w:rPr>
          <w:rFonts w:cs="Times New Roman"/>
          <w:rtl/>
        </w:rPr>
        <w:t>בנפקויות</w:t>
      </w:r>
      <w:proofErr w:type="spellEnd"/>
      <w:r w:rsidRPr="00D25356">
        <w:rPr>
          <w:rFonts w:cs="Times New Roman"/>
          <w:rtl/>
        </w:rPr>
        <w:t xml:space="preserve"> המשפטיות שמעניק הגיור האורתודוכסי לבין גיור המבוצע באופן פרטי, כדוגמת בית הדין של העותרת. הבדלים אלו באים לידי ביטוי בעיקר בנוגע להשלכות הגיור על מתן מעמד בישראל בהתאם להוראות חוק השבות ובהשלכותיו על דיני המעמד האישי. עוד טוענת המדינה כי האבחנה הנדונה איננה פוגעת בחופש הדת של העותרת וחברי קהילתה.</w:t>
      </w:r>
    </w:p>
    <w:p w:rsidR="00D762EA" w:rsidRPr="00D25356" w:rsidRDefault="00D762EA" w:rsidP="00D762EA">
      <w:pPr>
        <w:spacing w:line="295" w:lineRule="exact"/>
        <w:jc w:val="both"/>
        <w:rPr>
          <w:rFonts w:cs="Times New Roman"/>
          <w:rtl/>
        </w:rPr>
      </w:pPr>
    </w:p>
    <w:p w:rsidR="00D762EA" w:rsidRDefault="00D762EA" w:rsidP="00D762EA">
      <w:pPr>
        <w:spacing w:line="295" w:lineRule="exact"/>
        <w:jc w:val="both"/>
        <w:rPr>
          <w:rFonts w:cs="Times New Roman" w:hint="cs"/>
          <w:rtl/>
        </w:rPr>
      </w:pPr>
      <w:r w:rsidRPr="00D25356">
        <w:rPr>
          <w:rFonts w:cs="Times New Roman"/>
          <w:rtl/>
        </w:rPr>
        <w:t>הנך שופט בבית המשפט העליון, והעתירה הובאה בפניך. דון בה והכרע. שים לב: הטיעונים שהוזכרו לעיל אינם ממצים ואתה נדרש להעלות כל טענה וטענת נגד הרלוונטי</w:t>
      </w:r>
      <w:r>
        <w:rPr>
          <w:rFonts w:cs="Times New Roman" w:hint="cs"/>
          <w:rtl/>
        </w:rPr>
        <w:t>ו</w:t>
      </w:r>
      <w:r w:rsidRPr="00D25356">
        <w:rPr>
          <w:rFonts w:cs="Times New Roman"/>
          <w:rtl/>
        </w:rPr>
        <w:t>ת לעניין ולדון בה</w:t>
      </w:r>
      <w:r>
        <w:rPr>
          <w:rFonts w:cs="Times New Roman" w:hint="cs"/>
          <w:rtl/>
        </w:rPr>
        <w:t>ן</w:t>
      </w:r>
      <w:r w:rsidRPr="00D25356">
        <w:rPr>
          <w:rFonts w:cs="Times New Roman"/>
          <w:rtl/>
        </w:rPr>
        <w:t>.</w:t>
      </w:r>
    </w:p>
    <w:p w:rsidR="00EE5C27" w:rsidRDefault="00EE5C27" w:rsidP="00D762EA">
      <w:pPr>
        <w:spacing w:line="295" w:lineRule="exact"/>
        <w:jc w:val="both"/>
        <w:rPr>
          <w:rFonts w:cs="Times New Roman" w:hint="cs"/>
          <w:rtl/>
        </w:rPr>
      </w:pPr>
    </w:p>
    <w:p w:rsidR="00EE5C27" w:rsidRPr="00EE5C27" w:rsidRDefault="00EE5C27" w:rsidP="00EE5C27">
      <w:pPr>
        <w:numPr>
          <w:ilvl w:val="0"/>
          <w:numId w:val="18"/>
        </w:numPr>
        <w:rPr>
          <w:rFonts w:cs="Guttman Yad" w:hint="cs"/>
          <w:sz w:val="20"/>
          <w:szCs w:val="20"/>
        </w:rPr>
      </w:pPr>
      <w:r w:rsidRPr="00EE5C27">
        <w:rPr>
          <w:rFonts w:cs="Guttman Yad"/>
          <w:sz w:val="20"/>
          <w:szCs w:val="20"/>
          <w:rtl/>
        </w:rPr>
        <w:t>הזכויות הנפגעות</w:t>
      </w:r>
    </w:p>
    <w:p w:rsidR="00EE5C27" w:rsidRPr="00EE5C27" w:rsidRDefault="00EE5C27" w:rsidP="00EE5C27">
      <w:pPr>
        <w:rPr>
          <w:rFonts w:cs="Guttman Yad" w:hint="cs"/>
          <w:sz w:val="20"/>
          <w:szCs w:val="20"/>
          <w:rtl/>
        </w:rPr>
      </w:pPr>
      <w:r w:rsidRPr="00EE5C27">
        <w:rPr>
          <w:rFonts w:cs="Guttman Yad"/>
          <w:sz w:val="20"/>
          <w:szCs w:val="20"/>
          <w:rtl/>
        </w:rPr>
        <w:t>חופש דת</w:t>
      </w:r>
    </w:p>
    <w:p w:rsidR="00EE5C27" w:rsidRPr="00EE5C27" w:rsidRDefault="00EE5C27" w:rsidP="00EE5C27">
      <w:pPr>
        <w:numPr>
          <w:ilvl w:val="0"/>
          <w:numId w:val="16"/>
        </w:numPr>
        <w:rPr>
          <w:rFonts w:cs="Guttman Yad" w:hint="cs"/>
          <w:sz w:val="20"/>
          <w:szCs w:val="20"/>
        </w:rPr>
      </w:pPr>
      <w:r w:rsidRPr="00EE5C27">
        <w:rPr>
          <w:rFonts w:cs="Guttman Yad"/>
          <w:sz w:val="20"/>
          <w:szCs w:val="20"/>
          <w:rtl/>
        </w:rPr>
        <w:t xml:space="preserve">בפרשת </w:t>
      </w:r>
      <w:proofErr w:type="spellStart"/>
      <w:r w:rsidRPr="00EE5C27">
        <w:rPr>
          <w:rFonts w:cs="Guttman Yad"/>
          <w:sz w:val="20"/>
          <w:szCs w:val="20"/>
          <w:rtl/>
        </w:rPr>
        <w:t>פסרו</w:t>
      </w:r>
      <w:proofErr w:type="spellEnd"/>
      <w:r w:rsidRPr="00EE5C27">
        <w:rPr>
          <w:rFonts w:cs="Guttman Yad"/>
          <w:sz w:val="20"/>
          <w:szCs w:val="20"/>
          <w:rtl/>
        </w:rPr>
        <w:t>-גולדשטיין קבעו שופטי הרוב כי החלת פקודת העדה הדתית (המרה) על סוגיית הגיור לצורך חוק השבות תפגע בחופש הדת של מתגיירים קונסרבטיביים ורפורמיים. שופט המיעוט (טל) סבר שאין כאן פגיעה בחופש הדת. יש לברר איזו עמדה משכנעת. הבדיקה תיערך לאור הרציונאלים לחופש הדת שנדונו בכתה (מצפון ותרבות)</w:t>
      </w:r>
      <w:r w:rsidRPr="00EE5C27">
        <w:rPr>
          <w:rFonts w:cs="Guttman Yad" w:hint="cs"/>
          <w:sz w:val="20"/>
          <w:szCs w:val="20"/>
          <w:rtl/>
        </w:rPr>
        <w:t>:</w:t>
      </w:r>
    </w:p>
    <w:p w:rsidR="00EE5C27" w:rsidRPr="00EE5C27" w:rsidRDefault="00EE5C27" w:rsidP="00EE5C27">
      <w:pPr>
        <w:numPr>
          <w:ilvl w:val="1"/>
          <w:numId w:val="16"/>
        </w:numPr>
        <w:rPr>
          <w:rFonts w:cs="Guttman Yad" w:hint="cs"/>
          <w:sz w:val="20"/>
          <w:szCs w:val="20"/>
        </w:rPr>
      </w:pPr>
      <w:r w:rsidRPr="00EE5C27">
        <w:rPr>
          <w:rFonts w:cs="Guttman Yad"/>
          <w:sz w:val="20"/>
          <w:szCs w:val="20"/>
          <w:rtl/>
        </w:rPr>
        <w:t xml:space="preserve">לגבי מצפון – לא משכנע. בסוגיה זאת לא עמדה על הפרק שאלת הזכות להשתתף בטקסי גיור ליברליים, אלא השאלה האם להשתתפות בריטואל כזה תינתן נפקות משפטית בדמות רישום מתאים ומתן זכאות לאזרחות ולמעמד של "עולה". </w:t>
      </w:r>
    </w:p>
    <w:p w:rsidR="00EE5C27" w:rsidRPr="00EE5C27" w:rsidRDefault="00EE5C27" w:rsidP="00EE5C27">
      <w:pPr>
        <w:numPr>
          <w:ilvl w:val="1"/>
          <w:numId w:val="16"/>
        </w:numPr>
        <w:rPr>
          <w:rFonts w:cs="Guttman Yad" w:hint="cs"/>
          <w:sz w:val="20"/>
          <w:szCs w:val="20"/>
        </w:rPr>
      </w:pPr>
      <w:r w:rsidRPr="00EE5C27">
        <w:rPr>
          <w:rFonts w:cs="Guttman Yad"/>
          <w:sz w:val="20"/>
          <w:szCs w:val="20"/>
          <w:rtl/>
        </w:rPr>
        <w:lastRenderedPageBreak/>
        <w:t xml:space="preserve">לגבי תרבות – </w:t>
      </w:r>
      <w:r w:rsidRPr="00EE5C27">
        <w:rPr>
          <w:rFonts w:cs="Guttman Yad" w:hint="cs"/>
          <w:sz w:val="20"/>
          <w:szCs w:val="20"/>
          <w:rtl/>
        </w:rPr>
        <w:t>התשובה</w:t>
      </w:r>
      <w:r w:rsidRPr="00EE5C27">
        <w:rPr>
          <w:rFonts w:cs="Guttman Yad"/>
          <w:sz w:val="20"/>
          <w:szCs w:val="20"/>
          <w:rtl/>
        </w:rPr>
        <w:t xml:space="preserve"> תלוי</w:t>
      </w:r>
      <w:r w:rsidRPr="00EE5C27">
        <w:rPr>
          <w:rFonts w:cs="Guttman Yad" w:hint="cs"/>
          <w:sz w:val="20"/>
          <w:szCs w:val="20"/>
          <w:rtl/>
        </w:rPr>
        <w:t>ה</w:t>
      </w:r>
      <w:r w:rsidRPr="00EE5C27">
        <w:rPr>
          <w:rFonts w:cs="Guttman Yad"/>
          <w:sz w:val="20"/>
          <w:szCs w:val="20"/>
          <w:rtl/>
        </w:rPr>
        <w:t xml:space="preserve"> בשאלה האם ניתן להגדיר את הזרמים הללו כמיעוט (שרק אז רלוונטית הזכות לתרבות) והאם היעדר הכרה בגיורים ליברליים לצורך חוק השבות פוגע ביכולת של תרבות המיעוט הזו לשגשג.</w:t>
      </w:r>
    </w:p>
    <w:p w:rsidR="00EE5C27" w:rsidRPr="00EE5C27" w:rsidRDefault="00EE5C27" w:rsidP="00EE5C27">
      <w:pPr>
        <w:numPr>
          <w:ilvl w:val="0"/>
          <w:numId w:val="16"/>
        </w:numPr>
        <w:rPr>
          <w:rFonts w:cs="Guttman Yad" w:hint="cs"/>
          <w:sz w:val="20"/>
          <w:szCs w:val="20"/>
        </w:rPr>
      </w:pPr>
      <w:r w:rsidRPr="00EE5C27">
        <w:rPr>
          <w:rFonts w:cs="Guttman Yad" w:hint="cs"/>
          <w:sz w:val="20"/>
          <w:szCs w:val="20"/>
          <w:rtl/>
        </w:rPr>
        <w:t>מה המצב במקרה שלנו? יש לברר בשתי רמות:</w:t>
      </w:r>
    </w:p>
    <w:p w:rsidR="00EE5C27" w:rsidRPr="00EE5C27" w:rsidRDefault="00EE5C27" w:rsidP="00EE5C27">
      <w:pPr>
        <w:numPr>
          <w:ilvl w:val="1"/>
          <w:numId w:val="16"/>
        </w:numPr>
        <w:rPr>
          <w:rFonts w:cs="Guttman Yad" w:hint="cs"/>
          <w:sz w:val="20"/>
          <w:szCs w:val="20"/>
        </w:rPr>
      </w:pPr>
      <w:r w:rsidRPr="00EE5C27">
        <w:rPr>
          <w:rFonts w:cs="Guttman Yad" w:hint="cs"/>
          <w:sz w:val="20"/>
          <w:szCs w:val="20"/>
          <w:rtl/>
        </w:rPr>
        <w:t xml:space="preserve">האם ניתן לאבחן מפרשת </w:t>
      </w:r>
      <w:proofErr w:type="spellStart"/>
      <w:r w:rsidRPr="00EE5C27">
        <w:rPr>
          <w:rFonts w:cs="Guttman Yad" w:hint="cs"/>
          <w:sz w:val="20"/>
          <w:szCs w:val="20"/>
          <w:rtl/>
        </w:rPr>
        <w:t>פסרו</w:t>
      </w:r>
      <w:proofErr w:type="spellEnd"/>
      <w:r w:rsidRPr="00EE5C27">
        <w:rPr>
          <w:rFonts w:cs="Guttman Yad" w:hint="cs"/>
          <w:sz w:val="20"/>
          <w:szCs w:val="20"/>
          <w:rtl/>
        </w:rPr>
        <w:t xml:space="preserve">? </w:t>
      </w:r>
    </w:p>
    <w:p w:rsidR="00EE5C27" w:rsidRPr="00EE5C27" w:rsidRDefault="00EE5C27" w:rsidP="00EE5C27">
      <w:pPr>
        <w:numPr>
          <w:ilvl w:val="1"/>
          <w:numId w:val="16"/>
        </w:numPr>
        <w:rPr>
          <w:rFonts w:cs="Guttman Yad" w:hint="cs"/>
          <w:sz w:val="20"/>
          <w:szCs w:val="20"/>
        </w:rPr>
      </w:pPr>
      <w:r w:rsidRPr="00EE5C27">
        <w:rPr>
          <w:rFonts w:cs="Guttman Yad" w:hint="cs"/>
          <w:sz w:val="20"/>
          <w:szCs w:val="20"/>
          <w:rtl/>
        </w:rPr>
        <w:t xml:space="preserve">ישירות, תוך יישום שני הרציונאלים. </w:t>
      </w:r>
    </w:p>
    <w:p w:rsidR="00EE5C27" w:rsidRPr="00EE5C27" w:rsidRDefault="00EE5C27" w:rsidP="00EE5C27">
      <w:pPr>
        <w:rPr>
          <w:rFonts w:cs="Guttman Yad" w:hint="cs"/>
          <w:sz w:val="20"/>
          <w:szCs w:val="20"/>
          <w:rtl/>
        </w:rPr>
      </w:pPr>
      <w:r w:rsidRPr="00EE5C27">
        <w:rPr>
          <w:rFonts w:cs="Guttman Yad" w:hint="cs"/>
          <w:sz w:val="20"/>
          <w:szCs w:val="20"/>
          <w:rtl/>
        </w:rPr>
        <w:t>שוויון</w:t>
      </w:r>
    </w:p>
    <w:p w:rsidR="00EE5C27" w:rsidRPr="00EE5C27" w:rsidRDefault="00EE5C27" w:rsidP="00EE5C27">
      <w:pPr>
        <w:numPr>
          <w:ilvl w:val="0"/>
          <w:numId w:val="17"/>
        </w:numPr>
        <w:rPr>
          <w:rFonts w:cs="Guttman Yad" w:hint="cs"/>
          <w:sz w:val="20"/>
          <w:szCs w:val="20"/>
          <w:rtl/>
        </w:rPr>
      </w:pPr>
      <w:r w:rsidRPr="00EE5C27">
        <w:rPr>
          <w:rFonts w:cs="Guttman Yad" w:hint="cs"/>
          <w:sz w:val="20"/>
          <w:szCs w:val="20"/>
          <w:rtl/>
        </w:rPr>
        <w:t xml:space="preserve">האם יש שוני? לעניין המקובלות בחברה </w:t>
      </w:r>
      <w:r w:rsidRPr="00EE5C27">
        <w:rPr>
          <w:rFonts w:cs="Guttman Yad"/>
          <w:sz w:val="20"/>
          <w:szCs w:val="20"/>
          <w:rtl/>
        </w:rPr>
        <w:t>–</w:t>
      </w:r>
      <w:r w:rsidRPr="00EE5C27">
        <w:rPr>
          <w:rFonts w:cs="Guttman Yad" w:hint="cs"/>
          <w:sz w:val="20"/>
          <w:szCs w:val="20"/>
          <w:rtl/>
        </w:rPr>
        <w:t xml:space="preserve"> נכון שיש מי שלא יכיר בגיור. לעניין המעמד האישי </w:t>
      </w:r>
      <w:r w:rsidRPr="00EE5C27">
        <w:rPr>
          <w:rFonts w:cs="Guttman Yad"/>
          <w:sz w:val="20"/>
          <w:szCs w:val="20"/>
          <w:rtl/>
        </w:rPr>
        <w:t>–</w:t>
      </w:r>
      <w:r w:rsidRPr="00EE5C27">
        <w:rPr>
          <w:rFonts w:cs="Guttman Yad" w:hint="cs"/>
          <w:sz w:val="20"/>
          <w:szCs w:val="20"/>
          <w:rtl/>
        </w:rPr>
        <w:t xml:space="preserve"> נכון (פקודת העדה הדתית רלוונטית בוודאי לעניין מעמד אישי). לעניין מעמד הגיור לצרכי חוק השבות </w:t>
      </w:r>
      <w:r w:rsidRPr="00EE5C27">
        <w:rPr>
          <w:rFonts w:cs="Guttman Yad"/>
          <w:sz w:val="20"/>
          <w:szCs w:val="20"/>
          <w:rtl/>
        </w:rPr>
        <w:t>–</w:t>
      </w:r>
      <w:r w:rsidRPr="00EE5C27">
        <w:rPr>
          <w:rFonts w:cs="Guttman Yad" w:hint="cs"/>
          <w:sz w:val="20"/>
          <w:szCs w:val="20"/>
          <w:rtl/>
        </w:rPr>
        <w:t xml:space="preserve"> תלוי ועומד בבג"צ (</w:t>
      </w:r>
      <w:r w:rsidRPr="00EE5C27">
        <w:rPr>
          <w:rFonts w:cs="Guttman Yad"/>
          <w:b/>
          <w:bCs/>
          <w:sz w:val="20"/>
          <w:szCs w:val="20"/>
          <w:rtl/>
        </w:rPr>
        <w:t>דהאן נטליה נ. שר הפנים</w:t>
      </w:r>
      <w:r w:rsidRPr="00EE5C27">
        <w:rPr>
          <w:rFonts w:cs="Guttman Yad" w:hint="cs"/>
          <w:sz w:val="20"/>
          <w:szCs w:val="20"/>
          <w:rtl/>
        </w:rPr>
        <w:t xml:space="preserve">. ההכרעה בפרשת </w:t>
      </w:r>
      <w:proofErr w:type="spellStart"/>
      <w:r w:rsidRPr="00EE5C27">
        <w:rPr>
          <w:rFonts w:cs="Guttman Yad" w:hint="cs"/>
          <w:sz w:val="20"/>
          <w:szCs w:val="20"/>
          <w:rtl/>
        </w:rPr>
        <w:t>טושביים</w:t>
      </w:r>
      <w:proofErr w:type="spellEnd"/>
      <w:r w:rsidRPr="00EE5C27">
        <w:rPr>
          <w:rFonts w:cs="Guttman Yad" w:hint="cs"/>
          <w:sz w:val="20"/>
          <w:szCs w:val="20"/>
          <w:rtl/>
        </w:rPr>
        <w:t>, לטובת הכרה בגיורים ליברליים, נגעה לגיורי חו"ל בלבד).</w:t>
      </w:r>
    </w:p>
    <w:p w:rsidR="00EE5C27" w:rsidRPr="00EE5C27" w:rsidRDefault="00EE5C27" w:rsidP="00EE5C27">
      <w:pPr>
        <w:numPr>
          <w:ilvl w:val="0"/>
          <w:numId w:val="17"/>
        </w:numPr>
        <w:rPr>
          <w:rFonts w:cs="Guttman Yad" w:hint="cs"/>
          <w:sz w:val="20"/>
          <w:szCs w:val="20"/>
        </w:rPr>
      </w:pPr>
      <w:r w:rsidRPr="00EE5C27">
        <w:rPr>
          <w:rFonts w:cs="Guttman Yad" w:hint="cs"/>
          <w:sz w:val="20"/>
          <w:szCs w:val="20"/>
          <w:rtl/>
        </w:rPr>
        <w:t xml:space="preserve"> בהנחה שיש שוני האם הוא (א) רלוונטי (ב) לתכלית ראויה? התכלית היא לעודד מוסדות מסוימים העוסקים בהכנה לגיור, מהטעם שגיור אליו הם מכינים הינו בעל תחולה רחבה יותר (חברתית או משפטית - במובן כלשהו מהמובנים לעיל). הרלוונטיות ברורה אך השאלה היא האם התכלית ראויה.</w:t>
      </w:r>
    </w:p>
    <w:p w:rsidR="00EE5C27" w:rsidRPr="00EE5C27" w:rsidRDefault="00EE5C27" w:rsidP="00EE5C27">
      <w:pPr>
        <w:numPr>
          <w:ilvl w:val="0"/>
          <w:numId w:val="17"/>
        </w:numPr>
        <w:rPr>
          <w:rFonts w:cs="Guttman Yad" w:hint="cs"/>
          <w:sz w:val="20"/>
          <w:szCs w:val="20"/>
        </w:rPr>
      </w:pPr>
      <w:r w:rsidRPr="00EE5C27">
        <w:rPr>
          <w:rFonts w:cs="Guttman Yad" w:hint="cs"/>
          <w:sz w:val="20"/>
          <w:szCs w:val="20"/>
          <w:rtl/>
        </w:rPr>
        <w:t xml:space="preserve">בהנחה שיש תכלית ראויה </w:t>
      </w:r>
      <w:r w:rsidRPr="00EE5C27">
        <w:rPr>
          <w:rFonts w:cs="Guttman Yad"/>
          <w:sz w:val="20"/>
          <w:szCs w:val="20"/>
          <w:rtl/>
        </w:rPr>
        <w:t>–</w:t>
      </w:r>
      <w:r w:rsidRPr="00EE5C27">
        <w:rPr>
          <w:rFonts w:cs="Guttman Yad" w:hint="cs"/>
          <w:sz w:val="20"/>
          <w:szCs w:val="20"/>
          <w:rtl/>
        </w:rPr>
        <w:t xml:space="preserve"> האם יש מקום להמשיך ולבחון? בדיון שהתקיים בכתה עמדנו על כך שלפחות לפי המבחן האריסטוטלי, ברגע שיש שוני רלוונטי אין יחס שונה </w:t>
      </w:r>
      <w:r w:rsidRPr="00EE5C27">
        <w:rPr>
          <w:rFonts w:cs="Guttman Yad" w:hint="cs"/>
          <w:b/>
          <w:bCs/>
          <w:sz w:val="20"/>
          <w:szCs w:val="20"/>
          <w:rtl/>
        </w:rPr>
        <w:t>לשווים</w:t>
      </w:r>
      <w:r w:rsidRPr="00EE5C27">
        <w:rPr>
          <w:rFonts w:cs="Guttman Yad" w:hint="cs"/>
          <w:sz w:val="20"/>
          <w:szCs w:val="20"/>
          <w:rtl/>
        </w:rPr>
        <w:t xml:space="preserve">, כלומר אין פגיעה בשוויון ולכן, אין צורך להמשיך הלאה. אולם, ראינו גם שהשופטות דורנר </w:t>
      </w:r>
      <w:proofErr w:type="spellStart"/>
      <w:r w:rsidRPr="00EE5C27">
        <w:rPr>
          <w:rFonts w:cs="Guttman Yad" w:hint="cs"/>
          <w:sz w:val="20"/>
          <w:szCs w:val="20"/>
          <w:rtl/>
        </w:rPr>
        <w:t>ושטרסברג</w:t>
      </w:r>
      <w:proofErr w:type="spellEnd"/>
      <w:r w:rsidRPr="00EE5C27">
        <w:rPr>
          <w:rFonts w:cs="Guttman Yad" w:hint="cs"/>
          <w:sz w:val="20"/>
          <w:szCs w:val="20"/>
          <w:rtl/>
        </w:rPr>
        <w:t>-כהן בפרשת מילר המשיכו בבדיקה בכל זאת.</w:t>
      </w:r>
    </w:p>
    <w:p w:rsidR="00EE5C27" w:rsidRPr="00EE5C27" w:rsidRDefault="00EE5C27" w:rsidP="00EE5C27">
      <w:pPr>
        <w:rPr>
          <w:rFonts w:cs="Guttman Yad" w:hint="cs"/>
          <w:sz w:val="20"/>
          <w:szCs w:val="20"/>
          <w:rtl/>
        </w:rPr>
      </w:pPr>
    </w:p>
    <w:p w:rsidR="00EE5C27" w:rsidRPr="00EE5C27" w:rsidRDefault="00EE5C27" w:rsidP="00EE5C27">
      <w:pPr>
        <w:numPr>
          <w:ilvl w:val="0"/>
          <w:numId w:val="18"/>
        </w:numPr>
        <w:rPr>
          <w:rFonts w:cs="Guttman Yad"/>
          <w:sz w:val="20"/>
          <w:szCs w:val="20"/>
          <w:rtl/>
        </w:rPr>
      </w:pPr>
      <w:r w:rsidRPr="00EE5C27">
        <w:rPr>
          <w:rFonts w:cs="Guttman Yad" w:hint="cs"/>
          <w:sz w:val="20"/>
          <w:szCs w:val="20"/>
          <w:rtl/>
        </w:rPr>
        <w:t>תקיפה?</w:t>
      </w:r>
    </w:p>
    <w:p w:rsidR="00EE5C27" w:rsidRPr="00EE5C27" w:rsidRDefault="00EE5C27" w:rsidP="00EE5C27">
      <w:pPr>
        <w:rPr>
          <w:rFonts w:cs="Guttman Yad" w:hint="cs"/>
          <w:sz w:val="20"/>
          <w:szCs w:val="20"/>
          <w:rtl/>
        </w:rPr>
      </w:pPr>
      <w:r w:rsidRPr="00EE5C27">
        <w:rPr>
          <w:rFonts w:cs="Guttman Yad" w:hint="cs"/>
          <w:sz w:val="20"/>
          <w:szCs w:val="20"/>
          <w:rtl/>
        </w:rPr>
        <w:t xml:space="preserve">בהנחה שיש פגיעה באחת הזכויות או בשתיהן </w:t>
      </w:r>
      <w:r w:rsidRPr="00EE5C27">
        <w:rPr>
          <w:rFonts w:cs="Guttman Yad"/>
          <w:sz w:val="20"/>
          <w:szCs w:val="20"/>
          <w:rtl/>
        </w:rPr>
        <w:t>–</w:t>
      </w:r>
      <w:r w:rsidRPr="00EE5C27">
        <w:rPr>
          <w:rFonts w:cs="Guttman Yad" w:hint="cs"/>
          <w:sz w:val="20"/>
          <w:szCs w:val="20"/>
          <w:rtl/>
        </w:rPr>
        <w:t xml:space="preserve"> האם ניתן לתקוף את החוק? דיון בשאלת מעמד הזכויות הבלתי מנויות. </w:t>
      </w:r>
      <w:proofErr w:type="spellStart"/>
      <w:r w:rsidRPr="00EE5C27">
        <w:rPr>
          <w:rFonts w:cs="Guttman Yad" w:hint="cs"/>
          <w:sz w:val="20"/>
          <w:szCs w:val="20"/>
          <w:rtl/>
        </w:rPr>
        <w:t>איזכור</w:t>
      </w:r>
      <w:proofErr w:type="spellEnd"/>
      <w:r w:rsidRPr="00EE5C27">
        <w:rPr>
          <w:rFonts w:cs="Guttman Yad" w:hint="cs"/>
          <w:sz w:val="20"/>
          <w:szCs w:val="20"/>
          <w:rtl/>
        </w:rPr>
        <w:t xml:space="preserve"> הנסיבות והטעמים לאי הכללת כל אחת מהן. </w:t>
      </w:r>
      <w:proofErr w:type="spellStart"/>
      <w:r w:rsidRPr="00EE5C27">
        <w:rPr>
          <w:rFonts w:cs="Guttman Yad" w:hint="cs"/>
          <w:sz w:val="20"/>
          <w:szCs w:val="20"/>
          <w:rtl/>
        </w:rPr>
        <w:t>איזכור</w:t>
      </w:r>
      <w:proofErr w:type="spellEnd"/>
      <w:r w:rsidRPr="00EE5C27">
        <w:rPr>
          <w:rFonts w:cs="Guttman Yad" w:hint="cs"/>
          <w:sz w:val="20"/>
          <w:szCs w:val="20"/>
          <w:rtl/>
        </w:rPr>
        <w:t xml:space="preserve"> מנגנוני ההחלה האפשריים, תוך הדגשת מנגנון הקריאה המרחיבה של הזכות לכבוד. </w:t>
      </w:r>
      <w:proofErr w:type="spellStart"/>
      <w:r w:rsidRPr="00EE5C27">
        <w:rPr>
          <w:rFonts w:cs="Guttman Yad" w:hint="cs"/>
          <w:sz w:val="20"/>
          <w:szCs w:val="20"/>
          <w:rtl/>
        </w:rPr>
        <w:t>איזכור</w:t>
      </w:r>
      <w:proofErr w:type="spellEnd"/>
      <w:r w:rsidRPr="00EE5C27">
        <w:rPr>
          <w:rFonts w:cs="Guttman Yad" w:hint="cs"/>
          <w:sz w:val="20"/>
          <w:szCs w:val="20"/>
          <w:rtl/>
        </w:rPr>
        <w:t xml:space="preserve"> פסקי הדין המנחים בשאלת התחולה, תוך אבחנה בשאלת הנחרצות בין שוויון לחופש דת.</w:t>
      </w:r>
    </w:p>
    <w:p w:rsidR="00EE5C27" w:rsidRPr="00EE5C27" w:rsidRDefault="00EE5C27" w:rsidP="00EE5C27">
      <w:pPr>
        <w:rPr>
          <w:rFonts w:cs="Guttman Yad" w:hint="cs"/>
          <w:sz w:val="20"/>
          <w:szCs w:val="20"/>
          <w:rtl/>
        </w:rPr>
      </w:pPr>
    </w:p>
    <w:p w:rsidR="00EE5C27" w:rsidRPr="00EE5C27" w:rsidRDefault="00EE5C27" w:rsidP="00EE5C27">
      <w:pPr>
        <w:numPr>
          <w:ilvl w:val="0"/>
          <w:numId w:val="18"/>
        </w:numPr>
        <w:rPr>
          <w:rFonts w:cs="Guttman Yad" w:hint="cs"/>
          <w:sz w:val="20"/>
          <w:szCs w:val="20"/>
        </w:rPr>
      </w:pPr>
      <w:r w:rsidRPr="00EE5C27">
        <w:rPr>
          <w:rFonts w:cs="Guttman Yad" w:hint="cs"/>
          <w:sz w:val="20"/>
          <w:szCs w:val="20"/>
          <w:rtl/>
        </w:rPr>
        <w:t>איזון, בהנחה שניתן לתקוף:</w:t>
      </w:r>
    </w:p>
    <w:p w:rsidR="00EE5C27" w:rsidRPr="00EE5C27" w:rsidRDefault="00EE5C27" w:rsidP="00EE5C27">
      <w:pPr>
        <w:numPr>
          <w:ilvl w:val="0"/>
          <w:numId w:val="19"/>
        </w:numPr>
        <w:rPr>
          <w:rFonts w:cs="Guttman Yad" w:hint="cs"/>
          <w:sz w:val="20"/>
          <w:szCs w:val="20"/>
          <w:rtl/>
        </w:rPr>
      </w:pPr>
      <w:r w:rsidRPr="00EE5C27">
        <w:rPr>
          <w:rFonts w:cs="Guttman Yad" w:hint="cs"/>
          <w:sz w:val="20"/>
          <w:szCs w:val="20"/>
          <w:rtl/>
        </w:rPr>
        <w:t>דיון (חוזר) בשאלת התכלית.</w:t>
      </w:r>
    </w:p>
    <w:p w:rsidR="00EE5C27" w:rsidRPr="00EE5C27" w:rsidRDefault="00EE5C27" w:rsidP="00EE5C27">
      <w:pPr>
        <w:numPr>
          <w:ilvl w:val="0"/>
          <w:numId w:val="19"/>
        </w:numPr>
        <w:rPr>
          <w:rFonts w:cs="Guttman Yad" w:hint="cs"/>
          <w:sz w:val="20"/>
          <w:szCs w:val="20"/>
          <w:rtl/>
        </w:rPr>
      </w:pPr>
      <w:r w:rsidRPr="00EE5C27">
        <w:rPr>
          <w:rFonts w:cs="Guttman Yad" w:hint="cs"/>
          <w:sz w:val="20"/>
          <w:szCs w:val="20"/>
          <w:rtl/>
        </w:rPr>
        <w:t xml:space="preserve">בהנחה שהתכלית ראויה, הפעלה מדויקת של מבחני המידתיות. קשר אמצעי מטרה ודאי שיש כאן והדיון יתמקד בשני המבחנים האחרים. רצוי לבחון את האפשרות לעריכת איזון אופקי מלא, אם במסגרת מבחן המשנה השני כהצעתי ואם במסגרת מבחן המשנה השלישי, כהצעת ברק. </w:t>
      </w:r>
    </w:p>
    <w:p w:rsidR="00EE5C27" w:rsidRPr="00D25356" w:rsidRDefault="00EE5C27" w:rsidP="00D762EA">
      <w:pPr>
        <w:spacing w:line="295" w:lineRule="exact"/>
        <w:jc w:val="both"/>
        <w:rPr>
          <w:rFonts w:cs="Times New Roman" w:hint="cs"/>
        </w:rPr>
      </w:pPr>
    </w:p>
    <w:p w:rsidR="00834430" w:rsidRPr="00D762EA" w:rsidRDefault="00834430" w:rsidP="00675CB0">
      <w:pPr>
        <w:rPr>
          <w:rFonts w:cs="Times New Roman" w:hint="cs"/>
          <w:rtl/>
        </w:rPr>
      </w:pPr>
    </w:p>
    <w:p w:rsidR="00BD4810" w:rsidRDefault="00BD4810" w:rsidP="00DA112D">
      <w:pPr>
        <w:rPr>
          <w:rFonts w:cs="Times New Roman" w:hint="cs"/>
          <w:rtl/>
        </w:rPr>
      </w:pPr>
      <w:r w:rsidRPr="00FB39C2">
        <w:rPr>
          <w:rFonts w:cs="Times New Roman"/>
          <w:u w:val="single"/>
          <w:rtl/>
        </w:rPr>
        <w:t xml:space="preserve">שאלה </w:t>
      </w:r>
      <w:proofErr w:type="spellStart"/>
      <w:r w:rsidRPr="00FB39C2">
        <w:rPr>
          <w:rFonts w:cs="Times New Roman"/>
          <w:u w:val="single"/>
          <w:rtl/>
        </w:rPr>
        <w:t>שניה</w:t>
      </w:r>
      <w:proofErr w:type="spellEnd"/>
      <w:r w:rsidRPr="00FB39C2">
        <w:rPr>
          <w:rFonts w:cs="Times New Roman"/>
          <w:u w:val="single"/>
          <w:rtl/>
        </w:rPr>
        <w:t xml:space="preserve"> </w:t>
      </w:r>
      <w:r w:rsidRPr="00FB39C2">
        <w:rPr>
          <w:rFonts w:cs="Times New Roman"/>
          <w:rtl/>
        </w:rPr>
        <w:t>(15 נקודות – מקסימום עמוד)</w:t>
      </w:r>
    </w:p>
    <w:p w:rsidR="00283400" w:rsidRDefault="00283400" w:rsidP="00DA112D">
      <w:pPr>
        <w:rPr>
          <w:rFonts w:cs="Times New Roman" w:hint="cs"/>
          <w:rtl/>
        </w:rPr>
      </w:pPr>
      <w:r>
        <w:rPr>
          <w:rFonts w:cs="Times New Roman" w:hint="cs"/>
          <w:rtl/>
        </w:rPr>
        <w:t>סעיף 63א לחוק הבחירות לכנסת [נוסח משולב] קובע כדלקמן:</w:t>
      </w:r>
    </w:p>
    <w:p w:rsidR="00283400" w:rsidRPr="00283400" w:rsidRDefault="00283400" w:rsidP="00283400">
      <w:pPr>
        <w:pStyle w:val="P00"/>
        <w:spacing w:before="0"/>
        <w:ind w:left="624"/>
        <w:rPr>
          <w:rStyle w:val="default"/>
          <w:sz w:val="24"/>
          <w:szCs w:val="24"/>
          <w:rtl/>
        </w:rPr>
      </w:pPr>
      <w:r w:rsidRPr="00283400">
        <w:rPr>
          <w:sz w:val="24"/>
          <w:szCs w:val="24"/>
          <w:rtl/>
          <w:lang w:val="he-IL"/>
        </w:rPr>
        <w:pict>
          <v:shapetype id="_x0000_t202" coordsize="21600,21600" o:spt="202" path="m,l,21600r21600,l21600,xe">
            <v:stroke joinstyle="miter"/>
            <v:path gradientshapeok="t" o:connecttype="rect"/>
          </v:shapetype>
          <v:shape id="_x0000_s1026" type="#_x0000_t202" style="position:absolute;left:0;text-align:left;margin-left:470.7pt;margin-top:7.1pt;width:1in;height:42pt;z-index:251657216" filled="f" stroked="f">
            <v:textbox style="mso-next-textbox:#_x0000_s1026" inset="1mm,0,1mm,0">
              <w:txbxContent>
                <w:p w:rsidR="00283400" w:rsidRPr="00990724" w:rsidRDefault="00283400" w:rsidP="00990724">
                  <w:pPr>
                    <w:rPr>
                      <w:rFonts w:hint="cs"/>
                      <w:sz w:val="18"/>
                      <w:rtl/>
                    </w:rPr>
                  </w:pPr>
                </w:p>
              </w:txbxContent>
            </v:textbox>
            <w10:anchorlock/>
          </v:shape>
        </w:pict>
      </w:r>
      <w:r w:rsidRPr="00283400">
        <w:rPr>
          <w:rStyle w:val="default"/>
          <w:sz w:val="24"/>
          <w:szCs w:val="24"/>
          <w:rtl/>
        </w:rPr>
        <w:t>63א.</w:t>
      </w:r>
      <w:r w:rsidRPr="00283400">
        <w:rPr>
          <w:rStyle w:val="default"/>
          <w:sz w:val="24"/>
          <w:szCs w:val="24"/>
          <w:rtl/>
        </w:rPr>
        <w:tab/>
        <w:t>(א)</w:t>
      </w:r>
      <w:r w:rsidRPr="00283400">
        <w:rPr>
          <w:rStyle w:val="default"/>
          <w:sz w:val="24"/>
          <w:szCs w:val="24"/>
          <w:rtl/>
        </w:rPr>
        <w:tab/>
        <w:t>בקשה לקבוע כי מועמד מנוע מלהשתתף בבחירות לכנסת לפי סעיף 7א לחוק-יסוד: הכנסת, תיחתם בידי שליש מחברי הועדה המרכזית ותוגש לועדה המרכזית לא יאוחר משבעה ימים מיום הגשת רשימת המועמדים הכוללת את שם המועמד; החלטת הועדה לפי סעיף קטן זה תינתן לא יאוחר מהיום ה-25 שלפני יום הבחירות.</w:t>
      </w:r>
    </w:p>
    <w:p w:rsidR="00283400" w:rsidRPr="00283400" w:rsidRDefault="00283400" w:rsidP="00283400">
      <w:pPr>
        <w:pStyle w:val="P00"/>
        <w:spacing w:before="0"/>
        <w:ind w:left="624"/>
        <w:rPr>
          <w:rStyle w:val="default"/>
          <w:sz w:val="24"/>
          <w:szCs w:val="24"/>
          <w:rtl/>
        </w:rPr>
      </w:pPr>
      <w:r w:rsidRPr="00283400">
        <w:rPr>
          <w:rStyle w:val="default"/>
          <w:sz w:val="24"/>
          <w:szCs w:val="24"/>
          <w:rtl/>
        </w:rPr>
        <w:tab/>
        <w:t>(ב)</w:t>
      </w:r>
      <w:r w:rsidRPr="00283400">
        <w:rPr>
          <w:rStyle w:val="default"/>
          <w:sz w:val="24"/>
          <w:szCs w:val="24"/>
          <w:rtl/>
        </w:rPr>
        <w:tab/>
        <w:t>החליטה הועדה המרכזית כי מועמד מנוע מלהשתתף בבחירות לכנסת לפי סעיף 7א לחוק-יסוד: הכנסת, תודיע על כך למועמד ותעביר מיד את החלטתה ונימוקיה לאישור בית המשפט העליון.</w:t>
      </w:r>
    </w:p>
    <w:p w:rsidR="00283400" w:rsidRPr="00283400" w:rsidRDefault="00283400" w:rsidP="00283400">
      <w:pPr>
        <w:pStyle w:val="P00"/>
        <w:spacing w:before="0"/>
        <w:ind w:left="624"/>
        <w:rPr>
          <w:rStyle w:val="default"/>
          <w:sz w:val="24"/>
          <w:szCs w:val="24"/>
          <w:rtl/>
        </w:rPr>
      </w:pPr>
      <w:r w:rsidRPr="00283400">
        <w:rPr>
          <w:rStyle w:val="default"/>
          <w:sz w:val="24"/>
          <w:szCs w:val="24"/>
          <w:rtl/>
        </w:rPr>
        <w:tab/>
        <w:t xml:space="preserve">. . . . . </w:t>
      </w:r>
    </w:p>
    <w:p w:rsidR="00283400" w:rsidRPr="00283400" w:rsidRDefault="00283400" w:rsidP="00E53262">
      <w:pPr>
        <w:pStyle w:val="P00"/>
        <w:spacing w:before="0" w:after="120"/>
        <w:ind w:left="624"/>
        <w:rPr>
          <w:rStyle w:val="default"/>
          <w:sz w:val="24"/>
          <w:szCs w:val="24"/>
          <w:rtl/>
        </w:rPr>
      </w:pPr>
      <w:r w:rsidRPr="00283400">
        <w:rPr>
          <w:sz w:val="24"/>
          <w:szCs w:val="24"/>
          <w:rtl/>
          <w:lang w:val="he-IL"/>
        </w:rPr>
        <w:pict>
          <v:shape id="_x0000_s1027" type="#_x0000_t202" style="position:absolute;left:0;text-align:left;margin-left:470.7pt;margin-top:7.65pt;width:1in;height:18pt;z-index:251658240" filled="f" stroked="f">
            <v:textbox style="mso-next-textbox:#_x0000_s1027" inset="1mm,0,1mm,0">
              <w:txbxContent>
                <w:p w:rsidR="00283400" w:rsidRDefault="00283400" w:rsidP="00990724">
                  <w:pPr>
                    <w:spacing w:line="160" w:lineRule="exact"/>
                    <w:rPr>
                      <w:rFonts w:hint="cs"/>
                      <w:sz w:val="18"/>
                      <w:szCs w:val="18"/>
                      <w:rtl/>
                    </w:rPr>
                  </w:pPr>
                  <w:r>
                    <w:rPr>
                      <w:rFonts w:hint="cs"/>
                      <w:sz w:val="18"/>
                      <w:szCs w:val="18"/>
                      <w:rtl/>
                    </w:rPr>
                    <w:t>(</w:t>
                  </w:r>
                </w:p>
              </w:txbxContent>
            </v:textbox>
            <w10:anchorlock/>
          </v:shape>
        </w:pict>
      </w:r>
      <w:r w:rsidRPr="00283400">
        <w:rPr>
          <w:rStyle w:val="default"/>
          <w:sz w:val="24"/>
          <w:szCs w:val="24"/>
          <w:rtl/>
        </w:rPr>
        <w:tab/>
        <w:t>(ה)</w:t>
      </w:r>
      <w:r w:rsidRPr="00283400">
        <w:rPr>
          <w:rStyle w:val="default"/>
          <w:sz w:val="24"/>
          <w:szCs w:val="24"/>
          <w:rtl/>
        </w:rPr>
        <w:tab/>
        <w:t>בהליך של אישור החלטת הועדה המרכזית לפי סעיף קטן (ב) . . . ידון בית המשפט העליון בתשעה שופטים או במספר בלתי זוגי גדול יותר, כפי שיורה נשיא בית המשפט העליון . . .</w:t>
      </w:r>
    </w:p>
    <w:p w:rsidR="00283400" w:rsidRDefault="00283400" w:rsidP="00E53262">
      <w:pPr>
        <w:pStyle w:val="P00"/>
        <w:spacing w:before="0"/>
        <w:ind w:left="0"/>
        <w:rPr>
          <w:rStyle w:val="default"/>
          <w:rFonts w:hint="cs"/>
          <w:sz w:val="24"/>
          <w:szCs w:val="24"/>
          <w:rtl/>
        </w:rPr>
      </w:pPr>
      <w:r>
        <w:rPr>
          <w:rStyle w:val="default"/>
          <w:rFonts w:hint="cs"/>
          <w:sz w:val="24"/>
          <w:szCs w:val="24"/>
          <w:rtl/>
        </w:rPr>
        <w:t>א. סעיפים (ב) ו(ה) קובעים שני חריגים לאופן הפעולה הרגיל של בית המשפט. מהם?</w:t>
      </w:r>
    </w:p>
    <w:p w:rsidR="00412621" w:rsidRPr="00412621" w:rsidRDefault="00412621" w:rsidP="00885EEF">
      <w:pPr>
        <w:pStyle w:val="P00"/>
        <w:spacing w:before="0"/>
        <w:ind w:left="0"/>
        <w:rPr>
          <w:rStyle w:val="default"/>
          <w:rFonts w:cs="Guttman Yad" w:hint="cs"/>
          <w:sz w:val="20"/>
          <w:szCs w:val="20"/>
          <w:rtl/>
        </w:rPr>
      </w:pPr>
      <w:r w:rsidRPr="00412621">
        <w:rPr>
          <w:rStyle w:val="default"/>
          <w:rFonts w:cs="Guttman Yad" w:hint="cs"/>
          <w:sz w:val="20"/>
          <w:szCs w:val="20"/>
          <w:rtl/>
        </w:rPr>
        <w:t>סעיף ב - אישור להבדיל מערעור</w:t>
      </w:r>
      <w:r w:rsidR="009B10C9">
        <w:rPr>
          <w:rStyle w:val="default"/>
          <w:rFonts w:cs="Guttman Yad" w:hint="cs"/>
          <w:sz w:val="20"/>
          <w:szCs w:val="20"/>
          <w:rtl/>
        </w:rPr>
        <w:t xml:space="preserve"> </w:t>
      </w:r>
      <w:r w:rsidR="009B10C9">
        <w:rPr>
          <w:rStyle w:val="default"/>
          <w:rFonts w:cs="Guttman Yad"/>
          <w:sz w:val="20"/>
          <w:szCs w:val="20"/>
          <w:rtl/>
        </w:rPr>
        <w:t>–</w:t>
      </w:r>
      <w:r w:rsidR="009B10C9">
        <w:rPr>
          <w:rStyle w:val="default"/>
          <w:rFonts w:cs="Guttman Yad" w:hint="cs"/>
          <w:sz w:val="20"/>
          <w:szCs w:val="20"/>
          <w:rtl/>
        </w:rPr>
        <w:t xml:space="preserve"> תוך הסבר המשמעות (</w:t>
      </w:r>
      <w:r w:rsidR="00885EEF">
        <w:rPr>
          <w:rStyle w:val="default"/>
          <w:rFonts w:cs="Guttman Yad" w:hint="cs"/>
          <w:sz w:val="20"/>
          <w:szCs w:val="20"/>
          <w:rtl/>
        </w:rPr>
        <w:t>1. דיון אוטומטי</w:t>
      </w:r>
      <w:r w:rsidR="009B10C9">
        <w:rPr>
          <w:rStyle w:val="default"/>
          <w:rFonts w:cs="Guttman Yad" w:hint="cs"/>
          <w:sz w:val="20"/>
          <w:szCs w:val="20"/>
          <w:rtl/>
        </w:rPr>
        <w:t xml:space="preserve"> ולא תלוי ערעור. </w:t>
      </w:r>
      <w:r w:rsidR="00885EEF">
        <w:rPr>
          <w:rStyle w:val="default"/>
          <w:rFonts w:cs="Guttman Yad" w:hint="cs"/>
          <w:sz w:val="20"/>
          <w:szCs w:val="20"/>
          <w:rtl/>
        </w:rPr>
        <w:t xml:space="preserve">2. </w:t>
      </w:r>
      <w:r w:rsidR="009B10C9">
        <w:rPr>
          <w:rStyle w:val="default"/>
          <w:rFonts w:cs="Guttman Yad" w:hint="cs"/>
          <w:sz w:val="20"/>
          <w:szCs w:val="20"/>
          <w:rtl/>
        </w:rPr>
        <w:t>ביהמ"ש נדרש להפעיל שק"ד עצמאי ולא בוחן רק סבירות</w:t>
      </w:r>
      <w:r w:rsidR="00885EEF">
        <w:rPr>
          <w:rStyle w:val="default"/>
          <w:rFonts w:cs="Guttman Yad" w:hint="cs"/>
          <w:sz w:val="20"/>
          <w:szCs w:val="20"/>
          <w:rtl/>
        </w:rPr>
        <w:t>)</w:t>
      </w:r>
      <w:r w:rsidRPr="00412621">
        <w:rPr>
          <w:rStyle w:val="default"/>
          <w:rFonts w:cs="Guttman Yad" w:hint="cs"/>
          <w:sz w:val="20"/>
          <w:szCs w:val="20"/>
          <w:rtl/>
        </w:rPr>
        <w:t xml:space="preserve">; סעיף ה </w:t>
      </w:r>
      <w:r w:rsidRPr="00412621">
        <w:rPr>
          <w:rStyle w:val="default"/>
          <w:rFonts w:cs="Guttman Yad"/>
          <w:sz w:val="20"/>
          <w:szCs w:val="20"/>
          <w:rtl/>
        </w:rPr>
        <w:t>–</w:t>
      </w:r>
      <w:r w:rsidRPr="00412621">
        <w:rPr>
          <w:rStyle w:val="default"/>
          <w:rFonts w:cs="Guttman Yad" w:hint="cs"/>
          <w:sz w:val="20"/>
          <w:szCs w:val="20"/>
          <w:rtl/>
        </w:rPr>
        <w:t xml:space="preserve"> הרכב של לפחות תשעה, להבדיל משלושה במקרים רגילים.</w:t>
      </w:r>
    </w:p>
    <w:p w:rsidR="00D762EA" w:rsidRDefault="00283400" w:rsidP="008D6F4D">
      <w:pPr>
        <w:pStyle w:val="P00"/>
        <w:spacing w:before="0"/>
        <w:ind w:left="0"/>
        <w:rPr>
          <w:rFonts w:hint="cs"/>
          <w:sz w:val="24"/>
          <w:szCs w:val="24"/>
          <w:rtl/>
        </w:rPr>
      </w:pPr>
      <w:r>
        <w:rPr>
          <w:rStyle w:val="default"/>
          <w:rFonts w:hint="cs"/>
          <w:sz w:val="24"/>
          <w:szCs w:val="24"/>
          <w:rtl/>
        </w:rPr>
        <w:t xml:space="preserve">ב. </w:t>
      </w:r>
      <w:r w:rsidRPr="00283400">
        <w:rPr>
          <w:rStyle w:val="default"/>
          <w:sz w:val="24"/>
          <w:szCs w:val="24"/>
          <w:rtl/>
        </w:rPr>
        <w:t xml:space="preserve">חווה דעתך </w:t>
      </w:r>
      <w:r>
        <w:rPr>
          <w:rStyle w:val="default"/>
          <w:rFonts w:hint="cs"/>
          <w:sz w:val="24"/>
          <w:szCs w:val="24"/>
          <w:rtl/>
        </w:rPr>
        <w:t xml:space="preserve">ביחס לשני החריגים. האם </w:t>
      </w:r>
      <w:r w:rsidR="00E53262">
        <w:rPr>
          <w:rStyle w:val="default"/>
          <w:rFonts w:hint="cs"/>
          <w:sz w:val="24"/>
          <w:szCs w:val="24"/>
          <w:rtl/>
        </w:rPr>
        <w:t>יש להם הצדקה</w:t>
      </w:r>
      <w:r>
        <w:rPr>
          <w:rStyle w:val="default"/>
          <w:rFonts w:hint="cs"/>
          <w:sz w:val="24"/>
          <w:szCs w:val="24"/>
          <w:rtl/>
        </w:rPr>
        <w:t>?</w:t>
      </w:r>
    </w:p>
    <w:p w:rsidR="00412621" w:rsidRPr="00412621" w:rsidRDefault="00412621" w:rsidP="004A6BF3">
      <w:pPr>
        <w:pStyle w:val="P00"/>
        <w:spacing w:before="0"/>
        <w:ind w:left="0"/>
        <w:rPr>
          <w:rFonts w:cs="Guttman Yad" w:hint="cs"/>
          <w:szCs w:val="20"/>
          <w:rtl/>
        </w:rPr>
      </w:pPr>
      <w:r w:rsidRPr="00412621">
        <w:rPr>
          <w:rFonts w:cs="Guttman Yad" w:hint="cs"/>
          <w:szCs w:val="20"/>
          <w:rtl/>
        </w:rPr>
        <w:lastRenderedPageBreak/>
        <w:t xml:space="preserve">דיון חופשי שיתמקד </w:t>
      </w:r>
      <w:r w:rsidRPr="00412621">
        <w:rPr>
          <w:rFonts w:cs="Guttman Yad"/>
          <w:szCs w:val="20"/>
          <w:rtl/>
        </w:rPr>
        <w:t>–</w:t>
      </w:r>
      <w:r w:rsidRPr="00412621">
        <w:rPr>
          <w:rFonts w:cs="Guttman Yad" w:hint="cs"/>
          <w:szCs w:val="20"/>
          <w:rtl/>
        </w:rPr>
        <w:t xml:space="preserve"> בין היתר - בהבעת עמדה ביחס לתפקידו הראוי של בית המשפט בכלל; ביחס לתפקידו הראוי בהקשר של בחירות </w:t>
      </w:r>
      <w:r w:rsidRPr="00412621">
        <w:rPr>
          <w:rFonts w:cs="Guttman Yad"/>
          <w:szCs w:val="20"/>
          <w:rtl/>
        </w:rPr>
        <w:t>–</w:t>
      </w:r>
      <w:r w:rsidRPr="00412621">
        <w:rPr>
          <w:rFonts w:cs="Guttman Yad" w:hint="cs"/>
          <w:szCs w:val="20"/>
          <w:rtl/>
        </w:rPr>
        <w:t xml:space="preserve"> תוך התייחסות לזכויות הנפגעות; במבנה הפוליטי של ועדת הבחירות והבעייתיות הנעוצה בו; </w:t>
      </w:r>
      <w:r w:rsidR="004A6BF3">
        <w:rPr>
          <w:rFonts w:cs="Guttman Yad" w:hint="cs"/>
          <w:szCs w:val="20"/>
          <w:rtl/>
        </w:rPr>
        <w:t xml:space="preserve">ביחס להיעדר הליך אישור בפסילת רשימה (אלא רק בפסילת מועמד); </w:t>
      </w:r>
      <w:r w:rsidRPr="00412621">
        <w:rPr>
          <w:rFonts w:cs="Guttman Yad" w:hint="cs"/>
          <w:szCs w:val="20"/>
          <w:rtl/>
        </w:rPr>
        <w:t>ביחס לבעייתיות שבשיטת ההרכבים; ביחס למגמה הכללית של בג"צ בשנים האחרונות להרחיב הרכב בשאלות קרדינליות.</w:t>
      </w:r>
    </w:p>
    <w:sectPr w:rsidR="00412621" w:rsidRPr="00412621" w:rsidSect="00BC3EF3">
      <w:pgSz w:w="11906" w:h="16838"/>
      <w:pgMar w:top="964" w:right="964" w:bottom="964" w:left="964" w:header="720" w:footer="720" w:gutter="0"/>
      <w:cols w:space="720"/>
      <w:bidi/>
      <w:rtlGutter/>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AFF" w:usb1="C000605B" w:usb2="00000029" w:usb3="00000000" w:csb0="000101FF" w:csb1="00000000"/>
  </w:font>
  <w:font w:name="Arial TUR">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DavidFix">
    <w:charset w:val="B1"/>
    <w:family w:val="auto"/>
    <w:pitch w:val="variable"/>
    <w:sig w:usb0="00001801" w:usb1="00000000" w:usb2="00000000" w:usb3="00000000" w:csb0="00000020" w:csb1="00000000"/>
  </w:font>
  <w:font w:name="Guttman Yad">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F2EFD"/>
    <w:multiLevelType w:val="hybridMultilevel"/>
    <w:tmpl w:val="F698B002"/>
    <w:lvl w:ilvl="0" w:tplc="A0EC07FE">
      <w:start w:val="1"/>
      <w:numFmt w:val="hebrew1"/>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54D15BE"/>
    <w:multiLevelType w:val="hybridMultilevel"/>
    <w:tmpl w:val="AA7A89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5F07752"/>
    <w:multiLevelType w:val="hybridMultilevel"/>
    <w:tmpl w:val="1B783FC0"/>
    <w:lvl w:ilvl="0" w:tplc="436AD034">
      <w:start w:val="1"/>
      <w:numFmt w:val="hebrew1"/>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A1F6D6B"/>
    <w:multiLevelType w:val="hybridMultilevel"/>
    <w:tmpl w:val="00DAFA3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F86B53"/>
    <w:multiLevelType w:val="hybridMultilevel"/>
    <w:tmpl w:val="4EB27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4A7B25"/>
    <w:multiLevelType w:val="hybridMultilevel"/>
    <w:tmpl w:val="F57C5E06"/>
    <w:lvl w:ilvl="0" w:tplc="8F0AD722">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EDC7475"/>
    <w:multiLevelType w:val="hybridMultilevel"/>
    <w:tmpl w:val="5BA8C8C2"/>
    <w:lvl w:ilvl="0" w:tplc="0409000F">
      <w:start w:val="1"/>
      <w:numFmt w:val="decimal"/>
      <w:lvlText w:val="%1."/>
      <w:lvlJc w:val="left"/>
      <w:pPr>
        <w:tabs>
          <w:tab w:val="num" w:pos="360"/>
        </w:tabs>
        <w:ind w:left="360" w:hanging="360"/>
      </w:pPr>
      <w:rPr>
        <w:rFonts w:hint="default"/>
      </w:rPr>
    </w:lvl>
    <w:lvl w:ilvl="1" w:tplc="403A6926">
      <w:start w:val="1"/>
      <w:numFmt w:val="hebrew1"/>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3FA31FE"/>
    <w:multiLevelType w:val="hybridMultilevel"/>
    <w:tmpl w:val="51A6B5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4655666"/>
    <w:multiLevelType w:val="hybridMultilevel"/>
    <w:tmpl w:val="EEA0F6F4"/>
    <w:lvl w:ilvl="0" w:tplc="436AD034">
      <w:start w:val="1"/>
      <w:numFmt w:val="hebrew1"/>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45225FD7"/>
    <w:multiLevelType w:val="hybridMultilevel"/>
    <w:tmpl w:val="1444D996"/>
    <w:lvl w:ilvl="0" w:tplc="436AD034">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7AA1A86"/>
    <w:multiLevelType w:val="hybridMultilevel"/>
    <w:tmpl w:val="C64E360E"/>
    <w:lvl w:ilvl="0" w:tplc="0409000F">
      <w:start w:val="1"/>
      <w:numFmt w:val="decimal"/>
      <w:lvlText w:val="%1."/>
      <w:lvlJc w:val="left"/>
      <w:pPr>
        <w:tabs>
          <w:tab w:val="num" w:pos="720"/>
        </w:tabs>
        <w:ind w:left="720" w:hanging="360"/>
      </w:pPr>
    </w:lvl>
    <w:lvl w:ilvl="1" w:tplc="20BAFA18">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3622FA0"/>
    <w:multiLevelType w:val="hybridMultilevel"/>
    <w:tmpl w:val="D5F82DE8"/>
    <w:lvl w:ilvl="0" w:tplc="0C16135A">
      <w:start w:val="1"/>
      <w:numFmt w:val="hebrew1"/>
      <w:lvlText w:val="%1."/>
      <w:lvlJc w:val="left"/>
      <w:pPr>
        <w:tabs>
          <w:tab w:val="num" w:pos="720"/>
        </w:tabs>
        <w:ind w:left="720" w:hanging="360"/>
      </w:pPr>
      <w:rPr>
        <w:rFonts w:hint="default"/>
      </w:rPr>
    </w:lvl>
    <w:lvl w:ilvl="1" w:tplc="48148D6C">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90E3FC8"/>
    <w:multiLevelType w:val="hybridMultilevel"/>
    <w:tmpl w:val="AB70782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65DE4C07"/>
    <w:multiLevelType w:val="hybridMultilevel"/>
    <w:tmpl w:val="D666ABCA"/>
    <w:lvl w:ilvl="0" w:tplc="436AD034">
      <w:start w:val="1"/>
      <w:numFmt w:val="hebrew1"/>
      <w:lvlText w:val="%1."/>
      <w:lvlJc w:val="left"/>
      <w:pPr>
        <w:tabs>
          <w:tab w:val="num" w:pos="-708"/>
        </w:tabs>
        <w:ind w:left="-708" w:hanging="360"/>
      </w:pPr>
      <w:rPr>
        <w:rFonts w:hint="default"/>
      </w:rPr>
    </w:lvl>
    <w:lvl w:ilvl="1" w:tplc="04090019" w:tentative="1">
      <w:start w:val="1"/>
      <w:numFmt w:val="lowerLetter"/>
      <w:lvlText w:val="%2."/>
      <w:lvlJc w:val="left"/>
      <w:pPr>
        <w:tabs>
          <w:tab w:val="num" w:pos="12"/>
        </w:tabs>
        <w:ind w:left="12" w:hanging="360"/>
      </w:pPr>
    </w:lvl>
    <w:lvl w:ilvl="2" w:tplc="0409001B" w:tentative="1">
      <w:start w:val="1"/>
      <w:numFmt w:val="lowerRoman"/>
      <w:lvlText w:val="%3."/>
      <w:lvlJc w:val="right"/>
      <w:pPr>
        <w:tabs>
          <w:tab w:val="num" w:pos="732"/>
        </w:tabs>
        <w:ind w:left="732" w:hanging="180"/>
      </w:pPr>
    </w:lvl>
    <w:lvl w:ilvl="3" w:tplc="0409000F" w:tentative="1">
      <w:start w:val="1"/>
      <w:numFmt w:val="decimal"/>
      <w:lvlText w:val="%4."/>
      <w:lvlJc w:val="left"/>
      <w:pPr>
        <w:tabs>
          <w:tab w:val="num" w:pos="1452"/>
        </w:tabs>
        <w:ind w:left="1452" w:hanging="360"/>
      </w:pPr>
    </w:lvl>
    <w:lvl w:ilvl="4" w:tplc="04090019" w:tentative="1">
      <w:start w:val="1"/>
      <w:numFmt w:val="lowerLetter"/>
      <w:lvlText w:val="%5."/>
      <w:lvlJc w:val="left"/>
      <w:pPr>
        <w:tabs>
          <w:tab w:val="num" w:pos="2172"/>
        </w:tabs>
        <w:ind w:left="2172" w:hanging="360"/>
      </w:pPr>
    </w:lvl>
    <w:lvl w:ilvl="5" w:tplc="0409001B" w:tentative="1">
      <w:start w:val="1"/>
      <w:numFmt w:val="lowerRoman"/>
      <w:lvlText w:val="%6."/>
      <w:lvlJc w:val="right"/>
      <w:pPr>
        <w:tabs>
          <w:tab w:val="num" w:pos="2892"/>
        </w:tabs>
        <w:ind w:left="2892" w:hanging="180"/>
      </w:pPr>
    </w:lvl>
    <w:lvl w:ilvl="6" w:tplc="0409000F" w:tentative="1">
      <w:start w:val="1"/>
      <w:numFmt w:val="decimal"/>
      <w:lvlText w:val="%7."/>
      <w:lvlJc w:val="left"/>
      <w:pPr>
        <w:tabs>
          <w:tab w:val="num" w:pos="3612"/>
        </w:tabs>
        <w:ind w:left="3612" w:hanging="360"/>
      </w:pPr>
    </w:lvl>
    <w:lvl w:ilvl="7" w:tplc="04090019" w:tentative="1">
      <w:start w:val="1"/>
      <w:numFmt w:val="lowerLetter"/>
      <w:lvlText w:val="%8."/>
      <w:lvlJc w:val="left"/>
      <w:pPr>
        <w:tabs>
          <w:tab w:val="num" w:pos="4332"/>
        </w:tabs>
        <w:ind w:left="4332" w:hanging="360"/>
      </w:pPr>
    </w:lvl>
    <w:lvl w:ilvl="8" w:tplc="0409001B" w:tentative="1">
      <w:start w:val="1"/>
      <w:numFmt w:val="lowerRoman"/>
      <w:lvlText w:val="%9."/>
      <w:lvlJc w:val="right"/>
      <w:pPr>
        <w:tabs>
          <w:tab w:val="num" w:pos="5052"/>
        </w:tabs>
        <w:ind w:left="5052" w:hanging="180"/>
      </w:pPr>
    </w:lvl>
  </w:abstractNum>
  <w:abstractNum w:abstractNumId="14">
    <w:nsid w:val="6872390A"/>
    <w:multiLevelType w:val="hybridMultilevel"/>
    <w:tmpl w:val="E51C24B2"/>
    <w:lvl w:ilvl="0" w:tplc="39D892C4">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8EB5385"/>
    <w:multiLevelType w:val="hybridMultilevel"/>
    <w:tmpl w:val="B33ED4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6AFB5CC0"/>
    <w:multiLevelType w:val="hybridMultilevel"/>
    <w:tmpl w:val="FE92E08E"/>
    <w:lvl w:ilvl="0" w:tplc="7B307ACC">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F655859"/>
    <w:multiLevelType w:val="hybridMultilevel"/>
    <w:tmpl w:val="4A307EE8"/>
    <w:lvl w:ilvl="0" w:tplc="BC6CEC2E">
      <w:start w:val="1"/>
      <w:numFmt w:val="hebrew1"/>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7A1F491B"/>
    <w:multiLevelType w:val="hybridMultilevel"/>
    <w:tmpl w:val="476A3C02"/>
    <w:lvl w:ilvl="0" w:tplc="592AFBFA">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D85222E"/>
    <w:multiLevelType w:val="hybridMultilevel"/>
    <w:tmpl w:val="B742DBE2"/>
    <w:lvl w:ilvl="0" w:tplc="CCBE4A38">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4"/>
  </w:num>
  <w:num w:numId="3">
    <w:abstractNumId w:val="18"/>
  </w:num>
  <w:num w:numId="4">
    <w:abstractNumId w:val="19"/>
  </w:num>
  <w:num w:numId="5">
    <w:abstractNumId w:val="15"/>
  </w:num>
  <w:num w:numId="6">
    <w:abstractNumId w:val="4"/>
  </w:num>
  <w:num w:numId="7">
    <w:abstractNumId w:val="17"/>
  </w:num>
  <w:num w:numId="8">
    <w:abstractNumId w:val="11"/>
  </w:num>
  <w:num w:numId="9">
    <w:abstractNumId w:val="5"/>
  </w:num>
  <w:num w:numId="10">
    <w:abstractNumId w:val="0"/>
  </w:num>
  <w:num w:numId="11">
    <w:abstractNumId w:val="13"/>
  </w:num>
  <w:num w:numId="12">
    <w:abstractNumId w:val="8"/>
  </w:num>
  <w:num w:numId="13">
    <w:abstractNumId w:val="2"/>
  </w:num>
  <w:num w:numId="14">
    <w:abstractNumId w:val="9"/>
  </w:num>
  <w:num w:numId="15">
    <w:abstractNumId w:val="1"/>
  </w:num>
  <w:num w:numId="16">
    <w:abstractNumId w:val="6"/>
  </w:num>
  <w:num w:numId="17">
    <w:abstractNumId w:val="3"/>
  </w:num>
  <w:num w:numId="18">
    <w:abstractNumId w:val="7"/>
  </w:num>
  <w:num w:numId="19">
    <w:abstractNumId w:val="12"/>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CE2184"/>
    <w:rsid w:val="00016345"/>
    <w:rsid w:val="00035D76"/>
    <w:rsid w:val="0004072C"/>
    <w:rsid w:val="00055F6A"/>
    <w:rsid w:val="00072414"/>
    <w:rsid w:val="00072C11"/>
    <w:rsid w:val="000A3245"/>
    <w:rsid w:val="000A48A8"/>
    <w:rsid w:val="000D63D2"/>
    <w:rsid w:val="001038D6"/>
    <w:rsid w:val="001057AA"/>
    <w:rsid w:val="001117AE"/>
    <w:rsid w:val="00117D0E"/>
    <w:rsid w:val="00141A63"/>
    <w:rsid w:val="0015642F"/>
    <w:rsid w:val="001657FC"/>
    <w:rsid w:val="00166804"/>
    <w:rsid w:val="00171A8F"/>
    <w:rsid w:val="00172378"/>
    <w:rsid w:val="00173415"/>
    <w:rsid w:val="00173DF0"/>
    <w:rsid w:val="0017492C"/>
    <w:rsid w:val="001C0224"/>
    <w:rsid w:val="001C34B6"/>
    <w:rsid w:val="001E79A7"/>
    <w:rsid w:val="001F6F97"/>
    <w:rsid w:val="002227D1"/>
    <w:rsid w:val="00231424"/>
    <w:rsid w:val="00235853"/>
    <w:rsid w:val="00236281"/>
    <w:rsid w:val="00251583"/>
    <w:rsid w:val="00260A4F"/>
    <w:rsid w:val="00270CB7"/>
    <w:rsid w:val="0027539B"/>
    <w:rsid w:val="00283400"/>
    <w:rsid w:val="00286177"/>
    <w:rsid w:val="002A1EEF"/>
    <w:rsid w:val="002A5D6A"/>
    <w:rsid w:val="002B068A"/>
    <w:rsid w:val="002B469D"/>
    <w:rsid w:val="002C0D64"/>
    <w:rsid w:val="002C5B2F"/>
    <w:rsid w:val="002D5923"/>
    <w:rsid w:val="002F17EF"/>
    <w:rsid w:val="002F5859"/>
    <w:rsid w:val="00303548"/>
    <w:rsid w:val="00305276"/>
    <w:rsid w:val="003109EC"/>
    <w:rsid w:val="00327039"/>
    <w:rsid w:val="00356BDC"/>
    <w:rsid w:val="00367B9B"/>
    <w:rsid w:val="003733FE"/>
    <w:rsid w:val="00374C2A"/>
    <w:rsid w:val="00376976"/>
    <w:rsid w:val="003856AF"/>
    <w:rsid w:val="003A6579"/>
    <w:rsid w:val="003B3E59"/>
    <w:rsid w:val="003B4736"/>
    <w:rsid w:val="003D11A4"/>
    <w:rsid w:val="003D504F"/>
    <w:rsid w:val="003E148B"/>
    <w:rsid w:val="003E1855"/>
    <w:rsid w:val="003E2153"/>
    <w:rsid w:val="00412621"/>
    <w:rsid w:val="004238F8"/>
    <w:rsid w:val="00423B37"/>
    <w:rsid w:val="00442B94"/>
    <w:rsid w:val="00456B78"/>
    <w:rsid w:val="004676D3"/>
    <w:rsid w:val="00467DAA"/>
    <w:rsid w:val="004774D7"/>
    <w:rsid w:val="00486F77"/>
    <w:rsid w:val="00495327"/>
    <w:rsid w:val="004960F1"/>
    <w:rsid w:val="004A6BF3"/>
    <w:rsid w:val="004C1BEB"/>
    <w:rsid w:val="004D7864"/>
    <w:rsid w:val="004F4513"/>
    <w:rsid w:val="004F4905"/>
    <w:rsid w:val="00501F68"/>
    <w:rsid w:val="005110C5"/>
    <w:rsid w:val="00511ABC"/>
    <w:rsid w:val="005227B8"/>
    <w:rsid w:val="00522DFA"/>
    <w:rsid w:val="005713F1"/>
    <w:rsid w:val="00592F96"/>
    <w:rsid w:val="00593663"/>
    <w:rsid w:val="005A3E8C"/>
    <w:rsid w:val="005A7588"/>
    <w:rsid w:val="005E5A50"/>
    <w:rsid w:val="006025BA"/>
    <w:rsid w:val="006117CD"/>
    <w:rsid w:val="00611BE5"/>
    <w:rsid w:val="0062455C"/>
    <w:rsid w:val="00635571"/>
    <w:rsid w:val="006579EA"/>
    <w:rsid w:val="00673F36"/>
    <w:rsid w:val="00675CB0"/>
    <w:rsid w:val="00676394"/>
    <w:rsid w:val="006772BF"/>
    <w:rsid w:val="00677492"/>
    <w:rsid w:val="00693C19"/>
    <w:rsid w:val="006B3024"/>
    <w:rsid w:val="006D1C0D"/>
    <w:rsid w:val="006E0B70"/>
    <w:rsid w:val="006F052C"/>
    <w:rsid w:val="006F4B5B"/>
    <w:rsid w:val="00711AFB"/>
    <w:rsid w:val="00730A3A"/>
    <w:rsid w:val="00730E55"/>
    <w:rsid w:val="007359A7"/>
    <w:rsid w:val="00745211"/>
    <w:rsid w:val="007556EE"/>
    <w:rsid w:val="007636BB"/>
    <w:rsid w:val="007776C4"/>
    <w:rsid w:val="00796EC2"/>
    <w:rsid w:val="007B2EF0"/>
    <w:rsid w:val="007C03CB"/>
    <w:rsid w:val="007C7AD3"/>
    <w:rsid w:val="007D38AC"/>
    <w:rsid w:val="007E4C37"/>
    <w:rsid w:val="007E6C68"/>
    <w:rsid w:val="007E75D3"/>
    <w:rsid w:val="0081117D"/>
    <w:rsid w:val="00822039"/>
    <w:rsid w:val="00822A5E"/>
    <w:rsid w:val="00827B81"/>
    <w:rsid w:val="00834430"/>
    <w:rsid w:val="008635EA"/>
    <w:rsid w:val="0086433B"/>
    <w:rsid w:val="00885EEF"/>
    <w:rsid w:val="00890A19"/>
    <w:rsid w:val="00897BF4"/>
    <w:rsid w:val="008B54D4"/>
    <w:rsid w:val="008B55D4"/>
    <w:rsid w:val="008C0374"/>
    <w:rsid w:val="008C03FD"/>
    <w:rsid w:val="008C6626"/>
    <w:rsid w:val="008D6F4D"/>
    <w:rsid w:val="008E6BB8"/>
    <w:rsid w:val="00911BFE"/>
    <w:rsid w:val="00923081"/>
    <w:rsid w:val="00931AC0"/>
    <w:rsid w:val="00950DBF"/>
    <w:rsid w:val="009817EE"/>
    <w:rsid w:val="00990724"/>
    <w:rsid w:val="00996A45"/>
    <w:rsid w:val="009B10C9"/>
    <w:rsid w:val="009B19EA"/>
    <w:rsid w:val="009B4C9B"/>
    <w:rsid w:val="009D20C8"/>
    <w:rsid w:val="009E383D"/>
    <w:rsid w:val="009E4C0B"/>
    <w:rsid w:val="009F2BD7"/>
    <w:rsid w:val="009F4314"/>
    <w:rsid w:val="00A10447"/>
    <w:rsid w:val="00A305E6"/>
    <w:rsid w:val="00A34E77"/>
    <w:rsid w:val="00A37536"/>
    <w:rsid w:val="00A51C29"/>
    <w:rsid w:val="00A76F18"/>
    <w:rsid w:val="00A820A7"/>
    <w:rsid w:val="00A84A4C"/>
    <w:rsid w:val="00A928B2"/>
    <w:rsid w:val="00AA117C"/>
    <w:rsid w:val="00AC171A"/>
    <w:rsid w:val="00AE04E1"/>
    <w:rsid w:val="00AF0F83"/>
    <w:rsid w:val="00AF4B18"/>
    <w:rsid w:val="00B07BAB"/>
    <w:rsid w:val="00B53634"/>
    <w:rsid w:val="00B65D9F"/>
    <w:rsid w:val="00B713A4"/>
    <w:rsid w:val="00B74E43"/>
    <w:rsid w:val="00B81553"/>
    <w:rsid w:val="00BB509B"/>
    <w:rsid w:val="00BC3EF3"/>
    <w:rsid w:val="00BD4810"/>
    <w:rsid w:val="00BE01A1"/>
    <w:rsid w:val="00BE2E49"/>
    <w:rsid w:val="00C53AB7"/>
    <w:rsid w:val="00C82A76"/>
    <w:rsid w:val="00CA140A"/>
    <w:rsid w:val="00CB0937"/>
    <w:rsid w:val="00CD65F3"/>
    <w:rsid w:val="00CE0694"/>
    <w:rsid w:val="00CE1E4C"/>
    <w:rsid w:val="00CE2184"/>
    <w:rsid w:val="00CE5FEA"/>
    <w:rsid w:val="00CF6223"/>
    <w:rsid w:val="00D00676"/>
    <w:rsid w:val="00D3282F"/>
    <w:rsid w:val="00D41E05"/>
    <w:rsid w:val="00D439D6"/>
    <w:rsid w:val="00D762EA"/>
    <w:rsid w:val="00D855CA"/>
    <w:rsid w:val="00DA112D"/>
    <w:rsid w:val="00DC33F2"/>
    <w:rsid w:val="00DD0C24"/>
    <w:rsid w:val="00DE7ABB"/>
    <w:rsid w:val="00E42FEF"/>
    <w:rsid w:val="00E44564"/>
    <w:rsid w:val="00E53262"/>
    <w:rsid w:val="00E61EDB"/>
    <w:rsid w:val="00E65637"/>
    <w:rsid w:val="00EB16F8"/>
    <w:rsid w:val="00EC7F62"/>
    <w:rsid w:val="00EE36DE"/>
    <w:rsid w:val="00EE5C27"/>
    <w:rsid w:val="00EF03F8"/>
    <w:rsid w:val="00F01187"/>
    <w:rsid w:val="00F026AF"/>
    <w:rsid w:val="00F07DCB"/>
    <w:rsid w:val="00F07EA3"/>
    <w:rsid w:val="00F103A4"/>
    <w:rsid w:val="00F12629"/>
    <w:rsid w:val="00F16A26"/>
    <w:rsid w:val="00F2019B"/>
    <w:rsid w:val="00F34020"/>
    <w:rsid w:val="00F42922"/>
    <w:rsid w:val="00FB39C2"/>
    <w:rsid w:val="00FB6C9D"/>
    <w:rsid w:val="00FC2E14"/>
    <w:rsid w:val="00FD2FC9"/>
    <w:rsid w:val="00FD354E"/>
    <w:rsid w:val="00FF082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rPr>
      <w:sz w:val="24"/>
      <w:szCs w:val="24"/>
    </w:rPr>
  </w:style>
  <w:style w:type="paragraph" w:styleId="1">
    <w:name w:val="heading 1"/>
    <w:basedOn w:val="a"/>
    <w:next w:val="a"/>
    <w:qFormat/>
    <w:pPr>
      <w:keepNext/>
      <w:spacing w:line="360" w:lineRule="auto"/>
      <w:outlineLvl w:val="0"/>
    </w:pPr>
    <w:rPr>
      <w:b/>
      <w:bCs/>
      <w:szCs w:val="28"/>
    </w:rPr>
  </w:style>
  <w:style w:type="paragraph" w:styleId="2">
    <w:name w:val="heading 2"/>
    <w:basedOn w:val="a"/>
    <w:next w:val="a"/>
    <w:qFormat/>
    <w:pPr>
      <w:keepNext/>
      <w:spacing w:line="360" w:lineRule="auto"/>
      <w:outlineLvl w:val="1"/>
    </w:pPr>
    <w:rPr>
      <w:u w:val="single"/>
    </w:rPr>
  </w:style>
  <w:style w:type="paragraph" w:styleId="3">
    <w:name w:val="heading 3"/>
    <w:basedOn w:val="a"/>
    <w:next w:val="a"/>
    <w:qFormat/>
    <w:pPr>
      <w:keepNext/>
      <w:spacing w:line="360" w:lineRule="auto"/>
      <w:outlineLvl w:val="2"/>
    </w:pPr>
    <w:rPr>
      <w:szCs w:val="28"/>
      <w:u w:val="single"/>
    </w:rPr>
  </w:style>
  <w:style w:type="paragraph" w:styleId="4">
    <w:name w:val="heading 4"/>
    <w:basedOn w:val="a"/>
    <w:next w:val="a"/>
    <w:qFormat/>
    <w:pPr>
      <w:keepNext/>
      <w:spacing w:line="360" w:lineRule="auto"/>
      <w:outlineLvl w:val="3"/>
    </w:pPr>
    <w:rPr>
      <w:b/>
      <w:bCs/>
      <w:szCs w:val="28"/>
      <w:u w:val="singl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pPr>
      <w:spacing w:line="360" w:lineRule="auto"/>
    </w:pPr>
    <w:rPr>
      <w:sz w:val="22"/>
    </w:rPr>
  </w:style>
  <w:style w:type="paragraph" w:styleId="a4">
    <w:name w:val="footer"/>
    <w:basedOn w:val="a"/>
    <w:rsid w:val="00DE7ABB"/>
    <w:pPr>
      <w:tabs>
        <w:tab w:val="center" w:pos="4153"/>
        <w:tab w:val="right" w:pos="8306"/>
      </w:tabs>
    </w:pPr>
  </w:style>
  <w:style w:type="paragraph" w:customStyle="1" w:styleId="a5">
    <w:name w:val="ציטוט"/>
    <w:basedOn w:val="a"/>
    <w:rsid w:val="00FF082A"/>
    <w:pPr>
      <w:overflowPunct w:val="0"/>
      <w:autoSpaceDE w:val="0"/>
      <w:autoSpaceDN w:val="0"/>
      <w:adjustRightInd w:val="0"/>
      <w:spacing w:line="360" w:lineRule="auto"/>
      <w:ind w:left="1701" w:right="1701"/>
      <w:jc w:val="both"/>
      <w:textAlignment w:val="baseline"/>
    </w:pPr>
    <w:rPr>
      <w:rFonts w:cs="David"/>
      <w:lang w:eastAsia="he-IL"/>
    </w:rPr>
  </w:style>
  <w:style w:type="paragraph" w:styleId="a6">
    <w:name w:val="footnote text"/>
    <w:basedOn w:val="a"/>
    <w:semiHidden/>
    <w:rsid w:val="001657FC"/>
    <w:rPr>
      <w:rFonts w:cs="Times New Roman"/>
      <w:sz w:val="20"/>
      <w:szCs w:val="20"/>
      <w:lang w:eastAsia="he-IL"/>
    </w:rPr>
  </w:style>
  <w:style w:type="character" w:styleId="a7">
    <w:name w:val="footnote reference"/>
    <w:basedOn w:val="a0"/>
    <w:semiHidden/>
    <w:rsid w:val="001657FC"/>
    <w:rPr>
      <w:rFonts w:cs="Times New Roman"/>
      <w:vertAlign w:val="superscript"/>
    </w:rPr>
  </w:style>
  <w:style w:type="paragraph" w:customStyle="1" w:styleId="a8">
    <w:name w:val="לשוןחוק"/>
    <w:rsid w:val="00303548"/>
    <w:pPr>
      <w:tabs>
        <w:tab w:val="left" w:pos="567"/>
        <w:tab w:val="left" w:pos="1134"/>
        <w:tab w:val="left" w:pos="1701"/>
      </w:tabs>
      <w:bidi/>
      <w:spacing w:line="360" w:lineRule="auto"/>
      <w:jc w:val="both"/>
    </w:pPr>
    <w:rPr>
      <w:rFonts w:cs="David"/>
      <w:szCs w:val="24"/>
      <w:lang w:eastAsia="he-IL"/>
    </w:rPr>
  </w:style>
  <w:style w:type="paragraph" w:customStyle="1" w:styleId="a9">
    <w:name w:val="כותרתחוק"/>
    <w:rsid w:val="00303548"/>
    <w:pPr>
      <w:bidi/>
      <w:spacing w:line="360" w:lineRule="auto"/>
    </w:pPr>
    <w:rPr>
      <w:rFonts w:cs="David"/>
      <w:bCs/>
      <w:lang w:eastAsia="he-IL"/>
    </w:rPr>
  </w:style>
  <w:style w:type="paragraph" w:styleId="aa">
    <w:name w:val="Balloon Text"/>
    <w:basedOn w:val="a"/>
    <w:semiHidden/>
    <w:rsid w:val="00923081"/>
    <w:rPr>
      <w:rFonts w:ascii="Tahoma" w:hAnsi="Tahoma" w:cs="Tahoma"/>
      <w:sz w:val="16"/>
      <w:szCs w:val="16"/>
    </w:rPr>
  </w:style>
  <w:style w:type="paragraph" w:customStyle="1" w:styleId="Ruller4">
    <w:name w:val="Ruller4"/>
    <w:basedOn w:val="a"/>
    <w:rsid w:val="0004072C"/>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customStyle="1" w:styleId="Ruller5">
    <w:name w:val="Ruller5"/>
    <w:basedOn w:val="a"/>
    <w:rsid w:val="0004072C"/>
    <w:pPr>
      <w:overflowPunct w:val="0"/>
      <w:autoSpaceDE w:val="0"/>
      <w:autoSpaceDN w:val="0"/>
      <w:adjustRightInd w:val="0"/>
      <w:ind w:left="1642" w:right="1282"/>
      <w:jc w:val="both"/>
    </w:pPr>
    <w:rPr>
      <w:rFonts w:ascii="Arial TUR" w:hAnsi="Arial TUR" w:cs="FrankRuehl"/>
      <w:spacing w:val="10"/>
      <w:sz w:val="22"/>
      <w:szCs w:val="28"/>
    </w:rPr>
  </w:style>
  <w:style w:type="paragraph" w:customStyle="1" w:styleId="40">
    <w:name w:val="סרגל4"/>
    <w:basedOn w:val="a"/>
    <w:rsid w:val="0004072C"/>
    <w:pPr>
      <w:tabs>
        <w:tab w:val="left" w:pos="800"/>
      </w:tabs>
      <w:overflowPunct w:val="0"/>
      <w:autoSpaceDE w:val="0"/>
      <w:autoSpaceDN w:val="0"/>
      <w:adjustRightInd w:val="0"/>
      <w:spacing w:line="480" w:lineRule="auto"/>
      <w:jc w:val="both"/>
    </w:pPr>
    <w:rPr>
      <w:rFonts w:ascii="Arial TUR" w:hAnsi="Arial TUR" w:cs="DavidFix"/>
      <w:sz w:val="22"/>
    </w:rPr>
  </w:style>
  <w:style w:type="character" w:styleId="Hyperlink">
    <w:name w:val="Hyperlink"/>
    <w:basedOn w:val="a0"/>
    <w:rsid w:val="00327039"/>
    <w:rPr>
      <w:rFonts w:cs="Times New Roman"/>
      <w:color w:val="0000FF"/>
      <w:u w:val="single"/>
    </w:rPr>
  </w:style>
  <w:style w:type="paragraph" w:customStyle="1" w:styleId="P00">
    <w:name w:val="P00"/>
    <w:rsid w:val="002834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Times New Roman"/>
      <w:noProof/>
      <w:szCs w:val="26"/>
      <w:lang w:eastAsia="he-IL"/>
    </w:rPr>
  </w:style>
  <w:style w:type="character" w:customStyle="1" w:styleId="default">
    <w:name w:val="default"/>
    <w:basedOn w:val="a0"/>
    <w:rsid w:val="00283400"/>
    <w:rPr>
      <w:rFonts w:ascii="Times New Roman" w:hAnsi="Times New Roman" w:cs="Times New Roman"/>
      <w:sz w:val="26"/>
      <w:szCs w:val="26"/>
    </w:rPr>
  </w:style>
  <w:style w:type="paragraph" w:customStyle="1" w:styleId="ab">
    <w:name w:val="כללי"/>
    <w:basedOn w:val="a"/>
    <w:rsid w:val="00E53262"/>
    <w:pPr>
      <w:overflowPunct w:val="0"/>
      <w:autoSpaceDE w:val="0"/>
      <w:autoSpaceDN w:val="0"/>
      <w:adjustRightInd w:val="0"/>
      <w:spacing w:after="240" w:line="290" w:lineRule="exact"/>
      <w:ind w:firstLine="284"/>
      <w:jc w:val="both"/>
      <w:textAlignment w:val="baseline"/>
    </w:pPr>
    <w:rPr>
      <w:rFonts w:cs="FrankRuehl"/>
      <w:sz w:val="20"/>
      <w:lang w:eastAsia="he-IL"/>
    </w:rPr>
  </w:style>
</w:styles>
</file>

<file path=word/webSettings.xml><?xml version="1.0" encoding="utf-8"?>
<w:webSettings xmlns:r="http://schemas.openxmlformats.org/officeDocument/2006/relationships" xmlns:w="http://schemas.openxmlformats.org/wordprocessingml/2006/main">
  <w:divs>
    <w:div w:id="384836004">
      <w:bodyDiv w:val="1"/>
      <w:marLeft w:val="0"/>
      <w:marRight w:val="0"/>
      <w:marTop w:val="0"/>
      <w:marBottom w:val="0"/>
      <w:divBdr>
        <w:top w:val="none" w:sz="0" w:space="0" w:color="auto"/>
        <w:left w:val="none" w:sz="0" w:space="0" w:color="auto"/>
        <w:bottom w:val="none" w:sz="0" w:space="0" w:color="auto"/>
        <w:right w:val="none" w:sz="0" w:space="0" w:color="auto"/>
      </w:divBdr>
      <w:divsChild>
        <w:div w:id="370811370">
          <w:marLeft w:val="0"/>
          <w:marRight w:val="0"/>
          <w:marTop w:val="0"/>
          <w:marBottom w:val="0"/>
          <w:divBdr>
            <w:top w:val="none" w:sz="0" w:space="0" w:color="auto"/>
            <w:left w:val="none" w:sz="0" w:space="0" w:color="auto"/>
            <w:bottom w:val="none" w:sz="0" w:space="0" w:color="auto"/>
            <w:right w:val="none" w:sz="0" w:space="0" w:color="auto"/>
          </w:divBdr>
        </w:div>
      </w:divsChild>
    </w:div>
    <w:div w:id="392587082">
      <w:bodyDiv w:val="1"/>
      <w:marLeft w:val="0"/>
      <w:marRight w:val="0"/>
      <w:marTop w:val="0"/>
      <w:marBottom w:val="0"/>
      <w:divBdr>
        <w:top w:val="none" w:sz="0" w:space="0" w:color="auto"/>
        <w:left w:val="none" w:sz="0" w:space="0" w:color="auto"/>
        <w:bottom w:val="none" w:sz="0" w:space="0" w:color="auto"/>
        <w:right w:val="none" w:sz="0" w:space="0" w:color="auto"/>
      </w:divBdr>
      <w:divsChild>
        <w:div w:id="1413894634">
          <w:marLeft w:val="0"/>
          <w:marRight w:val="0"/>
          <w:marTop w:val="0"/>
          <w:marBottom w:val="0"/>
          <w:divBdr>
            <w:top w:val="none" w:sz="0" w:space="0" w:color="auto"/>
            <w:left w:val="none" w:sz="0" w:space="0" w:color="auto"/>
            <w:bottom w:val="none" w:sz="0" w:space="0" w:color="auto"/>
            <w:right w:val="none" w:sz="0" w:space="0" w:color="auto"/>
          </w:divBdr>
        </w:div>
      </w:divsChild>
    </w:div>
    <w:div w:id="1393192057">
      <w:bodyDiv w:val="1"/>
      <w:marLeft w:val="0"/>
      <w:marRight w:val="0"/>
      <w:marTop w:val="0"/>
      <w:marBottom w:val="0"/>
      <w:divBdr>
        <w:top w:val="none" w:sz="0" w:space="0" w:color="auto"/>
        <w:left w:val="none" w:sz="0" w:space="0" w:color="auto"/>
        <w:bottom w:val="none" w:sz="0" w:space="0" w:color="auto"/>
        <w:right w:val="none" w:sz="0" w:space="0" w:color="auto"/>
      </w:divBdr>
      <w:divsChild>
        <w:div w:id="2041513119">
          <w:marLeft w:val="0"/>
          <w:marRight w:val="0"/>
          <w:marTop w:val="0"/>
          <w:marBottom w:val="0"/>
          <w:divBdr>
            <w:top w:val="none" w:sz="0" w:space="0" w:color="auto"/>
            <w:left w:val="none" w:sz="0" w:space="0" w:color="auto"/>
            <w:bottom w:val="none" w:sz="0" w:space="0" w:color="auto"/>
            <w:right w:val="none" w:sz="0" w:space="0" w:color="auto"/>
          </w:divBdr>
        </w:div>
      </w:divsChild>
    </w:div>
    <w:div w:id="159200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2468</Words>
  <Characters>12345</Characters>
  <Application>Microsoft Office Word</Application>
  <DocSecurity>0</DocSecurity>
  <Lines>102</Lines>
  <Paragraphs>29</Paragraphs>
  <ScaleCrop>false</ScaleCrop>
  <HeadingPairs>
    <vt:vector size="2" baseType="variant">
      <vt:variant>
        <vt:lpstr>שם</vt:lpstr>
      </vt:variant>
      <vt:variant>
        <vt:i4>1</vt:i4>
      </vt:variant>
    </vt:vector>
  </HeadingPairs>
  <TitlesOfParts>
    <vt:vector size="1" baseType="lpstr">
      <vt:lpstr>אוניברסיטת בר-אילן – הפקולטה למשפטים</vt:lpstr>
    </vt:vector>
  </TitlesOfParts>
  <Company>Bar-Ilan University</Company>
  <LinksUpToDate>false</LinksUpToDate>
  <CharactersWithSpaces>14784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אוניברסיטת בר-אילן – הפקולטה למשפטים</dc:title>
  <dc:creator>User255</dc:creator>
  <cp:lastModifiedBy>shahaf galili</cp:lastModifiedBy>
  <cp:revision>2</cp:revision>
  <cp:lastPrinted>2006-01-30T12:31:00Z</cp:lastPrinted>
  <dcterms:created xsi:type="dcterms:W3CDTF">2010-04-22T16:28:00Z</dcterms:created>
  <dcterms:modified xsi:type="dcterms:W3CDTF">2010-04-22T16:28:00Z</dcterms:modified>
</cp:coreProperties>
</file>