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D7A" w:rsidRDefault="00DE5C44" w:rsidP="00DE5C44">
      <w:pPr>
        <w:pStyle w:val="a3"/>
        <w:jc w:val="center"/>
        <w:rPr>
          <w:rFonts w:ascii="Arial" w:hAnsi="Arial" w:cs="Arial"/>
          <w:b/>
          <w:bCs/>
          <w:u w:val="single"/>
          <w:rtl/>
        </w:rPr>
      </w:pPr>
      <w:r>
        <w:rPr>
          <w:rFonts w:ascii="Arial" w:hAnsi="Arial" w:cs="Arial" w:hint="cs"/>
          <w:b/>
          <w:bCs/>
          <w:u w:val="single"/>
          <w:rtl/>
        </w:rPr>
        <w:t>עבודה 1- משפט חוקתי</w:t>
      </w:r>
    </w:p>
    <w:p w:rsidR="00DE5C44" w:rsidRDefault="00DE5C44" w:rsidP="00DE5C44">
      <w:pPr>
        <w:pStyle w:val="a3"/>
        <w:jc w:val="center"/>
        <w:rPr>
          <w:rFonts w:ascii="Arial" w:hAnsi="Arial" w:cs="Arial"/>
          <w:b/>
          <w:bCs/>
          <w:u w:val="single"/>
          <w:rtl/>
        </w:rPr>
      </w:pPr>
    </w:p>
    <w:p w:rsidR="00DE5C44" w:rsidRDefault="00DE5C44" w:rsidP="00DE5C44">
      <w:pPr>
        <w:pStyle w:val="a3"/>
        <w:rPr>
          <w:rFonts w:ascii="Arial" w:hAnsi="Arial" w:cs="Arial"/>
          <w:b/>
          <w:bCs/>
          <w:rtl/>
        </w:rPr>
      </w:pPr>
      <w:r>
        <w:rPr>
          <w:rFonts w:ascii="Arial" w:hAnsi="Arial" w:cs="Arial" w:hint="cs"/>
          <w:b/>
          <w:bCs/>
          <w:rtl/>
        </w:rPr>
        <w:t>עוזרת הוראה: שרית רייך</w:t>
      </w:r>
    </w:p>
    <w:p w:rsidR="00DE5C44" w:rsidRDefault="00DE5C44" w:rsidP="00DE5C44">
      <w:pPr>
        <w:pStyle w:val="a3"/>
        <w:rPr>
          <w:rFonts w:ascii="Arial" w:hAnsi="Arial" w:cs="Arial"/>
          <w:b/>
          <w:bCs/>
          <w:rtl/>
        </w:rPr>
      </w:pPr>
      <w:r>
        <w:rPr>
          <w:rFonts w:ascii="Arial" w:hAnsi="Arial" w:cs="Arial" w:hint="cs"/>
          <w:b/>
          <w:bCs/>
          <w:rtl/>
        </w:rPr>
        <w:t>מס' מילים: 1500</w:t>
      </w:r>
    </w:p>
    <w:p w:rsidR="00DE5C44" w:rsidRPr="00DE5C44" w:rsidRDefault="00DE5C44" w:rsidP="00DE5C44">
      <w:pPr>
        <w:pStyle w:val="a3"/>
        <w:rPr>
          <w:rFonts w:ascii="Arial" w:hAnsi="Arial" w:cs="Arial"/>
          <w:b/>
          <w:bCs/>
          <w:rtl/>
        </w:rPr>
      </w:pPr>
    </w:p>
    <w:p w:rsidR="004B003C" w:rsidRPr="00AC10E7" w:rsidRDefault="00A6400A" w:rsidP="004B003C">
      <w:pPr>
        <w:pStyle w:val="a3"/>
        <w:rPr>
          <w:rFonts w:ascii="Arial" w:hAnsi="Arial" w:cs="Arial"/>
          <w:rtl/>
        </w:rPr>
      </w:pPr>
      <w:r w:rsidRPr="00AC10E7">
        <w:rPr>
          <w:rFonts w:ascii="Arial" w:hAnsi="Arial" w:cs="Arial"/>
          <w:rtl/>
        </w:rPr>
        <w:t>בבואנו לבדוק את הטענה שה</w:t>
      </w:r>
      <w:r w:rsidR="004B003C" w:rsidRPr="00AC10E7">
        <w:rPr>
          <w:rFonts w:ascii="Arial" w:hAnsi="Arial" w:cs="Arial"/>
          <w:rtl/>
        </w:rPr>
        <w:t xml:space="preserve">חוק שנחקק (להלן: החוק המתקן) , פוגע בחוקי יסוד (להלן: </w:t>
      </w:r>
      <w:r w:rsidR="00601ACA" w:rsidRPr="00AC10E7">
        <w:rPr>
          <w:rFonts w:ascii="Arial" w:hAnsi="Arial" w:cs="Arial"/>
          <w:rtl/>
        </w:rPr>
        <w:t>ח"י) נעשה זאת בשני שלבים</w:t>
      </w:r>
      <w:r w:rsidR="004B003C" w:rsidRPr="00AC10E7">
        <w:rPr>
          <w:rFonts w:ascii="Arial" w:hAnsi="Arial" w:cs="Arial"/>
          <w:rtl/>
        </w:rPr>
        <w:t>.</w:t>
      </w:r>
    </w:p>
    <w:p w:rsidR="004B003C" w:rsidRPr="00AC10E7" w:rsidRDefault="004B003C" w:rsidP="00435D7A">
      <w:pPr>
        <w:pStyle w:val="a3"/>
        <w:rPr>
          <w:rFonts w:ascii="Arial" w:hAnsi="Arial" w:cs="Arial"/>
          <w:rtl/>
        </w:rPr>
      </w:pPr>
      <w:r w:rsidRPr="00AC10E7">
        <w:rPr>
          <w:rFonts w:ascii="Arial" w:hAnsi="Arial" w:cs="Arial"/>
          <w:rtl/>
        </w:rPr>
        <w:t xml:space="preserve">הנשיא ברק והשופטת </w:t>
      </w:r>
      <w:proofErr w:type="spellStart"/>
      <w:r w:rsidRPr="00AC10E7">
        <w:rPr>
          <w:rFonts w:ascii="Arial" w:hAnsi="Arial" w:cs="Arial"/>
          <w:rtl/>
        </w:rPr>
        <w:t>שטרסברג</w:t>
      </w:r>
      <w:proofErr w:type="spellEnd"/>
      <w:r w:rsidRPr="00AC10E7">
        <w:rPr>
          <w:rFonts w:ascii="Arial" w:hAnsi="Arial" w:cs="Arial"/>
          <w:rtl/>
        </w:rPr>
        <w:t xml:space="preserve">-כהן חלוקים לגבי </w:t>
      </w:r>
      <w:bookmarkStart w:id="0" w:name="_GoBack"/>
      <w:bookmarkEnd w:id="0"/>
      <w:r w:rsidRPr="00AC10E7">
        <w:rPr>
          <w:rFonts w:ascii="Arial" w:hAnsi="Arial" w:cs="Arial"/>
          <w:rtl/>
        </w:rPr>
        <w:t>הדרך שבה יש לבחון טענה זו.</w:t>
      </w:r>
    </w:p>
    <w:p w:rsidR="00A6400A" w:rsidRPr="00AC10E7" w:rsidRDefault="004B003C" w:rsidP="00234DCE">
      <w:pPr>
        <w:pStyle w:val="a3"/>
        <w:rPr>
          <w:rFonts w:ascii="Arial" w:hAnsi="Arial" w:cs="Arial"/>
          <w:rtl/>
        </w:rPr>
      </w:pPr>
      <w:r w:rsidRPr="00AC10E7">
        <w:rPr>
          <w:rFonts w:ascii="Arial" w:hAnsi="Arial" w:cs="Arial"/>
          <w:rtl/>
        </w:rPr>
        <w:t xml:space="preserve">השופטת </w:t>
      </w:r>
      <w:proofErr w:type="spellStart"/>
      <w:r w:rsidRPr="00AC10E7">
        <w:rPr>
          <w:rFonts w:ascii="Arial" w:hAnsi="Arial" w:cs="Arial"/>
          <w:rtl/>
        </w:rPr>
        <w:t>שטרסברג</w:t>
      </w:r>
      <w:proofErr w:type="spellEnd"/>
      <w:r w:rsidRPr="00AC10E7">
        <w:rPr>
          <w:rFonts w:ascii="Arial" w:hAnsi="Arial" w:cs="Arial"/>
          <w:rtl/>
        </w:rPr>
        <w:t>-כהן</w:t>
      </w:r>
      <w:r w:rsidR="00435D7A" w:rsidRPr="00AC10E7">
        <w:rPr>
          <w:rStyle w:val="a6"/>
          <w:rFonts w:ascii="Arial" w:hAnsi="Arial" w:cs="Arial"/>
          <w:rtl/>
        </w:rPr>
        <w:footnoteReference w:id="1"/>
      </w:r>
      <w:r w:rsidRPr="00AC10E7">
        <w:rPr>
          <w:rFonts w:ascii="Arial" w:hAnsi="Arial" w:cs="Arial"/>
          <w:rtl/>
        </w:rPr>
        <w:t xml:space="preserve"> טוענת שיש לבצע בדיקה בשני שלבים- </w:t>
      </w:r>
    </w:p>
    <w:p w:rsidR="00234DCE" w:rsidRPr="00AC10E7" w:rsidRDefault="004B003C" w:rsidP="00234DCE">
      <w:pPr>
        <w:pStyle w:val="a3"/>
        <w:rPr>
          <w:rFonts w:ascii="Arial" w:hAnsi="Arial" w:cs="Arial"/>
          <w:rtl/>
        </w:rPr>
      </w:pPr>
      <w:r w:rsidRPr="00AC10E7">
        <w:rPr>
          <w:rFonts w:ascii="Arial" w:hAnsi="Arial" w:cs="Arial"/>
          <w:rtl/>
        </w:rPr>
        <w:t>ב</w:t>
      </w:r>
      <w:r w:rsidRPr="00AC10E7">
        <w:rPr>
          <w:rFonts w:ascii="Arial" w:hAnsi="Arial" w:cs="Arial"/>
          <w:b/>
          <w:bCs/>
          <w:rtl/>
        </w:rPr>
        <w:t xml:space="preserve">שלב הראשון </w:t>
      </w:r>
      <w:r w:rsidR="00234DCE" w:rsidRPr="00AC10E7">
        <w:rPr>
          <w:rFonts w:ascii="Arial" w:hAnsi="Arial" w:cs="Arial"/>
          <w:rtl/>
        </w:rPr>
        <w:t>נבדוק האם זכות האדם המעוגנת בח"י אכן נפגעה ע"י החוק העומד לבדיקה חוקתית.</w:t>
      </w:r>
    </w:p>
    <w:p w:rsidR="004B003C" w:rsidRPr="00AC10E7" w:rsidRDefault="00234DCE" w:rsidP="00234DCE">
      <w:pPr>
        <w:pStyle w:val="a3"/>
        <w:rPr>
          <w:rFonts w:ascii="Arial" w:hAnsi="Arial" w:cs="Arial"/>
          <w:rtl/>
        </w:rPr>
      </w:pPr>
      <w:r w:rsidRPr="00AC10E7">
        <w:rPr>
          <w:rFonts w:ascii="Arial" w:hAnsi="Arial" w:cs="Arial"/>
          <w:rtl/>
        </w:rPr>
        <w:t>רק במידה והמסקנה היא שאכן כך, נעבור ל</w:t>
      </w:r>
      <w:r w:rsidRPr="00AC10E7">
        <w:rPr>
          <w:rFonts w:ascii="Arial" w:hAnsi="Arial" w:cs="Arial"/>
          <w:b/>
          <w:bCs/>
          <w:rtl/>
        </w:rPr>
        <w:t xml:space="preserve">שלב השני </w:t>
      </w:r>
      <w:r w:rsidRPr="00AC10E7">
        <w:rPr>
          <w:rFonts w:ascii="Arial" w:hAnsi="Arial" w:cs="Arial"/>
          <w:rtl/>
        </w:rPr>
        <w:t>בו נבדוק אם דבר החקיקה הפוגע מקיים את דרישות פסקת ההגבלה שבח"י.</w:t>
      </w:r>
    </w:p>
    <w:p w:rsidR="00234DCE" w:rsidRPr="00AC10E7" w:rsidRDefault="00234DCE" w:rsidP="00234DCE">
      <w:pPr>
        <w:pStyle w:val="a3"/>
        <w:rPr>
          <w:rFonts w:ascii="Arial" w:hAnsi="Arial" w:cs="Arial"/>
          <w:rtl/>
        </w:rPr>
      </w:pPr>
      <w:r w:rsidRPr="00AC10E7">
        <w:rPr>
          <w:rFonts w:ascii="Arial" w:hAnsi="Arial" w:cs="Arial"/>
          <w:rtl/>
        </w:rPr>
        <w:t>לעומתה</w:t>
      </w:r>
      <w:r w:rsidR="00D03876" w:rsidRPr="00AC10E7">
        <w:rPr>
          <w:rFonts w:ascii="Arial" w:hAnsi="Arial" w:cs="Arial"/>
          <w:rtl/>
        </w:rPr>
        <w:t>,</w:t>
      </w:r>
      <w:r w:rsidRPr="00AC10E7">
        <w:rPr>
          <w:rFonts w:ascii="Arial" w:hAnsi="Arial" w:cs="Arial"/>
          <w:rtl/>
        </w:rPr>
        <w:t xml:space="preserve"> הנשיא ברק</w:t>
      </w:r>
      <w:r w:rsidR="00435D7A" w:rsidRPr="00AC10E7">
        <w:rPr>
          <w:rStyle w:val="a6"/>
          <w:rFonts w:ascii="Arial" w:hAnsi="Arial" w:cs="Arial"/>
          <w:rtl/>
        </w:rPr>
        <w:footnoteReference w:id="2"/>
      </w:r>
      <w:r w:rsidRPr="00AC10E7">
        <w:rPr>
          <w:rFonts w:ascii="Arial" w:hAnsi="Arial" w:cs="Arial"/>
          <w:rtl/>
        </w:rPr>
        <w:t xml:space="preserve"> טוען שישנם מקרים בהם ניתן לדלג על השלב הראשון אם ההכרעה בו אינה פשוטה ואינה נחוצה, שהרי ניתן לדחות את הטענה החוקתית בשל אי קיומו של השלב השני (פסקת ההגבלה).</w:t>
      </w:r>
    </w:p>
    <w:p w:rsidR="00234DCE" w:rsidRPr="00AC10E7" w:rsidRDefault="00234DCE" w:rsidP="00234DCE">
      <w:pPr>
        <w:pStyle w:val="a3"/>
        <w:rPr>
          <w:rFonts w:ascii="Arial" w:hAnsi="Arial" w:cs="Arial"/>
          <w:rtl/>
        </w:rPr>
      </w:pPr>
    </w:p>
    <w:p w:rsidR="005A168B" w:rsidRPr="00AC10E7" w:rsidRDefault="00234DCE" w:rsidP="005A168B">
      <w:pPr>
        <w:pStyle w:val="a3"/>
        <w:rPr>
          <w:rFonts w:ascii="Arial" w:hAnsi="Arial" w:cs="Arial"/>
          <w:rtl/>
        </w:rPr>
      </w:pPr>
      <w:r w:rsidRPr="00AC10E7">
        <w:rPr>
          <w:rFonts w:ascii="Arial" w:hAnsi="Arial" w:cs="Arial"/>
          <w:rtl/>
        </w:rPr>
        <w:t>ע"פ שיטה זו, במקרה דנן, העותרים יוכלו לטעון כי החוק פוגע בח"י: חופש העיסוק</w:t>
      </w:r>
      <w:r w:rsidRPr="00AC10E7">
        <w:rPr>
          <w:rStyle w:val="a6"/>
          <w:rFonts w:ascii="Arial" w:hAnsi="Arial" w:cs="Arial"/>
          <w:rtl/>
        </w:rPr>
        <w:footnoteReference w:id="3"/>
      </w:r>
      <w:r w:rsidRPr="00AC10E7">
        <w:rPr>
          <w:rFonts w:ascii="Arial" w:hAnsi="Arial" w:cs="Arial"/>
          <w:rtl/>
        </w:rPr>
        <w:t>, הזכות לקניין</w:t>
      </w:r>
      <w:r w:rsidRPr="00AC10E7">
        <w:rPr>
          <w:rStyle w:val="a6"/>
          <w:rFonts w:ascii="Arial" w:hAnsi="Arial" w:cs="Arial"/>
          <w:rtl/>
        </w:rPr>
        <w:footnoteReference w:id="4"/>
      </w:r>
      <w:r w:rsidRPr="00AC10E7">
        <w:rPr>
          <w:rFonts w:ascii="Arial" w:hAnsi="Arial" w:cs="Arial"/>
          <w:rtl/>
        </w:rPr>
        <w:t>, הזכות לחירות</w:t>
      </w:r>
      <w:r w:rsidR="005A168B" w:rsidRPr="00AC10E7">
        <w:rPr>
          <w:rStyle w:val="a6"/>
          <w:rFonts w:ascii="Arial" w:hAnsi="Arial" w:cs="Arial"/>
          <w:rtl/>
        </w:rPr>
        <w:footnoteReference w:id="5"/>
      </w:r>
      <w:r w:rsidRPr="00AC10E7">
        <w:rPr>
          <w:rFonts w:ascii="Arial" w:hAnsi="Arial" w:cs="Arial"/>
          <w:rtl/>
        </w:rPr>
        <w:t>, הזכות לשם טוב</w:t>
      </w:r>
      <w:r w:rsidR="005A168B" w:rsidRPr="00AC10E7">
        <w:rPr>
          <w:rStyle w:val="a6"/>
          <w:rFonts w:ascii="Arial" w:hAnsi="Arial" w:cs="Arial"/>
          <w:rtl/>
        </w:rPr>
        <w:footnoteReference w:id="6"/>
      </w:r>
      <w:r w:rsidRPr="00AC10E7">
        <w:rPr>
          <w:rFonts w:ascii="Arial" w:hAnsi="Arial" w:cs="Arial"/>
          <w:rtl/>
        </w:rPr>
        <w:t>, חופש הביטוי</w:t>
      </w:r>
      <w:r w:rsidR="005A168B" w:rsidRPr="00AC10E7">
        <w:rPr>
          <w:rStyle w:val="a6"/>
          <w:rFonts w:ascii="Arial" w:hAnsi="Arial" w:cs="Arial"/>
          <w:rtl/>
        </w:rPr>
        <w:footnoteReference w:id="7"/>
      </w:r>
      <w:r w:rsidRPr="00AC10E7">
        <w:rPr>
          <w:rFonts w:ascii="Arial" w:hAnsi="Arial" w:cs="Arial"/>
          <w:rtl/>
        </w:rPr>
        <w:t xml:space="preserve"> והזכות לשוויון</w:t>
      </w:r>
      <w:r w:rsidR="005A168B" w:rsidRPr="00AC10E7">
        <w:rPr>
          <w:rStyle w:val="a6"/>
          <w:rFonts w:ascii="Arial" w:hAnsi="Arial" w:cs="Arial"/>
          <w:rtl/>
        </w:rPr>
        <w:footnoteReference w:id="8"/>
      </w:r>
      <w:r w:rsidRPr="00AC10E7">
        <w:rPr>
          <w:rFonts w:ascii="Arial" w:hAnsi="Arial" w:cs="Arial"/>
          <w:rtl/>
        </w:rPr>
        <w:t xml:space="preserve">.  </w:t>
      </w:r>
    </w:p>
    <w:p w:rsidR="005A168B" w:rsidRPr="00AC10E7" w:rsidRDefault="005A168B" w:rsidP="005A168B">
      <w:pPr>
        <w:pStyle w:val="a3"/>
        <w:rPr>
          <w:rFonts w:ascii="Arial" w:hAnsi="Arial" w:cs="Arial"/>
          <w:rtl/>
        </w:rPr>
      </w:pPr>
    </w:p>
    <w:p w:rsidR="005A168B" w:rsidRPr="00AC10E7" w:rsidRDefault="005A168B" w:rsidP="005A168B">
      <w:pPr>
        <w:pStyle w:val="a3"/>
        <w:rPr>
          <w:rFonts w:ascii="Arial" w:hAnsi="Arial" w:cs="Arial"/>
          <w:rtl/>
        </w:rPr>
      </w:pPr>
      <w:r w:rsidRPr="00AC10E7">
        <w:rPr>
          <w:rFonts w:ascii="Arial" w:hAnsi="Arial" w:cs="Arial"/>
          <w:rtl/>
        </w:rPr>
        <w:t>הפגיעה ב</w:t>
      </w:r>
      <w:r w:rsidRPr="00AC10E7">
        <w:rPr>
          <w:rFonts w:ascii="Arial" w:hAnsi="Arial" w:cs="Arial"/>
          <w:b/>
          <w:bCs/>
          <w:rtl/>
        </w:rPr>
        <w:t>זכות לקניין</w:t>
      </w:r>
      <w:r w:rsidRPr="00AC10E7">
        <w:rPr>
          <w:rStyle w:val="a6"/>
          <w:rFonts w:ascii="Arial" w:hAnsi="Arial" w:cs="Arial"/>
          <w:b/>
          <w:bCs/>
          <w:rtl/>
        </w:rPr>
        <w:footnoteReference w:id="9"/>
      </w:r>
      <w:r w:rsidRPr="00AC10E7">
        <w:rPr>
          <w:rFonts w:ascii="Arial" w:hAnsi="Arial" w:cs="Arial"/>
          <w:rtl/>
        </w:rPr>
        <w:t xml:space="preserve"> מתבטאת באיסור פרסום</w:t>
      </w:r>
      <w:r w:rsidR="00D03876" w:rsidRPr="00AC10E7">
        <w:rPr>
          <w:rFonts w:ascii="Arial" w:hAnsi="Arial" w:cs="Arial"/>
          <w:rtl/>
        </w:rPr>
        <w:t xml:space="preserve"> המיסטיקאים באמצעי התקשורת- </w:t>
      </w:r>
      <w:r w:rsidRPr="00AC10E7">
        <w:rPr>
          <w:rFonts w:ascii="Arial" w:hAnsi="Arial" w:cs="Arial"/>
          <w:rtl/>
        </w:rPr>
        <w:t xml:space="preserve"> כמות הפונים אליהם תפחת ותיגרם להם פגיעה כלכלית.</w:t>
      </w:r>
    </w:p>
    <w:p w:rsidR="005A168B" w:rsidRPr="00AC10E7" w:rsidRDefault="005A168B" w:rsidP="005A168B">
      <w:pPr>
        <w:pStyle w:val="a3"/>
        <w:rPr>
          <w:rFonts w:ascii="Arial" w:hAnsi="Arial" w:cs="Arial"/>
          <w:rtl/>
        </w:rPr>
      </w:pPr>
      <w:r w:rsidRPr="00AC10E7">
        <w:rPr>
          <w:rFonts w:ascii="Arial" w:hAnsi="Arial" w:cs="Arial"/>
          <w:rtl/>
        </w:rPr>
        <w:t>בנוסף, עצם הטלת הקנס על המפרסמים מהווה פגיעה בקניין.</w:t>
      </w:r>
    </w:p>
    <w:p w:rsidR="005A168B" w:rsidRPr="00AC10E7" w:rsidRDefault="005A168B" w:rsidP="005A168B">
      <w:pPr>
        <w:pStyle w:val="a3"/>
        <w:rPr>
          <w:rFonts w:ascii="Arial" w:hAnsi="Arial" w:cs="Arial"/>
          <w:rtl/>
        </w:rPr>
      </w:pPr>
      <w:r w:rsidRPr="00AC10E7">
        <w:rPr>
          <w:rFonts w:ascii="Arial" w:hAnsi="Arial" w:cs="Arial"/>
          <w:rtl/>
        </w:rPr>
        <w:t>מנגד ניתן לטע</w:t>
      </w:r>
      <w:r w:rsidR="006C4AE8" w:rsidRPr="00AC10E7">
        <w:rPr>
          <w:rFonts w:ascii="Arial" w:hAnsi="Arial" w:cs="Arial"/>
          <w:rtl/>
        </w:rPr>
        <w:t>ון שה</w:t>
      </w:r>
      <w:r w:rsidRPr="00AC10E7">
        <w:rPr>
          <w:rFonts w:ascii="Arial" w:hAnsi="Arial" w:cs="Arial"/>
          <w:rtl/>
        </w:rPr>
        <w:t>פגיעה</w:t>
      </w:r>
      <w:r w:rsidR="006C4AE8" w:rsidRPr="00AC10E7">
        <w:rPr>
          <w:rFonts w:ascii="Arial" w:hAnsi="Arial" w:cs="Arial"/>
          <w:rtl/>
        </w:rPr>
        <w:t xml:space="preserve"> בקניין</w:t>
      </w:r>
      <w:r w:rsidRPr="00AC10E7">
        <w:rPr>
          <w:rFonts w:ascii="Arial" w:hAnsi="Arial" w:cs="Arial"/>
          <w:rtl/>
        </w:rPr>
        <w:t xml:space="preserve"> מ</w:t>
      </w:r>
      <w:r w:rsidR="00601ACA" w:rsidRPr="00AC10E7">
        <w:rPr>
          <w:rFonts w:ascii="Arial" w:hAnsi="Arial" w:cs="Arial"/>
          <w:rtl/>
        </w:rPr>
        <w:t xml:space="preserve">וצדקת שהרי המיסטיקאים הם </w:t>
      </w:r>
      <w:r w:rsidRPr="00AC10E7">
        <w:rPr>
          <w:rFonts w:ascii="Arial" w:hAnsi="Arial" w:cs="Arial"/>
          <w:rtl/>
        </w:rPr>
        <w:t>רמאים</w:t>
      </w:r>
      <w:r w:rsidR="00601ACA" w:rsidRPr="00AC10E7">
        <w:rPr>
          <w:rFonts w:ascii="Arial" w:hAnsi="Arial" w:cs="Arial"/>
          <w:rtl/>
        </w:rPr>
        <w:t xml:space="preserve"> </w:t>
      </w:r>
      <w:r w:rsidR="00377A8D" w:rsidRPr="00AC10E7">
        <w:rPr>
          <w:rFonts w:ascii="Arial" w:hAnsi="Arial" w:cs="Arial"/>
          <w:rtl/>
        </w:rPr>
        <w:t>ש</w:t>
      </w:r>
      <w:r w:rsidR="00601ACA" w:rsidRPr="00AC10E7">
        <w:rPr>
          <w:rFonts w:ascii="Arial" w:hAnsi="Arial" w:cs="Arial"/>
          <w:rtl/>
        </w:rPr>
        <w:t>מנצלים את הבעיות והלחצים של הנזקקים לעזרה</w:t>
      </w:r>
      <w:r w:rsidR="001A0B1F" w:rsidRPr="00AC10E7">
        <w:rPr>
          <w:rFonts w:ascii="Arial" w:hAnsi="Arial" w:cs="Arial"/>
          <w:rtl/>
        </w:rPr>
        <w:t>, ובתמורה לשירותים שקריים גובים סכומים גבוהים, לעיתים תוך ביצוע עבירות פליליות.</w:t>
      </w:r>
    </w:p>
    <w:p w:rsidR="005A168B" w:rsidRPr="00AC10E7" w:rsidRDefault="005A168B" w:rsidP="005A168B">
      <w:pPr>
        <w:pStyle w:val="a3"/>
        <w:rPr>
          <w:rFonts w:ascii="Arial" w:hAnsi="Arial" w:cs="Arial"/>
          <w:rtl/>
        </w:rPr>
      </w:pPr>
    </w:p>
    <w:p w:rsidR="005A168B" w:rsidRPr="00AC10E7" w:rsidRDefault="005A168B" w:rsidP="005A168B">
      <w:pPr>
        <w:pStyle w:val="a3"/>
        <w:rPr>
          <w:rFonts w:ascii="Arial" w:hAnsi="Arial" w:cs="Arial"/>
          <w:rtl/>
        </w:rPr>
      </w:pPr>
      <w:r w:rsidRPr="00AC10E7">
        <w:rPr>
          <w:rFonts w:ascii="Arial" w:hAnsi="Arial" w:cs="Arial"/>
          <w:rtl/>
        </w:rPr>
        <w:t>הפגיעה ב</w:t>
      </w:r>
      <w:r w:rsidRPr="00AC10E7">
        <w:rPr>
          <w:rFonts w:ascii="Arial" w:hAnsi="Arial" w:cs="Arial"/>
          <w:b/>
          <w:bCs/>
          <w:rtl/>
        </w:rPr>
        <w:t>זכות לחירות</w:t>
      </w:r>
      <w:r w:rsidRPr="00AC10E7">
        <w:rPr>
          <w:rStyle w:val="a6"/>
          <w:rFonts w:ascii="Arial" w:hAnsi="Arial" w:cs="Arial"/>
          <w:b/>
          <w:bCs/>
          <w:rtl/>
        </w:rPr>
        <w:footnoteReference w:id="10"/>
      </w:r>
      <w:r w:rsidR="00377A8D" w:rsidRPr="00AC10E7">
        <w:rPr>
          <w:rFonts w:ascii="Arial" w:hAnsi="Arial" w:cs="Arial"/>
          <w:rtl/>
        </w:rPr>
        <w:t xml:space="preserve"> מתבטאת בהטלת עונש</w:t>
      </w:r>
      <w:r w:rsidR="00BB4551" w:rsidRPr="00AC10E7">
        <w:rPr>
          <w:rFonts w:ascii="Arial" w:hAnsi="Arial" w:cs="Arial"/>
          <w:rtl/>
        </w:rPr>
        <w:t xml:space="preserve"> מאסר למפרסם ידיעה על מיסטיקאים.</w:t>
      </w:r>
    </w:p>
    <w:p w:rsidR="006B334F" w:rsidRPr="00AC10E7" w:rsidRDefault="006B334F" w:rsidP="00377A8D">
      <w:pPr>
        <w:pStyle w:val="a3"/>
        <w:rPr>
          <w:rFonts w:ascii="Arial" w:hAnsi="Arial" w:cs="Arial"/>
          <w:rtl/>
        </w:rPr>
      </w:pPr>
      <w:r w:rsidRPr="00AC10E7">
        <w:rPr>
          <w:rFonts w:ascii="Arial" w:hAnsi="Arial" w:cs="Arial"/>
          <w:rtl/>
        </w:rPr>
        <w:t>מנגד ניתן לטעון כי ההצדקה לשלילת חירותו של אדם, נעוצה בכך ששלילת החירות מב</w:t>
      </w:r>
      <w:r w:rsidR="00377A8D" w:rsidRPr="00AC10E7">
        <w:rPr>
          <w:rFonts w:ascii="Arial" w:hAnsi="Arial" w:cs="Arial"/>
          <w:rtl/>
        </w:rPr>
        <w:t>יאה להגשמת אינטרס ציבורי חיוני- הגנה על הביטחון האישי והסדר הציבורי</w:t>
      </w:r>
      <w:r w:rsidRPr="00AC10E7">
        <w:rPr>
          <w:rStyle w:val="a6"/>
          <w:rFonts w:ascii="Arial" w:hAnsi="Arial" w:cs="Arial"/>
          <w:rtl/>
        </w:rPr>
        <w:footnoteReference w:id="11"/>
      </w:r>
      <w:r w:rsidRPr="00AC10E7">
        <w:rPr>
          <w:rFonts w:ascii="Arial" w:hAnsi="Arial" w:cs="Arial"/>
          <w:rtl/>
        </w:rPr>
        <w:t>.</w:t>
      </w:r>
    </w:p>
    <w:p w:rsidR="006B334F" w:rsidRPr="00AC10E7" w:rsidRDefault="0062734F" w:rsidP="00B7243A">
      <w:pPr>
        <w:pStyle w:val="a3"/>
        <w:rPr>
          <w:rFonts w:ascii="Arial" w:hAnsi="Arial" w:cs="Arial"/>
          <w:rtl/>
        </w:rPr>
      </w:pPr>
      <w:r w:rsidRPr="00AC10E7">
        <w:rPr>
          <w:rFonts w:ascii="Arial" w:hAnsi="Arial" w:cs="Arial"/>
          <w:rtl/>
        </w:rPr>
        <w:t>במקרה דנן, ניתן לטעון</w:t>
      </w:r>
      <w:r w:rsidR="00B7243A" w:rsidRPr="00AC10E7">
        <w:rPr>
          <w:rFonts w:ascii="Arial" w:hAnsi="Arial" w:cs="Arial"/>
          <w:rtl/>
        </w:rPr>
        <w:t xml:space="preserve"> שהמיסטיקאים פוגעים באינטרס הציבורי- </w:t>
      </w:r>
      <w:r w:rsidR="00B279D8" w:rsidRPr="00AC10E7">
        <w:rPr>
          <w:rFonts w:ascii="Arial" w:hAnsi="Arial" w:cs="Arial"/>
          <w:rtl/>
        </w:rPr>
        <w:t xml:space="preserve"> מנצלים את בעיות הציבור ע"מ להתפרנס, כל זאת בטענות שקרי</w:t>
      </w:r>
      <w:r w:rsidR="003842DC" w:rsidRPr="00AC10E7">
        <w:rPr>
          <w:rFonts w:ascii="Arial" w:hAnsi="Arial" w:cs="Arial"/>
          <w:rtl/>
        </w:rPr>
        <w:t>ות</w:t>
      </w:r>
      <w:r w:rsidRPr="00AC10E7">
        <w:rPr>
          <w:rFonts w:ascii="Arial" w:hAnsi="Arial" w:cs="Arial"/>
          <w:rtl/>
        </w:rPr>
        <w:t xml:space="preserve"> ולעיתים תוך</w:t>
      </w:r>
      <w:r w:rsidR="00B7243A" w:rsidRPr="00AC10E7">
        <w:rPr>
          <w:rFonts w:ascii="Arial" w:hAnsi="Arial" w:cs="Arial"/>
          <w:rtl/>
        </w:rPr>
        <w:t xml:space="preserve"> ביצוע עבירות פליליות.</w:t>
      </w:r>
    </w:p>
    <w:p w:rsidR="00B279D8" w:rsidRPr="00AC10E7" w:rsidRDefault="00B279D8" w:rsidP="005A168B">
      <w:pPr>
        <w:pStyle w:val="a3"/>
        <w:rPr>
          <w:rFonts w:ascii="Arial" w:hAnsi="Arial" w:cs="Arial"/>
          <w:rtl/>
        </w:rPr>
      </w:pPr>
    </w:p>
    <w:p w:rsidR="00B279D8" w:rsidRPr="00AC10E7" w:rsidRDefault="00B279D8" w:rsidP="005A168B">
      <w:pPr>
        <w:pStyle w:val="a3"/>
        <w:rPr>
          <w:rFonts w:ascii="Arial" w:hAnsi="Arial" w:cs="Arial"/>
          <w:rtl/>
        </w:rPr>
      </w:pPr>
      <w:r w:rsidRPr="00AC10E7">
        <w:rPr>
          <w:rFonts w:ascii="Arial" w:hAnsi="Arial" w:cs="Arial"/>
          <w:rtl/>
        </w:rPr>
        <w:t>הפגיעה ב</w:t>
      </w:r>
      <w:r w:rsidRPr="00AC10E7">
        <w:rPr>
          <w:rFonts w:ascii="Arial" w:hAnsi="Arial" w:cs="Arial"/>
          <w:b/>
          <w:bCs/>
          <w:rtl/>
        </w:rPr>
        <w:t>זכות לשם טוב</w:t>
      </w:r>
      <w:r w:rsidRPr="00AC10E7">
        <w:rPr>
          <w:rStyle w:val="a6"/>
          <w:rFonts w:ascii="Arial" w:hAnsi="Arial" w:cs="Arial"/>
          <w:b/>
          <w:bCs/>
          <w:rtl/>
        </w:rPr>
        <w:footnoteReference w:id="12"/>
      </w:r>
      <w:r w:rsidR="00B7243A" w:rsidRPr="00AC10E7">
        <w:rPr>
          <w:rFonts w:ascii="Arial" w:hAnsi="Arial" w:cs="Arial"/>
          <w:b/>
          <w:bCs/>
          <w:rtl/>
        </w:rPr>
        <w:t xml:space="preserve"> </w:t>
      </w:r>
      <w:r w:rsidR="00B7243A" w:rsidRPr="00AC10E7">
        <w:rPr>
          <w:rFonts w:ascii="Arial" w:hAnsi="Arial" w:cs="Arial"/>
          <w:rtl/>
        </w:rPr>
        <w:t>מתבטאת</w:t>
      </w:r>
      <w:r w:rsidR="00250519" w:rsidRPr="00AC10E7">
        <w:rPr>
          <w:rFonts w:ascii="Arial" w:hAnsi="Arial" w:cs="Arial"/>
          <w:rtl/>
        </w:rPr>
        <w:t xml:space="preserve"> בתוכן דברי ההסבר לחוק</w:t>
      </w:r>
      <w:r w:rsidRPr="00AC10E7">
        <w:rPr>
          <w:rFonts w:ascii="Arial" w:hAnsi="Arial" w:cs="Arial"/>
          <w:rtl/>
        </w:rPr>
        <w:t xml:space="preserve"> </w:t>
      </w:r>
      <w:r w:rsidR="00250519" w:rsidRPr="00AC10E7">
        <w:rPr>
          <w:rFonts w:ascii="Arial" w:hAnsi="Arial" w:cs="Arial"/>
          <w:rtl/>
        </w:rPr>
        <w:t>ה</w:t>
      </w:r>
      <w:r w:rsidRPr="00AC10E7">
        <w:rPr>
          <w:rFonts w:ascii="Arial" w:hAnsi="Arial" w:cs="Arial"/>
          <w:rtl/>
        </w:rPr>
        <w:t xml:space="preserve">מכפישים את שמם של המיסטיקאים </w:t>
      </w:r>
      <w:r w:rsidR="00AB45E5" w:rsidRPr="00AC10E7">
        <w:rPr>
          <w:rFonts w:ascii="Arial" w:hAnsi="Arial" w:cs="Arial"/>
          <w:rtl/>
        </w:rPr>
        <w:t>ומציגים אותם כרמאים, נצלנים ומבצעי עבירות פליליות.</w:t>
      </w:r>
    </w:p>
    <w:p w:rsidR="00AB45E5" w:rsidRPr="00AC10E7" w:rsidRDefault="00AB45E5" w:rsidP="005A168B">
      <w:pPr>
        <w:pStyle w:val="a3"/>
        <w:rPr>
          <w:rFonts w:ascii="Arial" w:hAnsi="Arial" w:cs="Arial"/>
          <w:rtl/>
        </w:rPr>
      </w:pPr>
    </w:p>
    <w:p w:rsidR="00AB45E5" w:rsidRPr="00AC10E7" w:rsidRDefault="00AB45E5" w:rsidP="00B7243A">
      <w:pPr>
        <w:pStyle w:val="a3"/>
        <w:rPr>
          <w:rFonts w:ascii="Arial" w:hAnsi="Arial" w:cs="Arial"/>
          <w:rtl/>
        </w:rPr>
      </w:pPr>
      <w:r w:rsidRPr="00AC10E7">
        <w:rPr>
          <w:rFonts w:ascii="Arial" w:hAnsi="Arial" w:cs="Arial"/>
          <w:rtl/>
        </w:rPr>
        <w:t>הפגיעה ב</w:t>
      </w:r>
      <w:r w:rsidRPr="00AC10E7">
        <w:rPr>
          <w:rFonts w:ascii="Arial" w:hAnsi="Arial" w:cs="Arial"/>
          <w:b/>
          <w:bCs/>
          <w:rtl/>
        </w:rPr>
        <w:t>חופש הביטוי</w:t>
      </w:r>
      <w:r w:rsidRPr="00AC10E7">
        <w:rPr>
          <w:rStyle w:val="a6"/>
          <w:rFonts w:ascii="Arial" w:hAnsi="Arial" w:cs="Arial"/>
          <w:b/>
          <w:bCs/>
          <w:rtl/>
        </w:rPr>
        <w:footnoteReference w:id="13"/>
      </w:r>
      <w:r w:rsidR="0062734F" w:rsidRPr="00AC10E7">
        <w:rPr>
          <w:rFonts w:ascii="Arial" w:hAnsi="Arial" w:cs="Arial"/>
          <w:rtl/>
        </w:rPr>
        <w:t xml:space="preserve"> מתבטאת באיסור</w:t>
      </w:r>
      <w:r w:rsidR="00B7243A" w:rsidRPr="00AC10E7">
        <w:rPr>
          <w:rFonts w:ascii="Arial" w:hAnsi="Arial" w:cs="Arial"/>
          <w:rtl/>
        </w:rPr>
        <w:t xml:space="preserve"> על המיסטיקאים לפרסם מודעות.</w:t>
      </w:r>
    </w:p>
    <w:p w:rsidR="00AB45E5" w:rsidRPr="00AC10E7" w:rsidRDefault="00AB45E5" w:rsidP="005A168B">
      <w:pPr>
        <w:pStyle w:val="a3"/>
        <w:rPr>
          <w:rFonts w:ascii="Arial" w:hAnsi="Arial" w:cs="Arial"/>
          <w:rtl/>
        </w:rPr>
      </w:pPr>
      <w:r w:rsidRPr="00AC10E7">
        <w:rPr>
          <w:rFonts w:ascii="Arial" w:hAnsi="Arial" w:cs="Arial"/>
          <w:rtl/>
        </w:rPr>
        <w:t>מנגד, המיסטיקאים מפרסמים מידע שקרי, זאת ע"מ לנצל את מצוק</w:t>
      </w:r>
      <w:r w:rsidR="00250519" w:rsidRPr="00AC10E7">
        <w:rPr>
          <w:rFonts w:ascii="Arial" w:hAnsi="Arial" w:cs="Arial"/>
          <w:rtl/>
        </w:rPr>
        <w:t>תם של הנקלעים לבעיות ולחצים.</w:t>
      </w:r>
    </w:p>
    <w:p w:rsidR="00580384" w:rsidRPr="00AC10E7" w:rsidRDefault="00580384" w:rsidP="005A168B">
      <w:pPr>
        <w:pStyle w:val="a3"/>
        <w:rPr>
          <w:rFonts w:ascii="Arial" w:hAnsi="Arial" w:cs="Arial"/>
          <w:rtl/>
        </w:rPr>
      </w:pPr>
    </w:p>
    <w:p w:rsidR="00AB45E5" w:rsidRPr="00AC10E7" w:rsidRDefault="00AB45E5" w:rsidP="00DC4FF4">
      <w:pPr>
        <w:pStyle w:val="a3"/>
        <w:rPr>
          <w:rFonts w:ascii="Arial" w:hAnsi="Arial" w:cs="Arial"/>
          <w:rtl/>
        </w:rPr>
      </w:pPr>
      <w:r w:rsidRPr="00AC10E7">
        <w:rPr>
          <w:rFonts w:ascii="Arial" w:hAnsi="Arial" w:cs="Arial"/>
          <w:rtl/>
        </w:rPr>
        <w:t>פגיעה ב</w:t>
      </w:r>
      <w:r w:rsidRPr="00AC10E7">
        <w:rPr>
          <w:rFonts w:ascii="Arial" w:hAnsi="Arial" w:cs="Arial"/>
          <w:b/>
          <w:bCs/>
          <w:rtl/>
        </w:rPr>
        <w:t>זכות לשוויון</w:t>
      </w:r>
      <w:r w:rsidRPr="00AC10E7">
        <w:rPr>
          <w:rStyle w:val="a6"/>
          <w:rFonts w:ascii="Arial" w:hAnsi="Arial" w:cs="Arial"/>
          <w:b/>
          <w:bCs/>
          <w:rtl/>
        </w:rPr>
        <w:footnoteReference w:id="14"/>
      </w:r>
      <w:r w:rsidRPr="00AC10E7">
        <w:rPr>
          <w:rFonts w:ascii="Arial" w:hAnsi="Arial" w:cs="Arial"/>
          <w:rtl/>
        </w:rPr>
        <w:t xml:space="preserve"> </w:t>
      </w:r>
      <w:r w:rsidR="00DC4FF4" w:rsidRPr="00AC10E7">
        <w:rPr>
          <w:rFonts w:ascii="Arial" w:hAnsi="Arial" w:cs="Arial"/>
          <w:rtl/>
        </w:rPr>
        <w:t>הפליה בין המיסטיקאים לבעלי מקצוע אחרים בכך שנאסר על המיסטיקאים לפרסם מודעות.</w:t>
      </w:r>
    </w:p>
    <w:p w:rsidR="00AB45E5" w:rsidRPr="00AC10E7" w:rsidRDefault="00AB45E5" w:rsidP="005A168B">
      <w:pPr>
        <w:pStyle w:val="a3"/>
        <w:rPr>
          <w:rFonts w:ascii="Arial" w:hAnsi="Arial" w:cs="Arial"/>
          <w:rtl/>
        </w:rPr>
      </w:pPr>
    </w:p>
    <w:p w:rsidR="00A85585" w:rsidRPr="00AC10E7" w:rsidRDefault="00A85585" w:rsidP="00580384">
      <w:pPr>
        <w:pStyle w:val="a3"/>
        <w:rPr>
          <w:rFonts w:ascii="Arial" w:hAnsi="Arial" w:cs="Arial"/>
          <w:rtl/>
        </w:rPr>
      </w:pPr>
    </w:p>
    <w:p w:rsidR="00DC4FF4" w:rsidRPr="00AC10E7" w:rsidRDefault="00DC4FF4" w:rsidP="00580384">
      <w:pPr>
        <w:pStyle w:val="a3"/>
        <w:rPr>
          <w:rFonts w:ascii="Arial" w:hAnsi="Arial" w:cs="Arial"/>
          <w:rtl/>
        </w:rPr>
      </w:pPr>
    </w:p>
    <w:p w:rsidR="00580384" w:rsidRPr="00AC10E7" w:rsidRDefault="00AB45E5" w:rsidP="00580384">
      <w:pPr>
        <w:pStyle w:val="a3"/>
        <w:rPr>
          <w:rFonts w:ascii="Arial" w:hAnsi="Arial" w:cs="Arial"/>
          <w:rtl/>
        </w:rPr>
      </w:pPr>
      <w:r w:rsidRPr="00AC10E7">
        <w:rPr>
          <w:rFonts w:ascii="Arial" w:hAnsi="Arial" w:cs="Arial"/>
          <w:rtl/>
        </w:rPr>
        <w:t>פגיעה ב</w:t>
      </w:r>
      <w:r w:rsidRPr="00AC10E7">
        <w:rPr>
          <w:rFonts w:ascii="Arial" w:hAnsi="Arial" w:cs="Arial"/>
          <w:b/>
          <w:bCs/>
          <w:rtl/>
        </w:rPr>
        <w:t>ח"י: חופש העיסוק</w:t>
      </w:r>
      <w:r w:rsidRPr="00AC10E7">
        <w:rPr>
          <w:rStyle w:val="a6"/>
          <w:rFonts w:ascii="Arial" w:hAnsi="Arial" w:cs="Arial"/>
          <w:b/>
          <w:bCs/>
          <w:rtl/>
        </w:rPr>
        <w:footnoteReference w:id="15"/>
      </w:r>
      <w:r w:rsidRPr="00AC10E7">
        <w:rPr>
          <w:rFonts w:ascii="Arial" w:hAnsi="Arial" w:cs="Arial"/>
          <w:rtl/>
        </w:rPr>
        <w:t xml:space="preserve"> נעשית בשני כוונים-</w:t>
      </w:r>
    </w:p>
    <w:p w:rsidR="00AB45E5" w:rsidRPr="00AC10E7" w:rsidRDefault="00AB45E5" w:rsidP="006E66EB">
      <w:pPr>
        <w:pStyle w:val="a3"/>
        <w:numPr>
          <w:ilvl w:val="0"/>
          <w:numId w:val="10"/>
        </w:numPr>
        <w:rPr>
          <w:rFonts w:ascii="Arial" w:hAnsi="Arial" w:cs="Arial"/>
          <w:rtl/>
        </w:rPr>
      </w:pPr>
      <w:r w:rsidRPr="00AC10E7">
        <w:rPr>
          <w:rFonts w:ascii="Arial" w:hAnsi="Arial" w:cs="Arial"/>
          <w:u w:val="single"/>
          <w:rtl/>
        </w:rPr>
        <w:t>פגיעה ישירה</w:t>
      </w:r>
      <w:r w:rsidR="00377A8D" w:rsidRPr="00AC10E7">
        <w:rPr>
          <w:rFonts w:ascii="Arial" w:hAnsi="Arial" w:cs="Arial"/>
          <w:rtl/>
        </w:rPr>
        <w:t xml:space="preserve"> בחופש העיסוק של המפרסמים ש</w:t>
      </w:r>
      <w:r w:rsidRPr="00AC10E7">
        <w:rPr>
          <w:rFonts w:ascii="Arial" w:hAnsi="Arial" w:cs="Arial"/>
          <w:rtl/>
        </w:rPr>
        <w:t>נאסר עליהם לפרסם מודעות של מיסטיקאים, דבר המצמצם את היקף עבודתם.</w:t>
      </w:r>
    </w:p>
    <w:p w:rsidR="00AB45E5" w:rsidRPr="00AC10E7" w:rsidRDefault="00AB45E5" w:rsidP="006E66EB">
      <w:pPr>
        <w:pStyle w:val="a3"/>
        <w:numPr>
          <w:ilvl w:val="0"/>
          <w:numId w:val="10"/>
        </w:numPr>
        <w:rPr>
          <w:rFonts w:ascii="Arial" w:hAnsi="Arial" w:cs="Arial"/>
          <w:rtl/>
        </w:rPr>
      </w:pPr>
      <w:r w:rsidRPr="00AC10E7">
        <w:rPr>
          <w:rFonts w:ascii="Arial" w:hAnsi="Arial" w:cs="Arial"/>
          <w:u w:val="single"/>
          <w:rtl/>
        </w:rPr>
        <w:t>פגיעה עקיפה</w:t>
      </w:r>
      <w:r w:rsidRPr="00AC10E7">
        <w:rPr>
          <w:rFonts w:ascii="Arial" w:hAnsi="Arial" w:cs="Arial"/>
          <w:rtl/>
        </w:rPr>
        <w:t xml:space="preserve"> בחופש העיסוק של המ</w:t>
      </w:r>
      <w:r w:rsidR="00DE3338" w:rsidRPr="00AC10E7">
        <w:rPr>
          <w:rFonts w:ascii="Arial" w:hAnsi="Arial" w:cs="Arial"/>
          <w:rtl/>
        </w:rPr>
        <w:t>יסטיקאים. האיסור לפרסם עצמם</w:t>
      </w:r>
      <w:r w:rsidRPr="00AC10E7">
        <w:rPr>
          <w:rFonts w:ascii="Arial" w:hAnsi="Arial" w:cs="Arial"/>
          <w:rtl/>
        </w:rPr>
        <w:t xml:space="preserve"> מצמצם את כמות הפונים </w:t>
      </w:r>
      <w:r w:rsidR="008D221B" w:rsidRPr="00AC10E7">
        <w:rPr>
          <w:rFonts w:ascii="Arial" w:hAnsi="Arial" w:cs="Arial"/>
          <w:rtl/>
        </w:rPr>
        <w:t>אליהם, ובכך היקף עבודת</w:t>
      </w:r>
      <w:r w:rsidR="00A12E6E" w:rsidRPr="00AC10E7">
        <w:rPr>
          <w:rFonts w:ascii="Arial" w:hAnsi="Arial" w:cs="Arial"/>
          <w:rtl/>
        </w:rPr>
        <w:t>ם</w:t>
      </w:r>
      <w:r w:rsidR="008D221B" w:rsidRPr="00AC10E7">
        <w:rPr>
          <w:rFonts w:ascii="Arial" w:hAnsi="Arial" w:cs="Arial"/>
          <w:rtl/>
        </w:rPr>
        <w:t xml:space="preserve"> יצטמצם.</w:t>
      </w:r>
    </w:p>
    <w:p w:rsidR="008D221B" w:rsidRPr="00AC10E7" w:rsidRDefault="008D221B" w:rsidP="00AB45E5">
      <w:pPr>
        <w:pStyle w:val="a3"/>
        <w:rPr>
          <w:rFonts w:ascii="Arial" w:hAnsi="Arial" w:cs="Arial"/>
          <w:rtl/>
        </w:rPr>
      </w:pPr>
      <w:r w:rsidRPr="00AC10E7">
        <w:rPr>
          <w:rFonts w:ascii="Arial" w:hAnsi="Arial" w:cs="Arial"/>
          <w:rtl/>
        </w:rPr>
        <w:t>בהקשר זה ניתן לטעון כי פגיעה בזכות לא צריכה להיות בהכרח ישירה אלא יכולה להיעשות גם בעקיפין, וכי השאלה אם חוק מסוים פוגע בזכות צריכה להיבחן באופן מהותי ולא פורמלי</w:t>
      </w:r>
      <w:r w:rsidRPr="00AC10E7">
        <w:rPr>
          <w:rStyle w:val="a6"/>
          <w:rFonts w:ascii="Arial" w:hAnsi="Arial" w:cs="Arial"/>
          <w:rtl/>
        </w:rPr>
        <w:footnoteReference w:id="16"/>
      </w:r>
      <w:r w:rsidRPr="00AC10E7">
        <w:rPr>
          <w:rFonts w:ascii="Arial" w:hAnsi="Arial" w:cs="Arial"/>
          <w:rtl/>
        </w:rPr>
        <w:t>.</w:t>
      </w:r>
    </w:p>
    <w:p w:rsidR="008D221B" w:rsidRPr="00AC10E7" w:rsidRDefault="00A12E6E" w:rsidP="008D221B">
      <w:pPr>
        <w:pStyle w:val="a3"/>
        <w:rPr>
          <w:rFonts w:ascii="Arial" w:hAnsi="Arial" w:cs="Arial"/>
          <w:rtl/>
        </w:rPr>
      </w:pPr>
      <w:r w:rsidRPr="00AC10E7">
        <w:rPr>
          <w:rFonts w:ascii="Arial" w:hAnsi="Arial" w:cs="Arial"/>
          <w:rtl/>
        </w:rPr>
        <w:t xml:space="preserve">מנגד, </w:t>
      </w:r>
      <w:r w:rsidR="008D221B" w:rsidRPr="00AC10E7">
        <w:rPr>
          <w:rFonts w:ascii="Arial" w:hAnsi="Arial" w:cs="Arial"/>
          <w:rtl/>
        </w:rPr>
        <w:t>החוק</w:t>
      </w:r>
      <w:r w:rsidRPr="00AC10E7">
        <w:rPr>
          <w:rFonts w:ascii="Arial" w:hAnsi="Arial" w:cs="Arial"/>
          <w:rtl/>
        </w:rPr>
        <w:t xml:space="preserve"> אמנם</w:t>
      </w:r>
      <w:r w:rsidR="00DE3338" w:rsidRPr="00AC10E7">
        <w:rPr>
          <w:rFonts w:ascii="Arial" w:hAnsi="Arial" w:cs="Arial"/>
          <w:rtl/>
        </w:rPr>
        <w:t xml:space="preserve"> פוגע בחופש העיסוק</w:t>
      </w:r>
      <w:r w:rsidR="008D221B" w:rsidRPr="00AC10E7">
        <w:rPr>
          <w:rFonts w:ascii="Arial" w:hAnsi="Arial" w:cs="Arial"/>
          <w:rtl/>
        </w:rPr>
        <w:t xml:space="preserve"> אך הגבלה זו היא למטרה ראויה- הגנת הציבור, שכן המיסטיקאים</w:t>
      </w:r>
      <w:r w:rsidRPr="00AC10E7">
        <w:rPr>
          <w:rFonts w:ascii="Arial" w:hAnsi="Arial" w:cs="Arial"/>
          <w:rtl/>
        </w:rPr>
        <w:t xml:space="preserve"> משקרים ומנצלים את בעיות הציבור.</w:t>
      </w:r>
    </w:p>
    <w:p w:rsidR="008D221B" w:rsidRPr="00AC10E7" w:rsidRDefault="008D221B" w:rsidP="005A168B">
      <w:pPr>
        <w:pStyle w:val="a3"/>
        <w:rPr>
          <w:rFonts w:ascii="Arial" w:hAnsi="Arial" w:cs="Arial"/>
          <w:rtl/>
        </w:rPr>
      </w:pPr>
    </w:p>
    <w:p w:rsidR="008D221B" w:rsidRPr="00AC10E7" w:rsidRDefault="006E66EB" w:rsidP="005A168B">
      <w:pPr>
        <w:pStyle w:val="a3"/>
        <w:rPr>
          <w:rFonts w:ascii="Arial" w:hAnsi="Arial" w:cs="Arial"/>
          <w:rtl/>
        </w:rPr>
      </w:pPr>
      <w:r w:rsidRPr="00AC10E7">
        <w:rPr>
          <w:rFonts w:ascii="Arial" w:hAnsi="Arial" w:cs="Arial"/>
          <w:rtl/>
        </w:rPr>
        <w:t>כעת נ</w:t>
      </w:r>
      <w:r w:rsidR="008D221B" w:rsidRPr="00AC10E7">
        <w:rPr>
          <w:rFonts w:ascii="Arial" w:hAnsi="Arial" w:cs="Arial"/>
          <w:rtl/>
        </w:rPr>
        <w:t>בדוק האם הזכויות הנפגעות מעוגנות בח"י.</w:t>
      </w:r>
    </w:p>
    <w:p w:rsidR="006B334F" w:rsidRPr="00AC10E7" w:rsidRDefault="008D221B" w:rsidP="005A168B">
      <w:pPr>
        <w:pStyle w:val="a3"/>
        <w:rPr>
          <w:rFonts w:ascii="Arial" w:hAnsi="Arial" w:cs="Arial"/>
          <w:rtl/>
        </w:rPr>
      </w:pPr>
      <w:r w:rsidRPr="00AC10E7">
        <w:rPr>
          <w:rFonts w:ascii="Arial" w:hAnsi="Arial" w:cs="Arial"/>
          <w:rtl/>
        </w:rPr>
        <w:t>חופש העיסוק אכן מעוגן בח"י: חופש העיסוק</w:t>
      </w:r>
      <w:r w:rsidRPr="00AC10E7">
        <w:rPr>
          <w:rStyle w:val="a6"/>
          <w:rFonts w:ascii="Arial" w:hAnsi="Arial" w:cs="Arial"/>
          <w:rtl/>
        </w:rPr>
        <w:footnoteReference w:id="17"/>
      </w:r>
      <w:r w:rsidRPr="00AC10E7">
        <w:rPr>
          <w:rFonts w:ascii="Arial" w:hAnsi="Arial" w:cs="Arial"/>
          <w:rtl/>
        </w:rPr>
        <w:t>, כך גם הזכות לקניין</w:t>
      </w:r>
      <w:r w:rsidRPr="00AC10E7">
        <w:rPr>
          <w:rStyle w:val="a6"/>
          <w:rFonts w:ascii="Arial" w:hAnsi="Arial" w:cs="Arial"/>
          <w:rtl/>
        </w:rPr>
        <w:footnoteReference w:id="18"/>
      </w:r>
      <w:r w:rsidR="00F93AF7" w:rsidRPr="00AC10E7">
        <w:rPr>
          <w:rFonts w:ascii="Arial" w:hAnsi="Arial" w:cs="Arial"/>
          <w:rtl/>
        </w:rPr>
        <w:t xml:space="preserve"> והזכות לחירות</w:t>
      </w:r>
      <w:r w:rsidR="00F93AF7" w:rsidRPr="00AC10E7">
        <w:rPr>
          <w:rStyle w:val="a6"/>
          <w:rFonts w:ascii="Arial" w:hAnsi="Arial" w:cs="Arial"/>
          <w:rtl/>
        </w:rPr>
        <w:footnoteReference w:id="19"/>
      </w:r>
      <w:r w:rsidR="00F93AF7" w:rsidRPr="00AC10E7">
        <w:rPr>
          <w:rFonts w:ascii="Arial" w:hAnsi="Arial" w:cs="Arial"/>
          <w:rtl/>
        </w:rPr>
        <w:t xml:space="preserve"> מעוגנות בח"י: כבוד האדם וחירותו</w:t>
      </w:r>
      <w:r w:rsidR="00F93AF7" w:rsidRPr="00AC10E7">
        <w:rPr>
          <w:rStyle w:val="a6"/>
          <w:rFonts w:ascii="Arial" w:hAnsi="Arial" w:cs="Arial"/>
          <w:rtl/>
        </w:rPr>
        <w:footnoteReference w:id="20"/>
      </w:r>
      <w:r w:rsidR="00F93AF7" w:rsidRPr="00AC10E7">
        <w:rPr>
          <w:rFonts w:ascii="Arial" w:hAnsi="Arial" w:cs="Arial"/>
          <w:rtl/>
        </w:rPr>
        <w:t xml:space="preserve"> (להלן: כבה"א).</w:t>
      </w:r>
    </w:p>
    <w:p w:rsidR="00F93AF7" w:rsidRPr="00AC10E7" w:rsidRDefault="00F93AF7" w:rsidP="005A168B">
      <w:pPr>
        <w:pStyle w:val="a3"/>
        <w:rPr>
          <w:rFonts w:ascii="Arial" w:hAnsi="Arial" w:cs="Arial"/>
          <w:rtl/>
        </w:rPr>
      </w:pPr>
      <w:r w:rsidRPr="00AC10E7">
        <w:rPr>
          <w:rFonts w:ascii="Arial" w:hAnsi="Arial" w:cs="Arial"/>
          <w:rtl/>
        </w:rPr>
        <w:t>אם כך, עלינו לבדוק האם חופש הביטוי, הזכות לשם טוב והזכות לשוויון מעוגנות בח"י: כבה"א.</w:t>
      </w:r>
    </w:p>
    <w:p w:rsidR="00F93AF7" w:rsidRPr="00AC10E7" w:rsidRDefault="00F93AF7" w:rsidP="005A168B">
      <w:pPr>
        <w:pStyle w:val="a3"/>
        <w:rPr>
          <w:rFonts w:ascii="Arial" w:hAnsi="Arial" w:cs="Arial"/>
          <w:rtl/>
        </w:rPr>
      </w:pPr>
    </w:p>
    <w:p w:rsidR="004B003C" w:rsidRPr="00AC10E7" w:rsidRDefault="00F93AF7" w:rsidP="00F93AF7">
      <w:pPr>
        <w:pStyle w:val="a3"/>
        <w:rPr>
          <w:rFonts w:ascii="Arial" w:hAnsi="Arial" w:cs="Arial"/>
          <w:rtl/>
        </w:rPr>
      </w:pPr>
      <w:r w:rsidRPr="00AC10E7">
        <w:rPr>
          <w:rFonts w:ascii="Arial" w:hAnsi="Arial" w:cs="Arial"/>
          <w:rtl/>
        </w:rPr>
        <w:t>לצורך בחינה זו נתאר את שלושת המודלים של הזכות לכבוד כפי שמציג אותם</w:t>
      </w:r>
      <w:r w:rsidR="00A12E6E" w:rsidRPr="00AC10E7">
        <w:rPr>
          <w:rFonts w:ascii="Arial" w:hAnsi="Arial" w:cs="Arial"/>
          <w:rtl/>
        </w:rPr>
        <w:t xml:space="preserve"> </w:t>
      </w:r>
      <w:r w:rsidRPr="00AC10E7">
        <w:rPr>
          <w:rFonts w:ascii="Arial" w:hAnsi="Arial" w:cs="Arial"/>
          <w:rtl/>
        </w:rPr>
        <w:t>ברק</w:t>
      </w:r>
      <w:r w:rsidR="00E830CC" w:rsidRPr="00AC10E7">
        <w:rPr>
          <w:rFonts w:ascii="Arial" w:hAnsi="Arial" w:cs="Arial"/>
          <w:rtl/>
        </w:rPr>
        <w:t>-</w:t>
      </w:r>
      <w:r w:rsidRPr="00AC10E7">
        <w:rPr>
          <w:rStyle w:val="a6"/>
          <w:rFonts w:ascii="Arial" w:hAnsi="Arial" w:cs="Arial"/>
          <w:rtl/>
        </w:rPr>
        <w:footnoteReference w:id="21"/>
      </w:r>
    </w:p>
    <w:p w:rsidR="00BC0094" w:rsidRPr="00AC10E7" w:rsidRDefault="00E830CC" w:rsidP="00BC0094">
      <w:pPr>
        <w:pStyle w:val="a7"/>
        <w:numPr>
          <w:ilvl w:val="0"/>
          <w:numId w:val="1"/>
        </w:numPr>
        <w:rPr>
          <w:rFonts w:ascii="Arial" w:hAnsi="Arial" w:cs="Arial"/>
        </w:rPr>
      </w:pPr>
      <w:r w:rsidRPr="00AC10E7">
        <w:rPr>
          <w:rFonts w:ascii="Arial" w:hAnsi="Arial" w:cs="Arial"/>
          <w:rtl/>
        </w:rPr>
        <w:t>המודל המצמצם-</w:t>
      </w:r>
      <w:r w:rsidR="00BC0094" w:rsidRPr="00AC10E7">
        <w:rPr>
          <w:rFonts w:ascii="Arial" w:hAnsi="Arial" w:cs="Arial"/>
          <w:rtl/>
        </w:rPr>
        <w:t xml:space="preserve"> כבה"א משתרע רק על הפגיעות המובהקות בכבוד הקשורות לאנושיותו של האדם. (פגיעו</w:t>
      </w:r>
      <w:r w:rsidRPr="00AC10E7">
        <w:rPr>
          <w:rFonts w:ascii="Arial" w:hAnsi="Arial" w:cs="Arial"/>
          <w:rtl/>
        </w:rPr>
        <w:t>ת גופניות, נפשיות, השפלה...</w:t>
      </w:r>
      <w:r w:rsidR="00BC0094" w:rsidRPr="00AC10E7">
        <w:rPr>
          <w:rFonts w:ascii="Arial" w:hAnsi="Arial" w:cs="Arial"/>
          <w:rtl/>
        </w:rPr>
        <w:t>).</w:t>
      </w:r>
    </w:p>
    <w:p w:rsidR="00BC0094" w:rsidRPr="00AC10E7" w:rsidRDefault="00BC0094" w:rsidP="00BC0094">
      <w:pPr>
        <w:pStyle w:val="a7"/>
        <w:numPr>
          <w:ilvl w:val="0"/>
          <w:numId w:val="1"/>
        </w:numPr>
        <w:rPr>
          <w:rFonts w:ascii="Arial" w:hAnsi="Arial" w:cs="Arial"/>
        </w:rPr>
      </w:pPr>
      <w:r w:rsidRPr="00AC10E7">
        <w:rPr>
          <w:rFonts w:ascii="Arial" w:hAnsi="Arial" w:cs="Arial"/>
          <w:rtl/>
        </w:rPr>
        <w:t xml:space="preserve">המודל הרחב- </w:t>
      </w:r>
      <w:r w:rsidR="00E830CC" w:rsidRPr="00AC10E7">
        <w:rPr>
          <w:rFonts w:ascii="Arial" w:hAnsi="Arial" w:cs="Arial"/>
          <w:rtl/>
        </w:rPr>
        <w:t xml:space="preserve"> </w:t>
      </w:r>
      <w:r w:rsidRPr="00AC10E7">
        <w:rPr>
          <w:rFonts w:ascii="Arial" w:hAnsi="Arial" w:cs="Arial"/>
          <w:rtl/>
        </w:rPr>
        <w:t>כבה"א הוא הבסיס לכל זכויות האדם וכולן כלולות בו.</w:t>
      </w:r>
    </w:p>
    <w:p w:rsidR="00BC0094" w:rsidRPr="00AC10E7" w:rsidRDefault="00BC0094" w:rsidP="00BC0094">
      <w:pPr>
        <w:pStyle w:val="a7"/>
        <w:numPr>
          <w:ilvl w:val="0"/>
          <w:numId w:val="1"/>
        </w:numPr>
        <w:rPr>
          <w:rFonts w:ascii="Arial" w:hAnsi="Arial" w:cs="Arial"/>
        </w:rPr>
      </w:pPr>
      <w:r w:rsidRPr="00AC10E7">
        <w:rPr>
          <w:rFonts w:ascii="Arial" w:hAnsi="Arial" w:cs="Arial"/>
          <w:rtl/>
        </w:rPr>
        <w:t xml:space="preserve">מודל הביניים- </w:t>
      </w:r>
      <w:r w:rsidR="00E830CC" w:rsidRPr="00AC10E7">
        <w:rPr>
          <w:rFonts w:ascii="Arial" w:hAnsi="Arial" w:cs="Arial"/>
          <w:rtl/>
        </w:rPr>
        <w:t xml:space="preserve"> </w:t>
      </w:r>
      <w:r w:rsidRPr="00AC10E7">
        <w:rPr>
          <w:rFonts w:ascii="Arial" w:hAnsi="Arial" w:cs="Arial"/>
          <w:rtl/>
        </w:rPr>
        <w:t xml:space="preserve">כבה"א אינו מוגבל רק לפגיעות בגרעין כבה"א, הוא גם אינו משתרע על כל זכויות האדם שניתן לגזור ממנו. כבה"א כולל רק את הזכויות הקשורות </w:t>
      </w:r>
      <w:proofErr w:type="spellStart"/>
      <w:r w:rsidRPr="00AC10E7">
        <w:rPr>
          <w:rFonts w:ascii="Arial" w:hAnsi="Arial" w:cs="Arial"/>
          <w:rtl/>
        </w:rPr>
        <w:t>לכבה"א</w:t>
      </w:r>
      <w:proofErr w:type="spellEnd"/>
      <w:r w:rsidRPr="00AC10E7">
        <w:rPr>
          <w:rFonts w:ascii="Arial" w:hAnsi="Arial" w:cs="Arial"/>
          <w:rtl/>
        </w:rPr>
        <w:t xml:space="preserve"> בקשר ענייני הדוק.</w:t>
      </w:r>
    </w:p>
    <w:p w:rsidR="00ED41EF" w:rsidRPr="00AC10E7" w:rsidRDefault="00ED41EF" w:rsidP="00ED41EF">
      <w:pPr>
        <w:pStyle w:val="a7"/>
        <w:rPr>
          <w:rFonts w:ascii="Arial" w:hAnsi="Arial" w:cs="Arial"/>
        </w:rPr>
      </w:pPr>
      <w:r w:rsidRPr="00AC10E7">
        <w:rPr>
          <w:rFonts w:ascii="Arial" w:hAnsi="Arial" w:cs="Arial"/>
          <w:rtl/>
        </w:rPr>
        <w:t>המודל שאומץ בפסיקת ביהמ"ש העליון הוא מודל הביניים</w:t>
      </w:r>
      <w:r w:rsidRPr="00AC10E7">
        <w:rPr>
          <w:rStyle w:val="a6"/>
          <w:rFonts w:ascii="Arial" w:hAnsi="Arial" w:cs="Arial"/>
        </w:rPr>
        <w:footnoteReference w:id="22"/>
      </w:r>
      <w:r w:rsidR="00574891" w:rsidRPr="00AC10E7">
        <w:rPr>
          <w:rFonts w:ascii="Arial" w:hAnsi="Arial" w:cs="Arial"/>
          <w:rtl/>
        </w:rPr>
        <w:t>.</w:t>
      </w:r>
    </w:p>
    <w:p w:rsidR="00BC0094" w:rsidRPr="00AC10E7" w:rsidRDefault="00E830CC" w:rsidP="00BC0094">
      <w:pPr>
        <w:pStyle w:val="a7"/>
        <w:rPr>
          <w:rFonts w:ascii="Arial" w:hAnsi="Arial" w:cs="Arial"/>
          <w:rtl/>
        </w:rPr>
      </w:pPr>
      <w:r w:rsidRPr="00AC10E7">
        <w:rPr>
          <w:rFonts w:ascii="Arial" w:hAnsi="Arial" w:cs="Arial"/>
          <w:rtl/>
        </w:rPr>
        <w:t>ניתן לטעון</w:t>
      </w:r>
      <w:r w:rsidR="00BC0094" w:rsidRPr="00AC10E7">
        <w:rPr>
          <w:rFonts w:ascii="Arial" w:hAnsi="Arial" w:cs="Arial"/>
          <w:rtl/>
        </w:rPr>
        <w:t xml:space="preserve"> כי הזכויות הנפגעות קשורות קשר הדוק </w:t>
      </w:r>
      <w:proofErr w:type="spellStart"/>
      <w:r w:rsidR="00BC0094" w:rsidRPr="00AC10E7">
        <w:rPr>
          <w:rFonts w:ascii="Arial" w:hAnsi="Arial" w:cs="Arial"/>
          <w:rtl/>
        </w:rPr>
        <w:t>לכבה"א</w:t>
      </w:r>
      <w:proofErr w:type="spellEnd"/>
      <w:r w:rsidR="00BC0094" w:rsidRPr="00AC10E7">
        <w:rPr>
          <w:rFonts w:ascii="Arial" w:hAnsi="Arial" w:cs="Arial"/>
          <w:rtl/>
        </w:rPr>
        <w:t>, באשר לפגיעה בשם טוב ובזכות לשוויון</w:t>
      </w:r>
      <w:r w:rsidR="009E7D40" w:rsidRPr="00AC10E7">
        <w:rPr>
          <w:rFonts w:ascii="Arial" w:hAnsi="Arial" w:cs="Arial"/>
          <w:rtl/>
        </w:rPr>
        <w:t>- פגיעה בשמו הטוב של אדם</w:t>
      </w:r>
      <w:r w:rsidR="00BC0094" w:rsidRPr="00AC10E7">
        <w:rPr>
          <w:rFonts w:ascii="Arial" w:hAnsi="Arial" w:cs="Arial"/>
          <w:rtl/>
        </w:rPr>
        <w:t xml:space="preserve"> ופגיעה </w:t>
      </w:r>
      <w:r w:rsidR="009F692B" w:rsidRPr="00AC10E7">
        <w:rPr>
          <w:rFonts w:ascii="Arial" w:hAnsi="Arial" w:cs="Arial"/>
          <w:rtl/>
        </w:rPr>
        <w:t>בזכותו לשוויון הן פגיעות בכבוד, אדם רוצה להרגיש שווה בין שווים</w:t>
      </w:r>
      <w:r w:rsidR="009F692B" w:rsidRPr="00AC10E7">
        <w:rPr>
          <w:rStyle w:val="a6"/>
          <w:rFonts w:ascii="Arial" w:hAnsi="Arial" w:cs="Arial"/>
          <w:rtl/>
        </w:rPr>
        <w:footnoteReference w:id="23"/>
      </w:r>
      <w:r w:rsidR="009F692B" w:rsidRPr="00AC10E7">
        <w:rPr>
          <w:rFonts w:ascii="Arial" w:hAnsi="Arial" w:cs="Arial"/>
          <w:rtl/>
        </w:rPr>
        <w:t>.</w:t>
      </w:r>
    </w:p>
    <w:p w:rsidR="009F692B" w:rsidRPr="00AC10E7" w:rsidRDefault="009F692B" w:rsidP="00BC0094">
      <w:pPr>
        <w:pStyle w:val="a7"/>
        <w:rPr>
          <w:rFonts w:ascii="Arial" w:hAnsi="Arial" w:cs="Arial"/>
          <w:rtl/>
        </w:rPr>
      </w:pPr>
      <w:r w:rsidRPr="00AC10E7">
        <w:rPr>
          <w:rFonts w:ascii="Arial" w:hAnsi="Arial" w:cs="Arial"/>
          <w:rtl/>
        </w:rPr>
        <w:t>באשר לחופש הביטוי, זוהי זכותו של כל אדם לבטא עצמו בכל דרך, לפי ברק "האדם הוא  יצור חופשי, המפתח את גופו ורוחו על פי רצונו בחברה" והרי דרכו של אדם לממש זאת, היא ע"י חופש הביטוי</w:t>
      </w:r>
      <w:r w:rsidRPr="00AC10E7">
        <w:rPr>
          <w:rStyle w:val="a6"/>
          <w:rFonts w:ascii="Arial" w:hAnsi="Arial" w:cs="Arial"/>
          <w:rtl/>
        </w:rPr>
        <w:footnoteReference w:id="24"/>
      </w:r>
      <w:r w:rsidRPr="00AC10E7">
        <w:rPr>
          <w:rFonts w:ascii="Arial" w:hAnsi="Arial" w:cs="Arial"/>
          <w:rtl/>
        </w:rPr>
        <w:t>.</w:t>
      </w:r>
    </w:p>
    <w:p w:rsidR="00ED41EF" w:rsidRPr="00AC10E7" w:rsidRDefault="009F692B" w:rsidP="00BC0094">
      <w:pPr>
        <w:pStyle w:val="a7"/>
        <w:rPr>
          <w:rFonts w:ascii="Arial" w:hAnsi="Arial" w:cs="Arial"/>
          <w:rtl/>
        </w:rPr>
      </w:pPr>
      <w:r w:rsidRPr="00AC10E7">
        <w:rPr>
          <w:rFonts w:ascii="Arial" w:hAnsi="Arial" w:cs="Arial"/>
          <w:rtl/>
        </w:rPr>
        <w:t>מנגד</w:t>
      </w:r>
      <w:r w:rsidR="009E7D40" w:rsidRPr="00AC10E7">
        <w:rPr>
          <w:rFonts w:ascii="Arial" w:hAnsi="Arial" w:cs="Arial"/>
          <w:rtl/>
        </w:rPr>
        <w:t>,</w:t>
      </w:r>
      <w:r w:rsidR="00ED41EF" w:rsidRPr="00AC10E7">
        <w:rPr>
          <w:rFonts w:ascii="Arial" w:hAnsi="Arial" w:cs="Arial"/>
          <w:rtl/>
        </w:rPr>
        <w:t xml:space="preserve"> יש צורך לבחון האם בפגיעה זו יש משום השפלת כבודו של אדם</w:t>
      </w:r>
      <w:r w:rsidR="00ED41EF" w:rsidRPr="00AC10E7">
        <w:rPr>
          <w:rStyle w:val="a6"/>
          <w:rFonts w:ascii="Arial" w:hAnsi="Arial" w:cs="Arial"/>
          <w:rtl/>
        </w:rPr>
        <w:footnoteReference w:id="25"/>
      </w:r>
      <w:r w:rsidR="009E7D40" w:rsidRPr="00AC10E7">
        <w:rPr>
          <w:rFonts w:ascii="Arial" w:hAnsi="Arial" w:cs="Arial"/>
          <w:rtl/>
        </w:rPr>
        <w:t xml:space="preserve"> , בענייננו פגיעה בחופש הביטוי בדרך</w:t>
      </w:r>
      <w:r w:rsidR="00ED41EF" w:rsidRPr="00AC10E7">
        <w:rPr>
          <w:rFonts w:ascii="Arial" w:hAnsi="Arial" w:cs="Arial"/>
          <w:rtl/>
        </w:rPr>
        <w:t xml:space="preserve"> של איסור פרסום מודעות אינה כרוכה בהשפלה ולכן אינה נכנסת תחת ההגדרה של הזכות לכבוד. </w:t>
      </w:r>
    </w:p>
    <w:p w:rsidR="00C527F7" w:rsidRPr="00AC10E7" w:rsidRDefault="00ED41EF" w:rsidP="00ED41EF">
      <w:pPr>
        <w:pStyle w:val="a7"/>
        <w:rPr>
          <w:rFonts w:ascii="Arial" w:hAnsi="Arial" w:cs="Arial"/>
          <w:rtl/>
        </w:rPr>
      </w:pPr>
      <w:r w:rsidRPr="00AC10E7">
        <w:rPr>
          <w:rFonts w:ascii="Arial" w:hAnsi="Arial" w:cs="Arial"/>
          <w:rtl/>
        </w:rPr>
        <w:t>כך גם פגיעה בשוויון- לא כל פגיעה בשוויון ע</w:t>
      </w:r>
      <w:r w:rsidR="00E830CC" w:rsidRPr="00AC10E7">
        <w:rPr>
          <w:rFonts w:ascii="Arial" w:hAnsi="Arial" w:cs="Arial"/>
          <w:rtl/>
        </w:rPr>
        <w:t>ולה לכדי השפלה, ולכן לא כל פגיעה</w:t>
      </w:r>
      <w:r w:rsidRPr="00AC10E7">
        <w:rPr>
          <w:rFonts w:ascii="Arial" w:hAnsi="Arial" w:cs="Arial"/>
          <w:rtl/>
        </w:rPr>
        <w:t xml:space="preserve"> בשוויון פוגעת בזכות לכבוד, ובמקרה דנן הפגיעה בשוויון אינה מגיעה לכדי השפלה.</w:t>
      </w:r>
    </w:p>
    <w:p w:rsidR="00A85585" w:rsidRPr="00AC10E7" w:rsidRDefault="00A85585" w:rsidP="00ED41EF">
      <w:pPr>
        <w:pStyle w:val="a7"/>
        <w:rPr>
          <w:rFonts w:ascii="Arial" w:hAnsi="Arial" w:cs="Arial"/>
          <w:rtl/>
        </w:rPr>
      </w:pPr>
    </w:p>
    <w:p w:rsidR="00A85585" w:rsidRPr="00AC10E7" w:rsidRDefault="00B518BD" w:rsidP="00ED41EF">
      <w:pPr>
        <w:pStyle w:val="a7"/>
        <w:rPr>
          <w:rFonts w:ascii="Arial" w:hAnsi="Arial" w:cs="Arial"/>
          <w:rtl/>
        </w:rPr>
      </w:pPr>
      <w:r w:rsidRPr="00AC10E7">
        <w:rPr>
          <w:rFonts w:ascii="Arial" w:hAnsi="Arial" w:cs="Arial"/>
          <w:rtl/>
        </w:rPr>
        <w:t xml:space="preserve">בעניין זה יש לציין- </w:t>
      </w:r>
      <w:r w:rsidR="001F1F52" w:rsidRPr="00AC10E7">
        <w:rPr>
          <w:rFonts w:ascii="Arial" w:hAnsi="Arial" w:cs="Arial"/>
          <w:rtl/>
        </w:rPr>
        <w:t>כשמדובר בפגיעה פוטנציאלית</w:t>
      </w:r>
      <w:r w:rsidR="00422CE1" w:rsidRPr="00AC10E7">
        <w:rPr>
          <w:rFonts w:ascii="Arial" w:hAnsi="Arial" w:cs="Arial"/>
          <w:rtl/>
        </w:rPr>
        <w:t xml:space="preserve"> בזכויות </w:t>
      </w:r>
      <w:r w:rsidRPr="00AC10E7">
        <w:rPr>
          <w:rFonts w:ascii="Arial" w:hAnsi="Arial" w:cs="Arial"/>
          <w:rtl/>
        </w:rPr>
        <w:t xml:space="preserve">אדם </w:t>
      </w:r>
      <w:r w:rsidR="00422CE1" w:rsidRPr="00AC10E7">
        <w:rPr>
          <w:rFonts w:ascii="Arial" w:hAnsi="Arial" w:cs="Arial"/>
          <w:rtl/>
        </w:rPr>
        <w:t>אין זה מ</w:t>
      </w:r>
      <w:r w:rsidR="001F1F52" w:rsidRPr="00AC10E7">
        <w:rPr>
          <w:rFonts w:ascii="Arial" w:hAnsi="Arial" w:cs="Arial"/>
          <w:rtl/>
        </w:rPr>
        <w:t>צדי</w:t>
      </w:r>
      <w:r w:rsidR="00422CE1" w:rsidRPr="00AC10E7">
        <w:rPr>
          <w:rFonts w:ascii="Arial" w:hAnsi="Arial" w:cs="Arial"/>
          <w:rtl/>
        </w:rPr>
        <w:t>ק התערבות שיפוטית לביטול החקיקה.</w:t>
      </w:r>
      <w:r w:rsidR="00A85585" w:rsidRPr="00AC10E7">
        <w:rPr>
          <w:rStyle w:val="a6"/>
          <w:rFonts w:ascii="Arial" w:hAnsi="Arial" w:cs="Arial"/>
          <w:rtl/>
        </w:rPr>
        <w:footnoteReference w:id="26"/>
      </w:r>
      <w:r w:rsidRPr="00AC10E7">
        <w:rPr>
          <w:rFonts w:ascii="Arial" w:hAnsi="Arial" w:cs="Arial"/>
          <w:rtl/>
        </w:rPr>
        <w:t xml:space="preserve"> </w:t>
      </w:r>
    </w:p>
    <w:p w:rsidR="00B518BD" w:rsidRPr="00AC10E7" w:rsidRDefault="00B518BD" w:rsidP="00ED41EF">
      <w:pPr>
        <w:pStyle w:val="a7"/>
        <w:rPr>
          <w:rFonts w:ascii="Arial" w:hAnsi="Arial" w:cs="Arial"/>
          <w:rtl/>
        </w:rPr>
      </w:pPr>
    </w:p>
    <w:p w:rsidR="00095392" w:rsidRPr="00AC10E7" w:rsidRDefault="00630929" w:rsidP="005D5634">
      <w:pPr>
        <w:pStyle w:val="a3"/>
        <w:rPr>
          <w:rFonts w:ascii="Arial" w:hAnsi="Arial" w:cs="Arial"/>
          <w:rtl/>
        </w:rPr>
      </w:pPr>
      <w:r w:rsidRPr="00AC10E7">
        <w:rPr>
          <w:rFonts w:ascii="Arial" w:hAnsi="Arial" w:cs="Arial"/>
          <w:rtl/>
        </w:rPr>
        <w:t>בהנחה שאכן נפגעו זכויות המעוגנות בח"י, נעבור לשלב השני בבחינת טענה חוקתית, לפיו יש לבד</w:t>
      </w:r>
      <w:r w:rsidR="00095392" w:rsidRPr="00AC10E7">
        <w:rPr>
          <w:rFonts w:ascii="Arial" w:hAnsi="Arial" w:cs="Arial"/>
          <w:rtl/>
        </w:rPr>
        <w:t>וק האם דבר החקיקה הפוגע עומד</w:t>
      </w:r>
      <w:r w:rsidRPr="00AC10E7">
        <w:rPr>
          <w:rFonts w:ascii="Arial" w:hAnsi="Arial" w:cs="Arial"/>
          <w:rtl/>
        </w:rPr>
        <w:t xml:space="preserve"> </w:t>
      </w:r>
      <w:r w:rsidR="00095392" w:rsidRPr="00AC10E7">
        <w:rPr>
          <w:rFonts w:ascii="Arial" w:hAnsi="Arial" w:cs="Arial"/>
          <w:rtl/>
        </w:rPr>
        <w:t>ב</w:t>
      </w:r>
      <w:r w:rsidRPr="00AC10E7">
        <w:rPr>
          <w:rFonts w:ascii="Arial" w:hAnsi="Arial" w:cs="Arial"/>
          <w:rtl/>
        </w:rPr>
        <w:t>דריש</w:t>
      </w:r>
      <w:r w:rsidR="00095392" w:rsidRPr="00AC10E7">
        <w:rPr>
          <w:rFonts w:ascii="Arial" w:hAnsi="Arial" w:cs="Arial"/>
          <w:rtl/>
        </w:rPr>
        <w:t>ו</w:t>
      </w:r>
      <w:r w:rsidRPr="00AC10E7">
        <w:rPr>
          <w:rFonts w:ascii="Arial" w:hAnsi="Arial" w:cs="Arial"/>
          <w:rtl/>
        </w:rPr>
        <w:t>ת פסקת ההגבלה המפורטת בח"י</w:t>
      </w:r>
      <w:r w:rsidRPr="00AC10E7">
        <w:rPr>
          <w:rStyle w:val="a6"/>
          <w:rFonts w:ascii="Arial" w:hAnsi="Arial" w:cs="Arial"/>
          <w:rtl/>
        </w:rPr>
        <w:footnoteReference w:id="27"/>
      </w:r>
      <w:r w:rsidRPr="00AC10E7">
        <w:rPr>
          <w:rFonts w:ascii="Arial" w:hAnsi="Arial" w:cs="Arial"/>
          <w:rtl/>
        </w:rPr>
        <w:t>.</w:t>
      </w:r>
      <w:r w:rsidR="005D5634" w:rsidRPr="00AC10E7">
        <w:rPr>
          <w:rFonts w:ascii="Arial" w:hAnsi="Arial" w:cs="Arial"/>
          <w:rtl/>
        </w:rPr>
        <w:t xml:space="preserve">                        </w:t>
      </w:r>
    </w:p>
    <w:p w:rsidR="005D5634" w:rsidRPr="00AC10E7" w:rsidRDefault="00630929" w:rsidP="005D5634">
      <w:pPr>
        <w:pStyle w:val="a3"/>
        <w:rPr>
          <w:rFonts w:ascii="Arial" w:hAnsi="Arial" w:cs="Arial"/>
          <w:rtl/>
        </w:rPr>
      </w:pPr>
      <w:r w:rsidRPr="00AC10E7">
        <w:rPr>
          <w:rFonts w:ascii="Arial" w:hAnsi="Arial" w:cs="Arial"/>
          <w:rtl/>
        </w:rPr>
        <w:t>תנאי פסקת ההגבלה</w:t>
      </w:r>
      <w:r w:rsidR="0022750B" w:rsidRPr="00AC10E7">
        <w:rPr>
          <w:rStyle w:val="a6"/>
          <w:rFonts w:ascii="Arial" w:hAnsi="Arial" w:cs="Arial"/>
          <w:rtl/>
        </w:rPr>
        <w:footnoteReference w:id="28"/>
      </w:r>
      <w:r w:rsidR="0022750B" w:rsidRPr="00AC10E7">
        <w:rPr>
          <w:rFonts w:ascii="Arial" w:hAnsi="Arial" w:cs="Arial"/>
          <w:rtl/>
        </w:rPr>
        <w:t xml:space="preserve"> </w:t>
      </w:r>
      <w:r w:rsidRPr="00AC10E7">
        <w:rPr>
          <w:rFonts w:ascii="Arial" w:hAnsi="Arial" w:cs="Arial"/>
          <w:rtl/>
        </w:rPr>
        <w:t xml:space="preserve"> הם תנאים מצטברים ודי בכך שאחד מהם לא מתקיים כדי שהחוק יחשב לבלתי-חוקי</w:t>
      </w:r>
      <w:r w:rsidR="0022750B" w:rsidRPr="00AC10E7">
        <w:rPr>
          <w:rFonts w:ascii="Arial" w:hAnsi="Arial" w:cs="Arial"/>
          <w:rtl/>
        </w:rPr>
        <w:t>.</w:t>
      </w:r>
    </w:p>
    <w:p w:rsidR="001166DC" w:rsidRPr="00AC10E7" w:rsidRDefault="00630929" w:rsidP="005D5634">
      <w:pPr>
        <w:pStyle w:val="a3"/>
        <w:rPr>
          <w:rFonts w:ascii="Arial" w:hAnsi="Arial" w:cs="Arial"/>
          <w:rtl/>
        </w:rPr>
      </w:pPr>
      <w:r w:rsidRPr="00AC10E7">
        <w:rPr>
          <w:rFonts w:ascii="Arial" w:hAnsi="Arial" w:cs="Arial"/>
          <w:b/>
          <w:bCs/>
          <w:rtl/>
        </w:rPr>
        <w:t>תנאי ראשון</w:t>
      </w:r>
      <w:r w:rsidRPr="00AC10E7">
        <w:rPr>
          <w:rFonts w:ascii="Arial" w:hAnsi="Arial" w:cs="Arial"/>
          <w:rtl/>
        </w:rPr>
        <w:t xml:space="preserve"> </w:t>
      </w:r>
      <w:r w:rsidR="0022750B" w:rsidRPr="00AC10E7">
        <w:rPr>
          <w:rFonts w:ascii="Arial" w:hAnsi="Arial" w:cs="Arial"/>
          <w:rtl/>
        </w:rPr>
        <w:t>-</w:t>
      </w:r>
      <w:r w:rsidR="001166DC" w:rsidRPr="00AC10E7">
        <w:rPr>
          <w:rFonts w:ascii="Arial" w:hAnsi="Arial" w:cs="Arial"/>
          <w:rtl/>
        </w:rPr>
        <w:t>עלינו לבדוק</w:t>
      </w:r>
      <w:r w:rsidRPr="00AC10E7">
        <w:rPr>
          <w:rFonts w:ascii="Arial" w:hAnsi="Arial" w:cs="Arial"/>
          <w:rtl/>
        </w:rPr>
        <w:t xml:space="preserve"> האם הפגיעה היא בחוק, או לפי חוק מכוח הסמכה מפורשת בו.</w:t>
      </w:r>
      <w:r w:rsidR="005D5634" w:rsidRPr="00AC10E7">
        <w:rPr>
          <w:rFonts w:ascii="Arial" w:hAnsi="Arial" w:cs="Arial"/>
          <w:rtl/>
        </w:rPr>
        <w:t xml:space="preserve"> </w:t>
      </w:r>
    </w:p>
    <w:p w:rsidR="00630929" w:rsidRPr="00AC10E7" w:rsidRDefault="00630929" w:rsidP="005D5634">
      <w:pPr>
        <w:pStyle w:val="a3"/>
        <w:rPr>
          <w:rFonts w:ascii="Arial" w:hAnsi="Arial" w:cs="Arial"/>
          <w:rtl/>
        </w:rPr>
      </w:pPr>
      <w:r w:rsidRPr="00AC10E7">
        <w:rPr>
          <w:rFonts w:ascii="Arial" w:hAnsi="Arial" w:cs="Arial"/>
          <w:rtl/>
        </w:rPr>
        <w:t>במקרה דנן, החוק המתקן התקבל בכנסת.</w:t>
      </w:r>
    </w:p>
    <w:p w:rsidR="004C1D06" w:rsidRPr="00AC10E7" w:rsidRDefault="00630929" w:rsidP="004C1D06">
      <w:pPr>
        <w:pStyle w:val="a3"/>
        <w:rPr>
          <w:rFonts w:ascii="Arial" w:hAnsi="Arial" w:cs="Arial"/>
          <w:rtl/>
        </w:rPr>
      </w:pPr>
      <w:r w:rsidRPr="00AC10E7">
        <w:rPr>
          <w:rFonts w:ascii="Arial" w:hAnsi="Arial" w:cs="Arial"/>
          <w:b/>
          <w:bCs/>
          <w:rtl/>
        </w:rPr>
        <w:t>תנאי שני</w:t>
      </w:r>
      <w:r w:rsidR="0022750B" w:rsidRPr="00AC10E7">
        <w:rPr>
          <w:rFonts w:ascii="Arial" w:hAnsi="Arial" w:cs="Arial"/>
          <w:rtl/>
        </w:rPr>
        <w:t>-</w:t>
      </w:r>
      <w:r w:rsidRPr="00AC10E7">
        <w:rPr>
          <w:rFonts w:ascii="Arial" w:hAnsi="Arial" w:cs="Arial"/>
          <w:b/>
          <w:bCs/>
          <w:rtl/>
        </w:rPr>
        <w:t xml:space="preserve"> </w:t>
      </w:r>
      <w:r w:rsidRPr="00AC10E7">
        <w:rPr>
          <w:rFonts w:ascii="Arial" w:hAnsi="Arial" w:cs="Arial"/>
          <w:rtl/>
        </w:rPr>
        <w:t>החוק חייב להלום את ערכיה של מדינת ישראל כמדינה יהודית ודמוקרטית.</w:t>
      </w:r>
      <w:r w:rsidR="005D5634" w:rsidRPr="00AC10E7">
        <w:rPr>
          <w:rFonts w:ascii="Arial" w:hAnsi="Arial" w:cs="Arial"/>
          <w:rtl/>
        </w:rPr>
        <w:t xml:space="preserve">           </w:t>
      </w:r>
      <w:r w:rsidR="0022750B" w:rsidRPr="00AC10E7">
        <w:rPr>
          <w:rFonts w:ascii="Arial" w:hAnsi="Arial" w:cs="Arial"/>
          <w:rtl/>
        </w:rPr>
        <w:t xml:space="preserve">במקרה דנן, </w:t>
      </w:r>
      <w:r w:rsidR="004C1D06" w:rsidRPr="00AC10E7">
        <w:rPr>
          <w:rFonts w:ascii="Arial" w:hAnsi="Arial" w:cs="Arial"/>
          <w:rtl/>
        </w:rPr>
        <w:t xml:space="preserve">ניתן לטעון כי פגיעה בזכויות האדם אינה הולמת את </w:t>
      </w:r>
      <w:r w:rsidR="00FD5AAA" w:rsidRPr="00AC10E7">
        <w:rPr>
          <w:rFonts w:ascii="Arial" w:hAnsi="Arial" w:cs="Arial"/>
          <w:rtl/>
        </w:rPr>
        <w:t xml:space="preserve">ערכי </w:t>
      </w:r>
      <w:r w:rsidR="004C1D06" w:rsidRPr="00AC10E7">
        <w:rPr>
          <w:rFonts w:ascii="Arial" w:hAnsi="Arial" w:cs="Arial"/>
          <w:rtl/>
        </w:rPr>
        <w:t>מדינת ישראל כמדינה יהודית דמוקרטית</w:t>
      </w:r>
      <w:r w:rsidR="0022750B" w:rsidRPr="00AC10E7">
        <w:rPr>
          <w:rFonts w:ascii="Arial" w:hAnsi="Arial" w:cs="Arial"/>
          <w:rtl/>
        </w:rPr>
        <w:t>.</w:t>
      </w:r>
    </w:p>
    <w:p w:rsidR="004C1D06" w:rsidRPr="00AC10E7" w:rsidRDefault="0022750B" w:rsidP="004C1D06">
      <w:pPr>
        <w:pStyle w:val="a3"/>
        <w:rPr>
          <w:rFonts w:ascii="Arial" w:hAnsi="Arial" w:cs="Arial"/>
          <w:b/>
          <w:bCs/>
          <w:rtl/>
        </w:rPr>
      </w:pPr>
      <w:r w:rsidRPr="00AC10E7">
        <w:rPr>
          <w:rFonts w:ascii="Arial" w:hAnsi="Arial" w:cs="Arial"/>
          <w:rtl/>
        </w:rPr>
        <w:t>מנגד,</w:t>
      </w:r>
      <w:r w:rsidR="004C1D06" w:rsidRPr="00AC10E7">
        <w:rPr>
          <w:rFonts w:ascii="Arial" w:hAnsi="Arial" w:cs="Arial"/>
          <w:rtl/>
        </w:rPr>
        <w:t xml:space="preserve"> ניתן לטעון שהחוק המתקן בא להגן על אזרחי מדינת ישראל מפגיעה נפשית</w:t>
      </w:r>
      <w:r w:rsidR="00630929" w:rsidRPr="00AC10E7">
        <w:rPr>
          <w:rFonts w:ascii="Arial" w:hAnsi="Arial" w:cs="Arial"/>
          <w:rtl/>
        </w:rPr>
        <w:t xml:space="preserve"> </w:t>
      </w:r>
      <w:r w:rsidR="008024D2" w:rsidRPr="00AC10E7">
        <w:rPr>
          <w:rFonts w:ascii="Arial" w:hAnsi="Arial" w:cs="Arial"/>
          <w:rtl/>
        </w:rPr>
        <w:t>ופיזית.</w:t>
      </w:r>
    </w:p>
    <w:p w:rsidR="005B6EA7" w:rsidRPr="00AC10E7" w:rsidRDefault="0022750B" w:rsidP="004C1D06">
      <w:pPr>
        <w:pStyle w:val="a3"/>
        <w:rPr>
          <w:rFonts w:ascii="Arial" w:hAnsi="Arial" w:cs="Arial"/>
          <w:rtl/>
        </w:rPr>
      </w:pPr>
      <w:r w:rsidRPr="00AC10E7">
        <w:rPr>
          <w:rFonts w:ascii="Arial" w:hAnsi="Arial" w:cs="Arial"/>
          <w:b/>
          <w:bCs/>
          <w:rtl/>
        </w:rPr>
        <w:t>תנאי שלישי</w:t>
      </w:r>
      <w:r w:rsidR="005B6EA7" w:rsidRPr="00AC10E7">
        <w:rPr>
          <w:rFonts w:ascii="Arial" w:hAnsi="Arial" w:cs="Arial"/>
          <w:rtl/>
        </w:rPr>
        <w:t>-</w:t>
      </w:r>
      <w:r w:rsidRPr="00AC10E7">
        <w:rPr>
          <w:rFonts w:ascii="Arial" w:hAnsi="Arial" w:cs="Arial"/>
          <w:rtl/>
        </w:rPr>
        <w:t xml:space="preserve"> האם החוק נועד לתכלית ראויה. </w:t>
      </w:r>
    </w:p>
    <w:p w:rsidR="00525AAA" w:rsidRPr="00AC10E7" w:rsidRDefault="00525AAA" w:rsidP="004C1D06">
      <w:pPr>
        <w:pStyle w:val="a3"/>
        <w:rPr>
          <w:rFonts w:ascii="Arial" w:hAnsi="Arial" w:cs="Arial"/>
          <w:rtl/>
        </w:rPr>
      </w:pPr>
      <w:r w:rsidRPr="00AC10E7">
        <w:rPr>
          <w:rFonts w:ascii="Arial" w:hAnsi="Arial" w:cs="Arial"/>
          <w:rtl/>
        </w:rPr>
        <w:t>במקרה דנן, גם אם תכלית החוק ראויה, הרי שהיא אינה מגלה די רגישות לזכויות האדם.</w:t>
      </w:r>
    </w:p>
    <w:p w:rsidR="005D5634" w:rsidRPr="00AC10E7" w:rsidRDefault="00525AAA" w:rsidP="00525AAA">
      <w:pPr>
        <w:pStyle w:val="a3"/>
        <w:rPr>
          <w:rFonts w:ascii="Arial" w:hAnsi="Arial" w:cs="Arial"/>
          <w:rtl/>
        </w:rPr>
      </w:pPr>
      <w:r w:rsidRPr="00AC10E7">
        <w:rPr>
          <w:rFonts w:ascii="Arial" w:hAnsi="Arial" w:cs="Arial"/>
          <w:rtl/>
        </w:rPr>
        <w:t xml:space="preserve">מנגד, </w:t>
      </w:r>
      <w:r w:rsidR="0022750B" w:rsidRPr="00AC10E7">
        <w:rPr>
          <w:rFonts w:ascii="Arial" w:hAnsi="Arial" w:cs="Arial"/>
          <w:rtl/>
        </w:rPr>
        <w:t>המטרה להגן על אזרחי המדינה מפגיעה נפשית, פיזית, ניצול מיני וכספי, היא מטרה</w:t>
      </w:r>
      <w:r w:rsidR="00FD5AAA" w:rsidRPr="00AC10E7">
        <w:rPr>
          <w:rFonts w:ascii="Arial" w:hAnsi="Arial" w:cs="Arial"/>
          <w:rtl/>
        </w:rPr>
        <w:t xml:space="preserve"> חברתית ראויה ביותר לחקיקה, ו</w:t>
      </w:r>
      <w:r w:rsidR="00B93139" w:rsidRPr="00AC10E7">
        <w:rPr>
          <w:rFonts w:ascii="Arial" w:hAnsi="Arial" w:cs="Arial"/>
          <w:rtl/>
        </w:rPr>
        <w:t xml:space="preserve">הרי </w:t>
      </w:r>
      <w:r w:rsidR="0022750B" w:rsidRPr="00AC10E7">
        <w:rPr>
          <w:rFonts w:ascii="Arial" w:hAnsi="Arial" w:cs="Arial"/>
          <w:rtl/>
        </w:rPr>
        <w:t>אין ספק שתכל</w:t>
      </w:r>
      <w:r w:rsidR="00B93139" w:rsidRPr="00AC10E7">
        <w:rPr>
          <w:rFonts w:ascii="Arial" w:hAnsi="Arial" w:cs="Arial"/>
          <w:rtl/>
        </w:rPr>
        <w:t xml:space="preserve">ית זו עולה בקנה אחד עם ערכי </w:t>
      </w:r>
      <w:r w:rsidR="0022750B" w:rsidRPr="00AC10E7">
        <w:rPr>
          <w:rFonts w:ascii="Arial" w:hAnsi="Arial" w:cs="Arial"/>
          <w:rtl/>
        </w:rPr>
        <w:t>מדינת ישראל.</w:t>
      </w:r>
    </w:p>
    <w:p w:rsidR="005D5634" w:rsidRPr="00AC10E7" w:rsidRDefault="0022750B" w:rsidP="00AC2651">
      <w:pPr>
        <w:pStyle w:val="a3"/>
        <w:rPr>
          <w:rFonts w:ascii="Arial" w:hAnsi="Arial" w:cs="Arial"/>
          <w:rtl/>
        </w:rPr>
      </w:pPr>
      <w:r w:rsidRPr="00AC10E7">
        <w:rPr>
          <w:rFonts w:ascii="Arial" w:hAnsi="Arial" w:cs="Arial"/>
          <w:b/>
          <w:bCs/>
          <w:rtl/>
        </w:rPr>
        <w:t>תנאי רביעי</w:t>
      </w:r>
      <w:r w:rsidRPr="00AC10E7">
        <w:rPr>
          <w:rFonts w:ascii="Arial" w:hAnsi="Arial" w:cs="Arial"/>
          <w:rtl/>
        </w:rPr>
        <w:t>-</w:t>
      </w:r>
      <w:r w:rsidR="00B93139" w:rsidRPr="00AC10E7">
        <w:rPr>
          <w:rFonts w:ascii="Arial" w:hAnsi="Arial" w:cs="Arial"/>
          <w:rtl/>
        </w:rPr>
        <w:t xml:space="preserve"> </w:t>
      </w:r>
      <w:r w:rsidRPr="00AC10E7">
        <w:rPr>
          <w:rFonts w:ascii="Arial" w:hAnsi="Arial" w:cs="Arial"/>
          <w:rtl/>
        </w:rPr>
        <w:t>מידתיות.</w:t>
      </w:r>
      <w:r w:rsidR="00AC2651" w:rsidRPr="00AC10E7">
        <w:rPr>
          <w:rFonts w:ascii="Arial" w:hAnsi="Arial" w:cs="Arial"/>
          <w:rtl/>
        </w:rPr>
        <w:t xml:space="preserve"> </w:t>
      </w:r>
      <w:r w:rsidRPr="00AC10E7">
        <w:rPr>
          <w:rFonts w:ascii="Arial" w:hAnsi="Arial" w:cs="Arial"/>
          <w:rtl/>
        </w:rPr>
        <w:t>גם אם הוחלט שהתכלית ראויה, יש להגשימה באמצעים ראויים.</w:t>
      </w:r>
    </w:p>
    <w:p w:rsidR="0022750B" w:rsidRPr="00AC10E7" w:rsidRDefault="0022750B" w:rsidP="005D5634">
      <w:pPr>
        <w:pStyle w:val="a3"/>
        <w:rPr>
          <w:rFonts w:ascii="Arial" w:hAnsi="Arial" w:cs="Arial"/>
          <w:rtl/>
        </w:rPr>
      </w:pPr>
      <w:r w:rsidRPr="00AC10E7">
        <w:rPr>
          <w:rFonts w:ascii="Arial" w:hAnsi="Arial" w:cs="Arial"/>
          <w:rtl/>
        </w:rPr>
        <w:t>לשם בחינת המידתיות</w:t>
      </w:r>
      <w:r w:rsidR="00A45FF4" w:rsidRPr="00AC10E7">
        <w:rPr>
          <w:rFonts w:ascii="Arial" w:hAnsi="Arial" w:cs="Arial"/>
          <w:rtl/>
        </w:rPr>
        <w:t>,</w:t>
      </w:r>
      <w:r w:rsidRPr="00AC10E7">
        <w:rPr>
          <w:rFonts w:ascii="Arial" w:hAnsi="Arial" w:cs="Arial"/>
          <w:rtl/>
        </w:rPr>
        <w:t xml:space="preserve"> מקובל לחלק את מבחן המידתיות לשלושה מבחני משנה כפי שמביא אותם ברק</w:t>
      </w:r>
      <w:r w:rsidR="005D5634" w:rsidRPr="00AC10E7">
        <w:rPr>
          <w:rStyle w:val="a6"/>
          <w:rFonts w:ascii="Arial" w:hAnsi="Arial" w:cs="Arial"/>
          <w:rtl/>
        </w:rPr>
        <w:footnoteReference w:id="29"/>
      </w:r>
      <w:r w:rsidR="005D5634" w:rsidRPr="00AC10E7">
        <w:rPr>
          <w:rFonts w:ascii="Arial" w:hAnsi="Arial" w:cs="Arial"/>
          <w:rtl/>
        </w:rPr>
        <w:t>:</w:t>
      </w:r>
    </w:p>
    <w:p w:rsidR="005D5634" w:rsidRPr="00AC10E7" w:rsidRDefault="005D5634" w:rsidP="005D5634">
      <w:pPr>
        <w:pStyle w:val="a3"/>
        <w:rPr>
          <w:rFonts w:ascii="Arial" w:hAnsi="Arial" w:cs="Arial"/>
          <w:rtl/>
        </w:rPr>
      </w:pPr>
      <w:r w:rsidRPr="00AC10E7">
        <w:rPr>
          <w:rFonts w:ascii="Arial" w:hAnsi="Arial" w:cs="Arial"/>
          <w:b/>
          <w:bCs/>
          <w:rtl/>
        </w:rPr>
        <w:t>מבחן האמצעי המתאים והרציונלי להשגת המטרה החקיקתית-</w:t>
      </w:r>
      <w:r w:rsidRPr="00AC10E7">
        <w:rPr>
          <w:rFonts w:ascii="Arial" w:hAnsi="Arial" w:cs="Arial"/>
          <w:rtl/>
        </w:rPr>
        <w:t xml:space="preserve"> האמצעי מותאם להשגת המטרה. במקרה דנן, ניתן לטעון שהחוק המתקן הוא אמצעי מתאים להשגת המטרה,</w:t>
      </w:r>
      <w:r w:rsidR="00525AAA" w:rsidRPr="00AC10E7">
        <w:rPr>
          <w:rFonts w:ascii="Arial" w:hAnsi="Arial" w:cs="Arial"/>
          <w:rtl/>
        </w:rPr>
        <w:t xml:space="preserve"> שכן הוא יסייע בהשגתה- איסור הפרסום יביא להפחתת מודעות הציבור לטיפולים הללו, ובכך להפחתת הפגיעה.</w:t>
      </w:r>
    </w:p>
    <w:p w:rsidR="005D5634" w:rsidRPr="00AC10E7" w:rsidRDefault="005D5634" w:rsidP="005D5634">
      <w:pPr>
        <w:pStyle w:val="a3"/>
        <w:rPr>
          <w:rFonts w:ascii="Arial" w:hAnsi="Arial" w:cs="Arial"/>
          <w:rtl/>
        </w:rPr>
      </w:pPr>
      <w:r w:rsidRPr="00AC10E7">
        <w:rPr>
          <w:rFonts w:ascii="Arial" w:hAnsi="Arial" w:cs="Arial"/>
          <w:rtl/>
        </w:rPr>
        <w:t>מנגד, ניתן לטעון שהחוק לא יסייע בהשגת המטרה שכן המיסטיקאים יכולים לפנות לציבו</w:t>
      </w:r>
      <w:r w:rsidR="00E21D93" w:rsidRPr="00AC10E7">
        <w:rPr>
          <w:rFonts w:ascii="Arial" w:hAnsi="Arial" w:cs="Arial"/>
          <w:rtl/>
        </w:rPr>
        <w:t xml:space="preserve">ר בדרכים שונות שאינן </w:t>
      </w:r>
      <w:r w:rsidRPr="00AC10E7">
        <w:rPr>
          <w:rFonts w:ascii="Arial" w:hAnsi="Arial" w:cs="Arial"/>
          <w:rtl/>
        </w:rPr>
        <w:t>פרסום.</w:t>
      </w:r>
    </w:p>
    <w:p w:rsidR="005D5634" w:rsidRPr="00AC10E7" w:rsidRDefault="005D5634" w:rsidP="005D5634">
      <w:pPr>
        <w:pStyle w:val="a3"/>
        <w:rPr>
          <w:rFonts w:ascii="Arial" w:hAnsi="Arial" w:cs="Arial"/>
          <w:rtl/>
        </w:rPr>
      </w:pPr>
      <w:r w:rsidRPr="00AC10E7">
        <w:rPr>
          <w:rFonts w:ascii="Arial" w:hAnsi="Arial" w:cs="Arial"/>
          <w:b/>
          <w:bCs/>
          <w:rtl/>
        </w:rPr>
        <w:t xml:space="preserve">מבחן האמצעי שפגיעתו פחותה- </w:t>
      </w:r>
      <w:r w:rsidRPr="00AC10E7">
        <w:rPr>
          <w:rFonts w:ascii="Arial" w:hAnsi="Arial" w:cs="Arial"/>
          <w:rtl/>
        </w:rPr>
        <w:t>האמצעי שבזכותו מושגת התכלית החקיקתית ואשר פגיעתו בזכות האדם היא הפחותה.</w:t>
      </w:r>
    </w:p>
    <w:p w:rsidR="005D5634" w:rsidRPr="00AC10E7" w:rsidRDefault="005D5634" w:rsidP="005D5634">
      <w:pPr>
        <w:pStyle w:val="a3"/>
        <w:rPr>
          <w:rFonts w:ascii="Arial" w:hAnsi="Arial" w:cs="Arial"/>
          <w:rtl/>
        </w:rPr>
      </w:pPr>
      <w:r w:rsidRPr="00AC10E7">
        <w:rPr>
          <w:rFonts w:ascii="Arial" w:hAnsi="Arial" w:cs="Arial"/>
          <w:rtl/>
        </w:rPr>
        <w:t>במקרה דנן, החוק הפוגע איננו האמצעי שפוגע במידה הפחותה ביותר, שכן ניתן לנקוט באמצעים אחרים אשר יבטיחו את הגברת המודעות לנושא מבלי לפגוע בזכויות ובח"י.</w:t>
      </w:r>
    </w:p>
    <w:p w:rsidR="005D5634" w:rsidRPr="00AC10E7" w:rsidRDefault="005D5634" w:rsidP="005D5634">
      <w:pPr>
        <w:pStyle w:val="a3"/>
        <w:rPr>
          <w:rFonts w:ascii="Arial" w:hAnsi="Arial" w:cs="Arial"/>
          <w:rtl/>
        </w:rPr>
      </w:pPr>
      <w:r w:rsidRPr="00AC10E7">
        <w:rPr>
          <w:rFonts w:ascii="Arial" w:hAnsi="Arial" w:cs="Arial"/>
          <w:b/>
          <w:bCs/>
          <w:rtl/>
        </w:rPr>
        <w:t>מבחן האמצעי המידתי</w:t>
      </w:r>
      <w:r w:rsidRPr="00AC10E7">
        <w:rPr>
          <w:rFonts w:ascii="Arial" w:hAnsi="Arial" w:cs="Arial"/>
          <w:rtl/>
        </w:rPr>
        <w:t>- היחס הראוי בין התועלת הצומחת מהשגת התכלית הראויה לבין היקף הפגיעה בזכות החוקתית.</w:t>
      </w:r>
    </w:p>
    <w:p w:rsidR="00E77CDB" w:rsidRPr="00AC10E7" w:rsidRDefault="006E66EB" w:rsidP="005D5634">
      <w:pPr>
        <w:pStyle w:val="a3"/>
        <w:rPr>
          <w:rFonts w:ascii="Arial" w:hAnsi="Arial" w:cs="Arial"/>
          <w:rtl/>
        </w:rPr>
      </w:pPr>
      <w:r w:rsidRPr="00AC10E7">
        <w:rPr>
          <w:rFonts w:ascii="Arial" w:hAnsi="Arial" w:cs="Arial"/>
          <w:rtl/>
        </w:rPr>
        <w:t>בענייננו ניתן לטעון</w:t>
      </w:r>
      <w:r w:rsidR="00E77CDB" w:rsidRPr="00AC10E7">
        <w:rPr>
          <w:rFonts w:ascii="Arial" w:hAnsi="Arial" w:cs="Arial"/>
          <w:rtl/>
        </w:rPr>
        <w:t xml:space="preserve"> </w:t>
      </w:r>
      <w:r w:rsidRPr="00AC10E7">
        <w:rPr>
          <w:rFonts w:ascii="Arial" w:hAnsi="Arial" w:cs="Arial"/>
          <w:rtl/>
        </w:rPr>
        <w:t>ש</w:t>
      </w:r>
      <w:r w:rsidR="00E77CDB" w:rsidRPr="00AC10E7">
        <w:rPr>
          <w:rFonts w:ascii="Arial" w:hAnsi="Arial" w:cs="Arial"/>
          <w:rtl/>
        </w:rPr>
        <w:t>התועלת עולה על הפגיעה בזכות החוקתית, שכן יש בה בכדי ל</w:t>
      </w:r>
      <w:r w:rsidRPr="00AC10E7">
        <w:rPr>
          <w:rFonts w:ascii="Arial" w:hAnsi="Arial" w:cs="Arial"/>
          <w:rtl/>
        </w:rPr>
        <w:t>הגן על רוב הציבור, וכש</w:t>
      </w:r>
      <w:r w:rsidR="00E77CDB" w:rsidRPr="00AC10E7">
        <w:rPr>
          <w:rFonts w:ascii="Arial" w:hAnsi="Arial" w:cs="Arial"/>
          <w:rtl/>
        </w:rPr>
        <w:t>יש להכריע בין הגנה על רוב הציבור לעומת הגבלת חופש העיסוק של חלק קטן מהציבור יש להעדיף את טובת הרוב.</w:t>
      </w:r>
    </w:p>
    <w:p w:rsidR="00E77CDB" w:rsidRPr="00AC10E7" w:rsidRDefault="00E77CDB" w:rsidP="005D5634">
      <w:pPr>
        <w:pStyle w:val="a3"/>
        <w:rPr>
          <w:rFonts w:ascii="Arial" w:hAnsi="Arial" w:cs="Arial"/>
          <w:rtl/>
        </w:rPr>
      </w:pPr>
      <w:r w:rsidRPr="00AC10E7">
        <w:rPr>
          <w:rFonts w:ascii="Arial" w:hAnsi="Arial" w:cs="Arial"/>
          <w:rtl/>
        </w:rPr>
        <w:t xml:space="preserve">מנגד, ישנו חוסר </w:t>
      </w:r>
      <w:r w:rsidR="00896752" w:rsidRPr="00AC10E7">
        <w:rPr>
          <w:rFonts w:ascii="Arial" w:hAnsi="Arial" w:cs="Arial"/>
          <w:rtl/>
        </w:rPr>
        <w:t>וודאות לגבי התועלת שתצמח מהחוק</w:t>
      </w:r>
      <w:r w:rsidRPr="00AC10E7">
        <w:rPr>
          <w:rFonts w:ascii="Arial" w:hAnsi="Arial" w:cs="Arial"/>
          <w:rtl/>
        </w:rPr>
        <w:t>, שבוודאי פוגע בזכויות אדם ובח"י.</w:t>
      </w:r>
    </w:p>
    <w:p w:rsidR="00E77CDB" w:rsidRPr="00AC10E7" w:rsidRDefault="00E77CDB" w:rsidP="005D5634">
      <w:pPr>
        <w:pStyle w:val="a3"/>
        <w:rPr>
          <w:rFonts w:ascii="Arial" w:hAnsi="Arial" w:cs="Arial"/>
          <w:rtl/>
        </w:rPr>
      </w:pPr>
    </w:p>
    <w:p w:rsidR="00E77CDB" w:rsidRPr="00AC10E7" w:rsidRDefault="00E77CDB" w:rsidP="005D5634">
      <w:pPr>
        <w:pStyle w:val="a3"/>
        <w:rPr>
          <w:rFonts w:ascii="Arial" w:hAnsi="Arial" w:cs="Arial"/>
          <w:rtl/>
        </w:rPr>
      </w:pPr>
      <w:r w:rsidRPr="00AC10E7">
        <w:rPr>
          <w:rFonts w:ascii="Arial" w:hAnsi="Arial" w:cs="Arial"/>
          <w:rtl/>
        </w:rPr>
        <w:t>שלושת המבחנים אינם מובילים תמיד לפתרון אחד. יש "מתחם מידתיות" ודי כי הפגיעה תימצא במסגרת מתחם זה.</w:t>
      </w:r>
    </w:p>
    <w:p w:rsidR="00E77CDB" w:rsidRPr="00AC10E7" w:rsidRDefault="00E77CDB" w:rsidP="005D5634">
      <w:pPr>
        <w:pStyle w:val="a3"/>
        <w:rPr>
          <w:rFonts w:ascii="Arial" w:hAnsi="Arial" w:cs="Arial"/>
          <w:rtl/>
        </w:rPr>
      </w:pPr>
    </w:p>
    <w:p w:rsidR="00363624" w:rsidRPr="00AC10E7" w:rsidRDefault="00363624" w:rsidP="005D5634">
      <w:pPr>
        <w:pStyle w:val="a3"/>
        <w:rPr>
          <w:rFonts w:ascii="Arial" w:hAnsi="Arial" w:cs="Arial"/>
          <w:rtl/>
        </w:rPr>
      </w:pPr>
      <w:r w:rsidRPr="00AC10E7">
        <w:rPr>
          <w:rFonts w:ascii="Arial" w:hAnsi="Arial" w:cs="Arial"/>
          <w:rtl/>
        </w:rPr>
        <w:t>טענה נוספת שניתן לטעון- חוק העונשין המקורי נחקק בשנת 1977, לפני ח"י: כבה"א.</w:t>
      </w:r>
    </w:p>
    <w:p w:rsidR="001805E7" w:rsidRPr="00AC10E7" w:rsidRDefault="00363624" w:rsidP="001805E7">
      <w:pPr>
        <w:pStyle w:val="a3"/>
        <w:rPr>
          <w:rFonts w:ascii="Arial" w:hAnsi="Arial" w:cs="Arial"/>
          <w:rtl/>
        </w:rPr>
      </w:pPr>
      <w:r w:rsidRPr="00AC10E7">
        <w:rPr>
          <w:rFonts w:ascii="Arial" w:hAnsi="Arial" w:cs="Arial"/>
          <w:rtl/>
        </w:rPr>
        <w:t>סעיף 10 לח"י: כבה"א</w:t>
      </w:r>
      <w:r w:rsidR="006E66EB" w:rsidRPr="00AC10E7">
        <w:rPr>
          <w:rStyle w:val="a6"/>
          <w:rFonts w:ascii="Arial" w:hAnsi="Arial" w:cs="Arial"/>
          <w:rtl/>
        </w:rPr>
        <w:footnoteReference w:id="30"/>
      </w:r>
      <w:r w:rsidR="001805E7" w:rsidRPr="00AC10E7">
        <w:rPr>
          <w:rFonts w:ascii="Arial" w:hAnsi="Arial" w:cs="Arial"/>
          <w:rtl/>
        </w:rPr>
        <w:t xml:space="preserve">  אומר שח"י לא יכול לפגוע בחוק שנחקק לפניו.</w:t>
      </w:r>
      <w:r w:rsidRPr="00AC10E7">
        <w:rPr>
          <w:rFonts w:ascii="Arial" w:hAnsi="Arial" w:cs="Arial"/>
          <w:rtl/>
        </w:rPr>
        <w:t xml:space="preserve"> </w:t>
      </w:r>
    </w:p>
    <w:p w:rsidR="00363624" w:rsidRPr="00AC10E7" w:rsidRDefault="00363624" w:rsidP="001805E7">
      <w:pPr>
        <w:pStyle w:val="a3"/>
        <w:rPr>
          <w:rFonts w:ascii="Arial" w:hAnsi="Arial" w:cs="Arial"/>
          <w:rtl/>
        </w:rPr>
      </w:pPr>
      <w:r w:rsidRPr="00AC10E7">
        <w:rPr>
          <w:rFonts w:ascii="Arial" w:hAnsi="Arial" w:cs="Arial"/>
          <w:rtl/>
        </w:rPr>
        <w:t>אם כך יש לבדוק האם החוק המתקן נחשב לחלק מהחוק המקורי.</w:t>
      </w:r>
    </w:p>
    <w:p w:rsidR="00363624" w:rsidRPr="00AC10E7" w:rsidRDefault="00363624" w:rsidP="001805E7">
      <w:pPr>
        <w:pStyle w:val="a3"/>
        <w:rPr>
          <w:rFonts w:ascii="Arial" w:hAnsi="Arial" w:cs="Arial"/>
          <w:rtl/>
        </w:rPr>
      </w:pPr>
      <w:r w:rsidRPr="00AC10E7">
        <w:rPr>
          <w:rFonts w:ascii="Arial" w:hAnsi="Arial" w:cs="Arial"/>
          <w:rtl/>
        </w:rPr>
        <w:t>השופט זמיר</w:t>
      </w:r>
      <w:r w:rsidRPr="00AC10E7">
        <w:rPr>
          <w:rStyle w:val="a6"/>
          <w:rFonts w:ascii="Arial" w:hAnsi="Arial" w:cs="Arial"/>
          <w:rtl/>
        </w:rPr>
        <w:footnoteReference w:id="31"/>
      </w:r>
      <w:r w:rsidRPr="00AC10E7">
        <w:rPr>
          <w:rFonts w:ascii="Arial" w:hAnsi="Arial" w:cs="Arial"/>
          <w:rtl/>
        </w:rPr>
        <w:t xml:space="preserve"> טוען</w:t>
      </w:r>
      <w:r w:rsidR="001805E7" w:rsidRPr="00AC10E7">
        <w:rPr>
          <w:rFonts w:ascii="Arial" w:hAnsi="Arial" w:cs="Arial"/>
          <w:rtl/>
        </w:rPr>
        <w:t xml:space="preserve"> שיש ליחס חשיבות לחוק מתקן מיטיב</w:t>
      </w:r>
      <w:r w:rsidRPr="00AC10E7">
        <w:rPr>
          <w:rFonts w:ascii="Arial" w:hAnsi="Arial" w:cs="Arial"/>
          <w:rtl/>
        </w:rPr>
        <w:t>, אך בכל מקרה יש לבחון אותו מול ח"י.</w:t>
      </w:r>
    </w:p>
    <w:p w:rsidR="00363624" w:rsidRPr="00AC10E7" w:rsidRDefault="00363624" w:rsidP="00363624">
      <w:pPr>
        <w:pStyle w:val="a3"/>
        <w:rPr>
          <w:rFonts w:ascii="Arial" w:hAnsi="Arial" w:cs="Arial"/>
          <w:rtl/>
        </w:rPr>
      </w:pPr>
      <w:r w:rsidRPr="00AC10E7">
        <w:rPr>
          <w:rFonts w:ascii="Arial" w:hAnsi="Arial" w:cs="Arial"/>
          <w:rtl/>
        </w:rPr>
        <w:t>השופט קדמי</w:t>
      </w:r>
      <w:r w:rsidRPr="00AC10E7">
        <w:rPr>
          <w:rStyle w:val="a6"/>
          <w:rFonts w:ascii="Arial" w:hAnsi="Arial" w:cs="Arial"/>
          <w:rtl/>
        </w:rPr>
        <w:footnoteReference w:id="32"/>
      </w:r>
      <w:r w:rsidRPr="00AC10E7">
        <w:rPr>
          <w:rFonts w:ascii="Arial" w:hAnsi="Arial" w:cs="Arial"/>
          <w:rtl/>
        </w:rPr>
        <w:t xml:space="preserve"> טוען שאין לבחון חוק מתקן מיטיב לאור ח"י אלא להתייחס אליו כחלק מהחוק המקורי, ע"מ לעודד חקיקה מתקנת מיטיבה.</w:t>
      </w:r>
    </w:p>
    <w:p w:rsidR="006E66EB" w:rsidRPr="00AC10E7" w:rsidRDefault="00E77CDB" w:rsidP="00363624">
      <w:pPr>
        <w:pStyle w:val="a3"/>
        <w:rPr>
          <w:rFonts w:ascii="Arial" w:hAnsi="Arial" w:cs="Arial"/>
          <w:rtl/>
        </w:rPr>
      </w:pPr>
      <w:r w:rsidRPr="00AC10E7">
        <w:rPr>
          <w:rFonts w:ascii="Arial" w:hAnsi="Arial" w:cs="Arial"/>
          <w:rtl/>
        </w:rPr>
        <w:t xml:space="preserve">ניתן לטעון </w:t>
      </w:r>
      <w:r w:rsidR="006E66EB" w:rsidRPr="00AC10E7">
        <w:rPr>
          <w:rFonts w:ascii="Arial" w:hAnsi="Arial" w:cs="Arial"/>
          <w:rtl/>
        </w:rPr>
        <w:t>שהחוק המתקן מחמיר עם המיסטיקאים-</w:t>
      </w:r>
    </w:p>
    <w:p w:rsidR="00E77CDB" w:rsidRPr="00AC10E7" w:rsidRDefault="00E77CDB" w:rsidP="006E66EB">
      <w:pPr>
        <w:pStyle w:val="a3"/>
        <w:numPr>
          <w:ilvl w:val="0"/>
          <w:numId w:val="7"/>
        </w:numPr>
        <w:rPr>
          <w:rFonts w:ascii="Arial" w:hAnsi="Arial" w:cs="Arial"/>
          <w:rtl/>
        </w:rPr>
      </w:pPr>
      <w:r w:rsidRPr="00AC10E7">
        <w:rPr>
          <w:rFonts w:ascii="Arial" w:hAnsi="Arial" w:cs="Arial"/>
          <w:rtl/>
        </w:rPr>
        <w:lastRenderedPageBreak/>
        <w:t>מלבד החוק המקורי הא</w:t>
      </w:r>
      <w:r w:rsidR="00D95BEE" w:rsidRPr="00AC10E7">
        <w:rPr>
          <w:rFonts w:ascii="Arial" w:hAnsi="Arial" w:cs="Arial"/>
          <w:rtl/>
        </w:rPr>
        <w:t xml:space="preserve">וסר עליהם לעסוק בתחום, החוק המתקן </w:t>
      </w:r>
      <w:r w:rsidRPr="00AC10E7">
        <w:rPr>
          <w:rFonts w:ascii="Arial" w:hAnsi="Arial" w:cs="Arial"/>
          <w:rtl/>
        </w:rPr>
        <w:t>מוסיף איסור פרסום מודעות מטעמם.</w:t>
      </w:r>
    </w:p>
    <w:p w:rsidR="00E77CDB" w:rsidRPr="00AC10E7" w:rsidRDefault="00E77CDB" w:rsidP="006E66EB">
      <w:pPr>
        <w:pStyle w:val="a3"/>
        <w:numPr>
          <w:ilvl w:val="0"/>
          <w:numId w:val="7"/>
        </w:numPr>
        <w:rPr>
          <w:rFonts w:ascii="Arial" w:hAnsi="Arial" w:cs="Arial"/>
          <w:rtl/>
        </w:rPr>
      </w:pPr>
      <w:r w:rsidRPr="00AC10E7">
        <w:rPr>
          <w:rFonts w:ascii="Arial" w:hAnsi="Arial" w:cs="Arial"/>
          <w:rtl/>
        </w:rPr>
        <w:t>בחוק המקורי, העונש המוטל הוא</w:t>
      </w:r>
      <w:r w:rsidR="00FC3DA6" w:rsidRPr="00AC10E7">
        <w:rPr>
          <w:rFonts w:ascii="Arial" w:hAnsi="Arial" w:cs="Arial"/>
          <w:rtl/>
        </w:rPr>
        <w:t xml:space="preserve"> שנתיים מאסר לעומת החוק המתקן בו</w:t>
      </w:r>
      <w:r w:rsidRPr="00AC10E7">
        <w:rPr>
          <w:rFonts w:ascii="Arial" w:hAnsi="Arial" w:cs="Arial"/>
          <w:rtl/>
        </w:rPr>
        <w:t xml:space="preserve"> העונש הוא שלוש שנות מאסר וקנס כס</w:t>
      </w:r>
      <w:r w:rsidR="006E66EB" w:rsidRPr="00AC10E7">
        <w:rPr>
          <w:rFonts w:ascii="Arial" w:hAnsi="Arial" w:cs="Arial"/>
          <w:rtl/>
        </w:rPr>
        <w:t>פי גבוה.</w:t>
      </w:r>
    </w:p>
    <w:p w:rsidR="00E77CDB" w:rsidRPr="00AC10E7" w:rsidRDefault="00E77CDB" w:rsidP="005D5634">
      <w:pPr>
        <w:pStyle w:val="a3"/>
        <w:rPr>
          <w:rFonts w:ascii="Arial" w:hAnsi="Arial" w:cs="Arial"/>
          <w:rtl/>
        </w:rPr>
      </w:pPr>
      <w:r w:rsidRPr="00AC10E7">
        <w:rPr>
          <w:rFonts w:ascii="Arial" w:hAnsi="Arial" w:cs="Arial"/>
          <w:rtl/>
        </w:rPr>
        <w:t>מ</w:t>
      </w:r>
      <w:r w:rsidR="002F3CE1" w:rsidRPr="00AC10E7">
        <w:rPr>
          <w:rFonts w:ascii="Arial" w:hAnsi="Arial" w:cs="Arial"/>
          <w:rtl/>
        </w:rPr>
        <w:t xml:space="preserve">נגד, ניתן לומר שהחוק מיטיב </w:t>
      </w:r>
      <w:r w:rsidRPr="00AC10E7">
        <w:rPr>
          <w:rFonts w:ascii="Arial" w:hAnsi="Arial" w:cs="Arial"/>
          <w:rtl/>
        </w:rPr>
        <w:t>מכיוון שהוא מגן על אינטרס הציבור. איסור פרסום יביא לירידת המודעות בציבור לטיפולים ובכך לצמצום הנפגעים.</w:t>
      </w:r>
    </w:p>
    <w:p w:rsidR="009D7ED0" w:rsidRPr="00AC10E7" w:rsidRDefault="009D7ED0" w:rsidP="005D5634">
      <w:pPr>
        <w:pStyle w:val="a3"/>
        <w:rPr>
          <w:rFonts w:ascii="Arial" w:hAnsi="Arial" w:cs="Arial"/>
          <w:rtl/>
        </w:rPr>
      </w:pPr>
      <w:r w:rsidRPr="00AC10E7">
        <w:rPr>
          <w:rFonts w:ascii="Arial" w:hAnsi="Arial" w:cs="Arial"/>
          <w:rtl/>
        </w:rPr>
        <w:t>הקביעה שהחוק מיטיב אינה נכונה בהכרח, יתכן ויש כאן "פגיעה על פגיעה", השופט ריבלין</w:t>
      </w:r>
      <w:r w:rsidRPr="00AC10E7">
        <w:rPr>
          <w:rStyle w:val="a6"/>
          <w:rFonts w:ascii="Arial" w:hAnsi="Arial" w:cs="Arial"/>
          <w:rtl/>
        </w:rPr>
        <w:footnoteReference w:id="33"/>
      </w:r>
      <w:r w:rsidRPr="00AC10E7">
        <w:rPr>
          <w:rFonts w:ascii="Arial" w:hAnsi="Arial" w:cs="Arial"/>
          <w:rtl/>
        </w:rPr>
        <w:t xml:space="preserve"> התייחס לעניין זה באומרו שכאשר קיימת פגיעה בזכויות אין זה אומר שניתן ביתר קלות להוסיף </w:t>
      </w:r>
      <w:r w:rsidR="002F3CE1" w:rsidRPr="00AC10E7">
        <w:rPr>
          <w:rFonts w:ascii="Arial" w:hAnsi="Arial" w:cs="Arial"/>
          <w:rtl/>
        </w:rPr>
        <w:t>פגיעה, האיזון בין זכויות האדם ל</w:t>
      </w:r>
      <w:r w:rsidRPr="00AC10E7">
        <w:rPr>
          <w:rFonts w:ascii="Arial" w:hAnsi="Arial" w:cs="Arial"/>
          <w:rtl/>
        </w:rPr>
        <w:t>זכויות ואינטרסים אחרים הוא איזון עדין ורגיש.</w:t>
      </w:r>
    </w:p>
    <w:p w:rsidR="009D7ED0" w:rsidRPr="00AC10E7" w:rsidRDefault="00D57F6C" w:rsidP="005D5634">
      <w:pPr>
        <w:pStyle w:val="a3"/>
        <w:rPr>
          <w:rFonts w:ascii="Arial" w:hAnsi="Arial" w:cs="Arial"/>
          <w:rtl/>
        </w:rPr>
      </w:pPr>
      <w:r w:rsidRPr="00AC10E7">
        <w:rPr>
          <w:rFonts w:ascii="Arial" w:hAnsi="Arial" w:cs="Arial"/>
          <w:rtl/>
        </w:rPr>
        <w:t>ובענייננו</w:t>
      </w:r>
      <w:r w:rsidR="009D7ED0" w:rsidRPr="00AC10E7">
        <w:rPr>
          <w:rFonts w:ascii="Arial" w:hAnsi="Arial" w:cs="Arial"/>
          <w:rtl/>
        </w:rPr>
        <w:t xml:space="preserve">, אין זה אומר שכיוון שהחוק </w:t>
      </w:r>
      <w:r w:rsidR="00D95BEE" w:rsidRPr="00AC10E7">
        <w:rPr>
          <w:rFonts w:ascii="Arial" w:hAnsi="Arial" w:cs="Arial"/>
          <w:rtl/>
        </w:rPr>
        <w:t>המקורי פוגע בזכויות, ניתן</w:t>
      </w:r>
      <w:r w:rsidR="00A33555" w:rsidRPr="00AC10E7">
        <w:rPr>
          <w:rFonts w:ascii="Arial" w:hAnsi="Arial" w:cs="Arial"/>
          <w:rtl/>
        </w:rPr>
        <w:t xml:space="preserve"> לקבל את החוק המתקן שגם </w:t>
      </w:r>
      <w:r w:rsidR="009D7ED0" w:rsidRPr="00AC10E7">
        <w:rPr>
          <w:rFonts w:ascii="Arial" w:hAnsi="Arial" w:cs="Arial"/>
          <w:rtl/>
        </w:rPr>
        <w:t>פוגע בזכויות.</w:t>
      </w:r>
    </w:p>
    <w:p w:rsidR="009D7ED0" w:rsidRPr="00AC10E7" w:rsidRDefault="009D7ED0" w:rsidP="005D5634">
      <w:pPr>
        <w:pStyle w:val="a3"/>
        <w:rPr>
          <w:rFonts w:ascii="Arial" w:hAnsi="Arial" w:cs="Arial"/>
          <w:rtl/>
        </w:rPr>
      </w:pPr>
    </w:p>
    <w:p w:rsidR="009D7ED0" w:rsidRPr="00AC10E7" w:rsidRDefault="009D7ED0" w:rsidP="005D5634">
      <w:pPr>
        <w:pStyle w:val="a3"/>
        <w:rPr>
          <w:rFonts w:ascii="Arial" w:hAnsi="Arial" w:cs="Arial"/>
          <w:rtl/>
        </w:rPr>
      </w:pPr>
      <w:r w:rsidRPr="00AC10E7">
        <w:rPr>
          <w:rFonts w:ascii="Arial" w:hAnsi="Arial" w:cs="Arial"/>
          <w:rtl/>
        </w:rPr>
        <w:t>לעניות דעתי, ביהמ"ש יקבע כי אכן קיימת פגיעה בח"י ובזכויות אדם</w:t>
      </w:r>
      <w:r w:rsidR="00B978CB" w:rsidRPr="00AC10E7">
        <w:rPr>
          <w:rFonts w:ascii="Arial" w:hAnsi="Arial" w:cs="Arial"/>
          <w:rtl/>
        </w:rPr>
        <w:t xml:space="preserve"> המעוגנות בח"י, ובשל כך צפוי להחליט שהחוק איננו תקף.</w:t>
      </w:r>
    </w:p>
    <w:p w:rsidR="00B978CB" w:rsidRPr="00AC10E7" w:rsidRDefault="00B978CB" w:rsidP="002361FB">
      <w:pPr>
        <w:pStyle w:val="a3"/>
        <w:rPr>
          <w:rFonts w:ascii="Arial" w:hAnsi="Arial" w:cs="Arial"/>
          <w:rtl/>
        </w:rPr>
      </w:pPr>
      <w:r w:rsidRPr="00AC10E7">
        <w:rPr>
          <w:rFonts w:ascii="Arial" w:hAnsi="Arial" w:cs="Arial"/>
          <w:rtl/>
        </w:rPr>
        <w:t>באשר לצליחת החוק את פסקת ההגבלה</w:t>
      </w:r>
      <w:r w:rsidR="002361FB" w:rsidRPr="00AC10E7">
        <w:rPr>
          <w:rFonts w:ascii="Arial" w:hAnsi="Arial" w:cs="Arial"/>
          <w:rtl/>
        </w:rPr>
        <w:t xml:space="preserve">, </w:t>
      </w:r>
      <w:r w:rsidRPr="00AC10E7">
        <w:rPr>
          <w:rFonts w:ascii="Arial" w:hAnsi="Arial" w:cs="Arial"/>
          <w:rtl/>
        </w:rPr>
        <w:t>אני מטילה ספק מאחר ויתכנו דרכים חלופיות להשגת המטרה באופן שאינו פוגע בזכויות אדם.</w:t>
      </w:r>
      <w:r w:rsidR="002361FB" w:rsidRPr="00AC10E7">
        <w:rPr>
          <w:rFonts w:ascii="Arial" w:hAnsi="Arial" w:cs="Arial"/>
          <w:rtl/>
        </w:rPr>
        <w:t xml:space="preserve"> </w:t>
      </w:r>
      <w:r w:rsidRPr="00AC10E7">
        <w:rPr>
          <w:rFonts w:ascii="Arial" w:hAnsi="Arial" w:cs="Arial"/>
          <w:rtl/>
        </w:rPr>
        <w:t>ועל כן אני סבורה שדין החוק להתבטל.</w:t>
      </w:r>
    </w:p>
    <w:p w:rsidR="00B06A2A" w:rsidRPr="00AC10E7" w:rsidRDefault="00B06A2A" w:rsidP="002361FB">
      <w:pPr>
        <w:pStyle w:val="a3"/>
        <w:rPr>
          <w:rFonts w:ascii="Arial" w:hAnsi="Arial" w:cs="Arial"/>
          <w:rtl/>
        </w:rPr>
      </w:pPr>
    </w:p>
    <w:p w:rsidR="00D86B52" w:rsidRPr="00AC10E7" w:rsidRDefault="00D86B52" w:rsidP="002361FB">
      <w:pPr>
        <w:pStyle w:val="a3"/>
        <w:rPr>
          <w:rFonts w:ascii="Arial" w:hAnsi="Arial" w:cs="Arial"/>
          <w:rtl/>
        </w:rPr>
      </w:pPr>
    </w:p>
    <w:p w:rsidR="00D86B52" w:rsidRPr="00AC10E7" w:rsidRDefault="00D86B52" w:rsidP="002361FB">
      <w:pPr>
        <w:pStyle w:val="a3"/>
        <w:rPr>
          <w:rFonts w:ascii="Arial" w:hAnsi="Arial" w:cs="Arial"/>
          <w:rtl/>
        </w:rPr>
      </w:pPr>
    </w:p>
    <w:p w:rsidR="00E25F47" w:rsidRPr="00AC10E7" w:rsidRDefault="00B978CB" w:rsidP="002361FB">
      <w:pPr>
        <w:pStyle w:val="a3"/>
        <w:rPr>
          <w:rFonts w:ascii="Arial" w:hAnsi="Arial" w:cs="Arial"/>
          <w:rtl/>
        </w:rPr>
      </w:pPr>
      <w:r w:rsidRPr="00AC10E7">
        <w:rPr>
          <w:rFonts w:ascii="Arial" w:hAnsi="Arial" w:cs="Arial"/>
          <w:rtl/>
        </w:rPr>
        <w:t>ח"י: חופש העיסוק</w:t>
      </w:r>
      <w:r w:rsidRPr="00AC10E7">
        <w:rPr>
          <w:rStyle w:val="a6"/>
          <w:rFonts w:ascii="Arial" w:hAnsi="Arial" w:cs="Arial"/>
          <w:rtl/>
        </w:rPr>
        <w:footnoteReference w:id="34"/>
      </w:r>
      <w:r w:rsidR="002361FB" w:rsidRPr="00AC10E7">
        <w:rPr>
          <w:rFonts w:ascii="Arial" w:hAnsi="Arial" w:cs="Arial"/>
          <w:rtl/>
        </w:rPr>
        <w:t xml:space="preserve"> </w:t>
      </w:r>
      <w:r w:rsidR="00513333" w:rsidRPr="00AC10E7">
        <w:rPr>
          <w:rFonts w:ascii="Arial" w:hAnsi="Arial" w:cs="Arial"/>
          <w:rtl/>
        </w:rPr>
        <w:t>כולל בחובו "פסקת התגברות"</w:t>
      </w:r>
      <w:r w:rsidR="002361FB" w:rsidRPr="00AC10E7">
        <w:rPr>
          <w:rFonts w:ascii="Arial" w:hAnsi="Arial" w:cs="Arial"/>
          <w:rtl/>
        </w:rPr>
        <w:t>-  "אין פוגעים בזכויות שלפי חוק-יסוד זה אלא בחוק ההולם את ערכיה של מדינת ישראל</w:t>
      </w:r>
      <w:r w:rsidR="00513333" w:rsidRPr="00AC10E7">
        <w:rPr>
          <w:rFonts w:ascii="Arial" w:hAnsi="Arial" w:cs="Arial"/>
          <w:rtl/>
        </w:rPr>
        <w:t xml:space="preserve">, </w:t>
      </w:r>
      <w:r w:rsidR="002361FB" w:rsidRPr="00AC10E7">
        <w:rPr>
          <w:rFonts w:ascii="Arial" w:hAnsi="Arial" w:cs="Arial"/>
          <w:rtl/>
        </w:rPr>
        <w:t>שנועד לתכלית ראויה, ובמידה שאינה עולה על הנדרש, או לפי חוק כאמור מכוח הסמכה מפורשת בו"</w:t>
      </w:r>
    </w:p>
    <w:p w:rsidR="002361FB" w:rsidRPr="00AC10E7" w:rsidRDefault="002361FB" w:rsidP="002361FB">
      <w:pPr>
        <w:pStyle w:val="a3"/>
        <w:rPr>
          <w:rFonts w:ascii="Arial" w:hAnsi="Arial" w:cs="Arial"/>
          <w:rtl/>
        </w:rPr>
      </w:pPr>
    </w:p>
    <w:p w:rsidR="00E25F47" w:rsidRPr="00AC10E7" w:rsidRDefault="00E25F47" w:rsidP="00B978CB">
      <w:pPr>
        <w:pStyle w:val="a3"/>
        <w:rPr>
          <w:rFonts w:ascii="Arial" w:hAnsi="Arial" w:cs="Arial"/>
          <w:rtl/>
        </w:rPr>
      </w:pPr>
      <w:r w:rsidRPr="00AC10E7">
        <w:rPr>
          <w:rFonts w:ascii="Arial" w:hAnsi="Arial" w:cs="Arial"/>
          <w:rtl/>
        </w:rPr>
        <w:t>בהנחה שהכנסת חוקקה את החוק המתקן בהתאם לדרישות פסקת ההתגברות, ניתן לטעון כי אמנם החוק עומד בפסקת ההתגברות, אך אין לעשות בה שימוש כדי לתת תוקף לחוק השולל או מבטל את חופש העיסוק כזכות חוקתית בישראל. שלילה כזו תעשה רק בדרך של שינוי ח"י עצמו</w:t>
      </w:r>
      <w:r w:rsidRPr="00AC10E7">
        <w:rPr>
          <w:rStyle w:val="a6"/>
          <w:rFonts w:ascii="Arial" w:hAnsi="Arial" w:cs="Arial"/>
          <w:rtl/>
        </w:rPr>
        <w:footnoteReference w:id="35"/>
      </w:r>
      <w:r w:rsidR="009B3A46" w:rsidRPr="00AC10E7">
        <w:rPr>
          <w:rFonts w:ascii="Arial" w:hAnsi="Arial" w:cs="Arial"/>
          <w:rtl/>
        </w:rPr>
        <w:t>.</w:t>
      </w:r>
    </w:p>
    <w:p w:rsidR="009B3A46" w:rsidRPr="00AC10E7" w:rsidRDefault="009B3A46" w:rsidP="00B978CB">
      <w:pPr>
        <w:pStyle w:val="a3"/>
        <w:rPr>
          <w:rFonts w:ascii="Arial" w:hAnsi="Arial" w:cs="Arial"/>
          <w:rtl/>
        </w:rPr>
      </w:pPr>
      <w:r w:rsidRPr="00AC10E7">
        <w:rPr>
          <w:rFonts w:ascii="Arial" w:hAnsi="Arial" w:cs="Arial"/>
          <w:rtl/>
        </w:rPr>
        <w:t>בנוסף ניתן לטעון, שפסקת ההתגברות עומדת רק לגבי ח"י: חופש העיסוק</w:t>
      </w:r>
      <w:r w:rsidR="002361FB" w:rsidRPr="00AC10E7">
        <w:rPr>
          <w:rFonts w:ascii="Arial" w:hAnsi="Arial" w:cs="Arial"/>
          <w:rtl/>
        </w:rPr>
        <w:t xml:space="preserve">, </w:t>
      </w:r>
      <w:r w:rsidRPr="00AC10E7">
        <w:rPr>
          <w:rFonts w:ascii="Arial" w:hAnsi="Arial" w:cs="Arial"/>
          <w:rtl/>
        </w:rPr>
        <w:t>כיוון שבח"י: כבה"א אין פסקת התגברות והרי שגם הוא נפגע ע"י החוק המתקן.</w:t>
      </w:r>
    </w:p>
    <w:p w:rsidR="009B3A46" w:rsidRPr="00AC10E7" w:rsidRDefault="00513333" w:rsidP="002361FB">
      <w:pPr>
        <w:pStyle w:val="a3"/>
        <w:rPr>
          <w:rFonts w:ascii="Arial" w:hAnsi="Arial" w:cs="Arial"/>
          <w:rtl/>
        </w:rPr>
      </w:pPr>
      <w:r w:rsidRPr="00AC10E7">
        <w:rPr>
          <w:rFonts w:ascii="Arial" w:hAnsi="Arial" w:cs="Arial"/>
          <w:rtl/>
        </w:rPr>
        <w:t xml:space="preserve">מנגד, </w:t>
      </w:r>
      <w:r w:rsidR="009B3A46" w:rsidRPr="00AC10E7">
        <w:rPr>
          <w:rFonts w:ascii="Arial" w:hAnsi="Arial" w:cs="Arial"/>
          <w:rtl/>
        </w:rPr>
        <w:t xml:space="preserve">ע"פ פס"ד </w:t>
      </w:r>
      <w:proofErr w:type="spellStart"/>
      <w:r w:rsidR="009B3A46" w:rsidRPr="00AC10E7">
        <w:rPr>
          <w:rFonts w:ascii="Arial" w:hAnsi="Arial" w:cs="Arial"/>
          <w:rtl/>
        </w:rPr>
        <w:t>מיטראל</w:t>
      </w:r>
      <w:proofErr w:type="spellEnd"/>
      <w:r w:rsidR="00C930D4" w:rsidRPr="00AC10E7">
        <w:rPr>
          <w:rFonts w:ascii="Arial" w:hAnsi="Arial" w:cs="Arial"/>
          <w:rtl/>
        </w:rPr>
        <w:t>,</w:t>
      </w:r>
      <w:r w:rsidR="009B3A46" w:rsidRPr="00AC10E7">
        <w:rPr>
          <w:rStyle w:val="a6"/>
          <w:rFonts w:ascii="Arial" w:hAnsi="Arial" w:cs="Arial"/>
          <w:rtl/>
        </w:rPr>
        <w:footnoteReference w:id="36"/>
      </w:r>
      <w:r w:rsidR="00C930D4" w:rsidRPr="00AC10E7">
        <w:rPr>
          <w:rFonts w:ascii="Arial" w:hAnsi="Arial" w:cs="Arial"/>
          <w:rtl/>
        </w:rPr>
        <w:t xml:space="preserve"> </w:t>
      </w:r>
      <w:r w:rsidR="009B3A46" w:rsidRPr="00AC10E7">
        <w:rPr>
          <w:rFonts w:ascii="Arial" w:hAnsi="Arial" w:cs="Arial"/>
          <w:rtl/>
        </w:rPr>
        <w:t xml:space="preserve">במידה וחוק פוגע עומד בפסקת ההתגברות שבח"י: חופש העיסוק אך עדיין פוגע בזכויות </w:t>
      </w:r>
      <w:r w:rsidR="002361FB" w:rsidRPr="00AC10E7">
        <w:rPr>
          <w:rFonts w:ascii="Arial" w:hAnsi="Arial" w:cs="Arial"/>
          <w:rtl/>
        </w:rPr>
        <w:t>ש</w:t>
      </w:r>
      <w:r w:rsidR="009B3A46" w:rsidRPr="00AC10E7">
        <w:rPr>
          <w:rFonts w:ascii="Arial" w:hAnsi="Arial" w:cs="Arial"/>
          <w:rtl/>
        </w:rPr>
        <w:t>בח"י: כבה"א בו אין פסקת התגברות, החוק לא יבוטל אם יתקיימו שלושה תנאים מצטברים:</w:t>
      </w:r>
    </w:p>
    <w:p w:rsidR="009B3A46" w:rsidRPr="00AC10E7" w:rsidRDefault="009B3A46" w:rsidP="009B3A46">
      <w:pPr>
        <w:pStyle w:val="a3"/>
        <w:rPr>
          <w:rFonts w:ascii="Arial" w:hAnsi="Arial" w:cs="Arial"/>
          <w:rtl/>
        </w:rPr>
      </w:pPr>
    </w:p>
    <w:p w:rsidR="009B3A46" w:rsidRPr="00AC10E7" w:rsidRDefault="009B3A46" w:rsidP="009B3A46">
      <w:pPr>
        <w:pStyle w:val="a3"/>
        <w:numPr>
          <w:ilvl w:val="0"/>
          <w:numId w:val="5"/>
        </w:numPr>
        <w:rPr>
          <w:rFonts w:ascii="Arial" w:hAnsi="Arial" w:cs="Arial"/>
        </w:rPr>
      </w:pPr>
      <w:r w:rsidRPr="00AC10E7">
        <w:rPr>
          <w:rFonts w:ascii="Arial" w:hAnsi="Arial" w:cs="Arial"/>
          <w:rtl/>
        </w:rPr>
        <w:t>הפגיעה בזכויות האדם האחרות היא תוצאת לוואי המתבקשת באופן טבעי מהפגיעה בחופש העיסוק.</w:t>
      </w:r>
    </w:p>
    <w:p w:rsidR="009B3A46" w:rsidRPr="00AC10E7" w:rsidRDefault="009B3A46" w:rsidP="009B3A46">
      <w:pPr>
        <w:pStyle w:val="a3"/>
        <w:numPr>
          <w:ilvl w:val="0"/>
          <w:numId w:val="5"/>
        </w:numPr>
        <w:rPr>
          <w:rFonts w:ascii="Arial" w:hAnsi="Arial" w:cs="Arial"/>
        </w:rPr>
      </w:pPr>
      <w:r w:rsidRPr="00AC10E7">
        <w:rPr>
          <w:rFonts w:ascii="Arial" w:hAnsi="Arial" w:cs="Arial"/>
          <w:rtl/>
        </w:rPr>
        <w:t>הפגיעה בחופש העיסוק היא הפגיעה העיקרית, והפגיעה בזכויות האדם האחרות משנית.</w:t>
      </w:r>
    </w:p>
    <w:p w:rsidR="009B3A46" w:rsidRPr="00AC10E7" w:rsidRDefault="009B3A46" w:rsidP="009B3A46">
      <w:pPr>
        <w:pStyle w:val="a3"/>
        <w:numPr>
          <w:ilvl w:val="0"/>
          <w:numId w:val="5"/>
        </w:numPr>
        <w:rPr>
          <w:rFonts w:ascii="Arial" w:hAnsi="Arial" w:cs="Arial"/>
        </w:rPr>
      </w:pPr>
      <w:r w:rsidRPr="00AC10E7">
        <w:rPr>
          <w:rFonts w:ascii="Arial" w:hAnsi="Arial" w:cs="Arial"/>
          <w:rtl/>
        </w:rPr>
        <w:t xml:space="preserve">הפגיעה בזכויות האדם האחרות </w:t>
      </w:r>
      <w:r w:rsidR="005D4795" w:rsidRPr="00AC10E7">
        <w:rPr>
          <w:rFonts w:ascii="Arial" w:hAnsi="Arial" w:cs="Arial"/>
          <w:rtl/>
        </w:rPr>
        <w:t>אינה בעלת עוצמה ממשית.</w:t>
      </w:r>
    </w:p>
    <w:p w:rsidR="005D4795" w:rsidRPr="00AC10E7" w:rsidRDefault="005D4795" w:rsidP="005D4795">
      <w:pPr>
        <w:pStyle w:val="a3"/>
        <w:rPr>
          <w:rFonts w:ascii="Arial" w:hAnsi="Arial" w:cs="Arial"/>
          <w:rtl/>
        </w:rPr>
      </w:pPr>
    </w:p>
    <w:p w:rsidR="00C930D4" w:rsidRPr="00AC10E7" w:rsidRDefault="005D4795" w:rsidP="005D4795">
      <w:pPr>
        <w:pStyle w:val="a3"/>
        <w:rPr>
          <w:rFonts w:ascii="Arial" w:hAnsi="Arial" w:cs="Arial"/>
          <w:rtl/>
        </w:rPr>
      </w:pPr>
      <w:r w:rsidRPr="00AC10E7">
        <w:rPr>
          <w:rFonts w:ascii="Arial" w:hAnsi="Arial" w:cs="Arial"/>
          <w:rtl/>
        </w:rPr>
        <w:t>במקרה דנן ניתן</w:t>
      </w:r>
      <w:r w:rsidR="00C930D4" w:rsidRPr="00AC10E7">
        <w:rPr>
          <w:rFonts w:ascii="Arial" w:hAnsi="Arial" w:cs="Arial"/>
          <w:rtl/>
        </w:rPr>
        <w:t xml:space="preserve"> לומר שאין שלושת התנאים מתקבלים.</w:t>
      </w:r>
    </w:p>
    <w:p w:rsidR="005D4795" w:rsidRPr="00AC10E7" w:rsidRDefault="005D4795" w:rsidP="005D4795">
      <w:pPr>
        <w:pStyle w:val="a3"/>
        <w:rPr>
          <w:rFonts w:ascii="Arial" w:hAnsi="Arial" w:cs="Arial"/>
          <w:rtl/>
        </w:rPr>
      </w:pPr>
      <w:r w:rsidRPr="00AC10E7">
        <w:rPr>
          <w:rFonts w:ascii="Arial" w:hAnsi="Arial" w:cs="Arial"/>
          <w:rtl/>
        </w:rPr>
        <w:t>אמנם הפגיעה העיקרית היא בחופש העיסוק אך הפגיעה בזכויות האחרות אינה משנית.</w:t>
      </w:r>
    </w:p>
    <w:p w:rsidR="005D4795" w:rsidRPr="00AC10E7" w:rsidRDefault="00E4334F" w:rsidP="005D4795">
      <w:pPr>
        <w:pStyle w:val="a3"/>
        <w:rPr>
          <w:rFonts w:ascii="Arial" w:hAnsi="Arial" w:cs="Arial"/>
          <w:rtl/>
        </w:rPr>
      </w:pPr>
      <w:r w:rsidRPr="00AC10E7">
        <w:rPr>
          <w:rFonts w:ascii="Arial" w:hAnsi="Arial" w:cs="Arial"/>
          <w:rtl/>
        </w:rPr>
        <w:t>לעניות דעתי, ביהמ"ש יקבע כי</w:t>
      </w:r>
      <w:r w:rsidR="005D4795" w:rsidRPr="00AC10E7">
        <w:rPr>
          <w:rFonts w:ascii="Arial" w:hAnsi="Arial" w:cs="Arial"/>
          <w:rtl/>
        </w:rPr>
        <w:t xml:space="preserve"> קיימת </w:t>
      </w:r>
      <w:r w:rsidR="00342E84" w:rsidRPr="00AC10E7">
        <w:rPr>
          <w:rFonts w:ascii="Arial" w:hAnsi="Arial" w:cs="Arial"/>
          <w:rtl/>
        </w:rPr>
        <w:t>פגיעה בזכויות אדם המעוגנות בח"י, ישנ</w:t>
      </w:r>
      <w:r w:rsidR="00C930D4" w:rsidRPr="00AC10E7">
        <w:rPr>
          <w:rFonts w:ascii="Arial" w:hAnsi="Arial" w:cs="Arial"/>
          <w:rtl/>
        </w:rPr>
        <w:t xml:space="preserve">ו צורך באיזון בין הזכויות לאינטרסים השונים, איזון שלא מתקיים </w:t>
      </w:r>
      <w:r w:rsidR="00342E84" w:rsidRPr="00AC10E7">
        <w:rPr>
          <w:rFonts w:ascii="Arial" w:hAnsi="Arial" w:cs="Arial"/>
          <w:rtl/>
        </w:rPr>
        <w:t>בענייננו, על כן לדעתי דין החוק להתבטל.</w:t>
      </w: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B978CB" w:rsidRPr="00AC10E7" w:rsidRDefault="00B978CB" w:rsidP="005D5634">
      <w:pPr>
        <w:pStyle w:val="a3"/>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tl/>
        </w:rPr>
      </w:pPr>
    </w:p>
    <w:p w:rsidR="004B003C" w:rsidRPr="00AC10E7" w:rsidRDefault="004B003C">
      <w:pPr>
        <w:rPr>
          <w:rFonts w:ascii="Arial" w:hAnsi="Arial" w:cs="Arial"/>
        </w:rPr>
      </w:pPr>
    </w:p>
    <w:sectPr w:rsidR="004B003C" w:rsidRPr="00AC10E7" w:rsidSect="00D84F1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3C" w:rsidRDefault="0023353C" w:rsidP="004B003C">
      <w:pPr>
        <w:spacing w:after="0"/>
      </w:pPr>
      <w:r>
        <w:separator/>
      </w:r>
    </w:p>
  </w:endnote>
  <w:endnote w:type="continuationSeparator" w:id="0">
    <w:p w:rsidR="0023353C" w:rsidRDefault="0023353C" w:rsidP="004B0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45960427"/>
      <w:docPartObj>
        <w:docPartGallery w:val="Page Numbers (Bottom of Page)"/>
        <w:docPartUnique/>
      </w:docPartObj>
    </w:sdtPr>
    <w:sdtEndPr>
      <w:rPr>
        <w:cs/>
      </w:rPr>
    </w:sdtEndPr>
    <w:sdtContent>
      <w:p w:rsidR="00F855CA" w:rsidRDefault="00F855CA">
        <w:pPr>
          <w:pStyle w:val="aa"/>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490D38" w:rsidRPr="00490D38">
          <w:rPr>
            <w:noProof/>
            <w:rtl/>
            <w:lang w:val="he-IL"/>
          </w:rPr>
          <w:t>5</w:t>
        </w:r>
        <w:r>
          <w:fldChar w:fldCharType="end"/>
        </w:r>
      </w:p>
    </w:sdtContent>
  </w:sdt>
  <w:p w:rsidR="00F855CA" w:rsidRDefault="00F855C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3C" w:rsidRDefault="0023353C" w:rsidP="004B003C">
      <w:pPr>
        <w:spacing w:after="0"/>
      </w:pPr>
      <w:r>
        <w:separator/>
      </w:r>
    </w:p>
  </w:footnote>
  <w:footnote w:type="continuationSeparator" w:id="0">
    <w:p w:rsidR="0023353C" w:rsidRDefault="0023353C" w:rsidP="004B003C">
      <w:pPr>
        <w:spacing w:after="0"/>
      </w:pPr>
      <w:r>
        <w:continuationSeparator/>
      </w:r>
    </w:p>
  </w:footnote>
  <w:footnote w:id="1">
    <w:p w:rsidR="00435D7A" w:rsidRPr="00435D7A" w:rsidRDefault="00435D7A">
      <w:pPr>
        <w:pStyle w:val="a4"/>
        <w:rPr>
          <w:rtl/>
        </w:rPr>
      </w:pPr>
      <w:r>
        <w:rPr>
          <w:rStyle w:val="a6"/>
        </w:rPr>
        <w:footnoteRef/>
      </w:r>
      <w:r>
        <w:rPr>
          <w:rFonts w:hint="cs"/>
          <w:rtl/>
        </w:rPr>
        <w:t xml:space="preserve"> ע"פ 4424/98 </w:t>
      </w:r>
      <w:proofErr w:type="spellStart"/>
      <w:r>
        <w:rPr>
          <w:rFonts w:hint="cs"/>
          <w:b/>
          <w:bCs/>
          <w:rtl/>
        </w:rPr>
        <w:t>סילגדו</w:t>
      </w:r>
      <w:proofErr w:type="spellEnd"/>
      <w:r>
        <w:rPr>
          <w:rFonts w:hint="cs"/>
          <w:b/>
          <w:bCs/>
          <w:rtl/>
        </w:rPr>
        <w:t xml:space="preserve"> נ' מדינת ישראל</w:t>
      </w:r>
      <w:r>
        <w:rPr>
          <w:rFonts w:hint="cs"/>
          <w:rtl/>
        </w:rPr>
        <w:t xml:space="preserve">, פ"ד נו(5) 529, </w:t>
      </w:r>
      <w:r w:rsidR="004B04FA">
        <w:rPr>
          <w:rFonts w:hint="cs"/>
          <w:rtl/>
        </w:rPr>
        <w:t>546 (2002).</w:t>
      </w:r>
    </w:p>
  </w:footnote>
  <w:footnote w:id="2">
    <w:p w:rsidR="00435D7A" w:rsidRDefault="00435D7A">
      <w:pPr>
        <w:pStyle w:val="a4"/>
        <w:rPr>
          <w:rtl/>
        </w:rPr>
      </w:pPr>
      <w:r>
        <w:rPr>
          <w:rStyle w:val="a6"/>
        </w:rPr>
        <w:footnoteRef/>
      </w:r>
      <w:r>
        <w:rPr>
          <w:rtl/>
        </w:rPr>
        <w:t xml:space="preserve"> </w:t>
      </w:r>
      <w:r w:rsidR="004B04FA">
        <w:rPr>
          <w:rFonts w:hint="cs"/>
          <w:rtl/>
        </w:rPr>
        <w:t>שם, בעמוד 553.</w:t>
      </w:r>
    </w:p>
  </w:footnote>
  <w:footnote w:id="3">
    <w:p w:rsidR="004203D9" w:rsidRDefault="004203D9">
      <w:pPr>
        <w:pStyle w:val="a4"/>
      </w:pPr>
      <w:r>
        <w:rPr>
          <w:rStyle w:val="a6"/>
        </w:rPr>
        <w:footnoteRef/>
      </w:r>
      <w:r>
        <w:rPr>
          <w:rtl/>
        </w:rPr>
        <w:t xml:space="preserve"> </w:t>
      </w:r>
      <w:r w:rsidR="00A26F19">
        <w:rPr>
          <w:rFonts w:hint="cs"/>
          <w:rtl/>
        </w:rPr>
        <w:t>חוק יסוד: חופש העיסוק.</w:t>
      </w:r>
    </w:p>
  </w:footnote>
  <w:footnote w:id="4">
    <w:p w:rsidR="004203D9" w:rsidRDefault="004203D9">
      <w:pPr>
        <w:pStyle w:val="a4"/>
        <w:rPr>
          <w:rtl/>
        </w:rPr>
      </w:pPr>
      <w:r>
        <w:rPr>
          <w:rStyle w:val="a6"/>
        </w:rPr>
        <w:footnoteRef/>
      </w:r>
      <w:r>
        <w:rPr>
          <w:rtl/>
        </w:rPr>
        <w:t xml:space="preserve"> </w:t>
      </w:r>
      <w:r w:rsidR="00A26F19">
        <w:rPr>
          <w:rFonts w:hint="cs"/>
          <w:rtl/>
        </w:rPr>
        <w:t>סעיף 3 לחוק יסוד: כבוד האדם וחירותו.</w:t>
      </w:r>
    </w:p>
  </w:footnote>
  <w:footnote w:id="5">
    <w:p w:rsidR="004203D9" w:rsidRDefault="004203D9">
      <w:pPr>
        <w:pStyle w:val="a4"/>
      </w:pPr>
      <w:r>
        <w:rPr>
          <w:rStyle w:val="a6"/>
        </w:rPr>
        <w:footnoteRef/>
      </w:r>
      <w:r>
        <w:rPr>
          <w:rtl/>
        </w:rPr>
        <w:t xml:space="preserve"> </w:t>
      </w:r>
      <w:r w:rsidR="00511917">
        <w:rPr>
          <w:rFonts w:hint="cs"/>
          <w:rtl/>
        </w:rPr>
        <w:t>סעיף 5 לחוק יסוד: כבוד האדם וחירותו.</w:t>
      </w:r>
    </w:p>
  </w:footnote>
  <w:footnote w:id="6">
    <w:p w:rsidR="004203D9" w:rsidRDefault="004203D9">
      <w:pPr>
        <w:pStyle w:val="a4"/>
        <w:rPr>
          <w:rtl/>
        </w:rPr>
      </w:pPr>
      <w:r>
        <w:rPr>
          <w:rStyle w:val="a6"/>
        </w:rPr>
        <w:footnoteRef/>
      </w:r>
      <w:r>
        <w:rPr>
          <w:rtl/>
        </w:rPr>
        <w:t xml:space="preserve"> </w:t>
      </w:r>
      <w:r w:rsidR="00511917">
        <w:rPr>
          <w:rFonts w:hint="cs"/>
          <w:rtl/>
        </w:rPr>
        <w:t>חוק יסוד: כבוד האדם וחירותו.</w:t>
      </w:r>
    </w:p>
  </w:footnote>
  <w:footnote w:id="7">
    <w:p w:rsidR="004203D9" w:rsidRDefault="004203D9">
      <w:pPr>
        <w:pStyle w:val="a4"/>
        <w:rPr>
          <w:rtl/>
        </w:rPr>
      </w:pPr>
      <w:r>
        <w:rPr>
          <w:rStyle w:val="a6"/>
        </w:rPr>
        <w:footnoteRef/>
      </w:r>
      <w:r>
        <w:rPr>
          <w:rtl/>
        </w:rPr>
        <w:t xml:space="preserve"> </w:t>
      </w:r>
      <w:r w:rsidR="00511917">
        <w:rPr>
          <w:rFonts w:hint="cs"/>
          <w:rtl/>
        </w:rPr>
        <w:t>שם.</w:t>
      </w:r>
    </w:p>
  </w:footnote>
  <w:footnote w:id="8">
    <w:p w:rsidR="004203D9" w:rsidRDefault="004203D9">
      <w:pPr>
        <w:pStyle w:val="a4"/>
        <w:rPr>
          <w:rtl/>
        </w:rPr>
      </w:pPr>
      <w:r>
        <w:rPr>
          <w:rStyle w:val="a6"/>
        </w:rPr>
        <w:footnoteRef/>
      </w:r>
      <w:r w:rsidR="00511917">
        <w:rPr>
          <w:rFonts w:hint="cs"/>
          <w:rtl/>
        </w:rPr>
        <w:t xml:space="preserve"> </w:t>
      </w:r>
      <w:r w:rsidR="00511917">
        <w:rPr>
          <w:rFonts w:hint="cs"/>
          <w:rtl/>
        </w:rPr>
        <w:t>שם.</w:t>
      </w:r>
    </w:p>
  </w:footnote>
  <w:footnote w:id="9">
    <w:p w:rsidR="004203D9" w:rsidRDefault="004203D9" w:rsidP="00511917">
      <w:pPr>
        <w:pStyle w:val="a4"/>
      </w:pPr>
      <w:r>
        <w:rPr>
          <w:rStyle w:val="a6"/>
        </w:rPr>
        <w:footnoteRef/>
      </w:r>
      <w:r>
        <w:rPr>
          <w:rtl/>
        </w:rPr>
        <w:t xml:space="preserve"> </w:t>
      </w:r>
      <w:r w:rsidR="00511917">
        <w:rPr>
          <w:rFonts w:hint="cs"/>
          <w:rtl/>
        </w:rPr>
        <w:t xml:space="preserve"> </w:t>
      </w:r>
      <w:r w:rsidR="00511917">
        <w:rPr>
          <w:rFonts w:hint="cs"/>
          <w:rtl/>
        </w:rPr>
        <w:t>סעיף 3 לחוק יסוד: כבוד האדם וחירותו.</w:t>
      </w:r>
    </w:p>
  </w:footnote>
  <w:footnote w:id="10">
    <w:p w:rsidR="004203D9" w:rsidRDefault="004203D9">
      <w:pPr>
        <w:pStyle w:val="a4"/>
      </w:pPr>
      <w:r>
        <w:rPr>
          <w:rStyle w:val="a6"/>
        </w:rPr>
        <w:footnoteRef/>
      </w:r>
      <w:r>
        <w:rPr>
          <w:rtl/>
        </w:rPr>
        <w:t xml:space="preserve"> </w:t>
      </w:r>
      <w:r w:rsidR="00511917">
        <w:rPr>
          <w:rFonts w:hint="cs"/>
          <w:rtl/>
        </w:rPr>
        <w:t>סעיף 5 לחוק יסוד: כבוד האדם וחירותו.</w:t>
      </w:r>
    </w:p>
  </w:footnote>
  <w:footnote w:id="11">
    <w:p w:rsidR="004203D9" w:rsidRDefault="004203D9" w:rsidP="000043F1">
      <w:pPr>
        <w:pStyle w:val="a4"/>
      </w:pPr>
      <w:r>
        <w:rPr>
          <w:rStyle w:val="a6"/>
        </w:rPr>
        <w:footnoteRef/>
      </w:r>
      <w:r>
        <w:rPr>
          <w:rtl/>
        </w:rPr>
        <w:t xml:space="preserve"> </w:t>
      </w:r>
      <w:r w:rsidR="000043F1">
        <w:rPr>
          <w:rFonts w:hint="cs"/>
          <w:rtl/>
        </w:rPr>
        <w:t xml:space="preserve">בג"צ 2605/05 </w:t>
      </w:r>
      <w:r w:rsidR="000043F1">
        <w:rPr>
          <w:rFonts w:hint="cs"/>
          <w:b/>
          <w:bCs/>
          <w:rtl/>
        </w:rPr>
        <w:t xml:space="preserve">המרכז האקדמי למשפט ולעסקים, חטיבת זכויות האדם נ' שר </w:t>
      </w:r>
      <w:r w:rsidR="000043F1" w:rsidRPr="000043F1">
        <w:rPr>
          <w:rFonts w:hint="cs"/>
          <w:b/>
          <w:bCs/>
          <w:rtl/>
        </w:rPr>
        <w:t>האוצר</w:t>
      </w:r>
      <w:r w:rsidR="000043F1">
        <w:rPr>
          <w:rFonts w:hint="cs"/>
          <w:rtl/>
        </w:rPr>
        <w:t>, סעיפים 21,23 (טרם פורסם,  19.11.2009).</w:t>
      </w:r>
    </w:p>
  </w:footnote>
  <w:footnote w:id="12">
    <w:p w:rsidR="004203D9" w:rsidRDefault="004203D9">
      <w:pPr>
        <w:pStyle w:val="a4"/>
      </w:pPr>
      <w:r>
        <w:rPr>
          <w:rStyle w:val="a6"/>
        </w:rPr>
        <w:footnoteRef/>
      </w:r>
      <w:r>
        <w:rPr>
          <w:rtl/>
        </w:rPr>
        <w:t xml:space="preserve"> </w:t>
      </w:r>
      <w:r w:rsidR="000043F1">
        <w:rPr>
          <w:rFonts w:hint="cs"/>
          <w:rtl/>
        </w:rPr>
        <w:t>חוק יסוד: כבוד האדם וחירותו.</w:t>
      </w:r>
    </w:p>
  </w:footnote>
  <w:footnote w:id="13">
    <w:p w:rsidR="004203D9" w:rsidRDefault="004203D9">
      <w:pPr>
        <w:pStyle w:val="a4"/>
      </w:pPr>
      <w:r>
        <w:rPr>
          <w:rStyle w:val="a6"/>
        </w:rPr>
        <w:footnoteRef/>
      </w:r>
      <w:r>
        <w:rPr>
          <w:rtl/>
        </w:rPr>
        <w:t xml:space="preserve"> </w:t>
      </w:r>
      <w:r w:rsidR="00132295">
        <w:rPr>
          <w:rFonts w:hint="cs"/>
          <w:rtl/>
        </w:rPr>
        <w:t>שם.</w:t>
      </w:r>
    </w:p>
  </w:footnote>
  <w:footnote w:id="14">
    <w:p w:rsidR="004203D9" w:rsidRDefault="004203D9">
      <w:pPr>
        <w:pStyle w:val="a4"/>
        <w:rPr>
          <w:rtl/>
        </w:rPr>
      </w:pPr>
      <w:r>
        <w:rPr>
          <w:rStyle w:val="a6"/>
        </w:rPr>
        <w:footnoteRef/>
      </w:r>
      <w:r>
        <w:rPr>
          <w:rtl/>
        </w:rPr>
        <w:t xml:space="preserve"> </w:t>
      </w:r>
      <w:r w:rsidR="00132295">
        <w:rPr>
          <w:rFonts w:hint="cs"/>
          <w:rtl/>
        </w:rPr>
        <w:t>שם.</w:t>
      </w:r>
    </w:p>
  </w:footnote>
  <w:footnote w:id="15">
    <w:p w:rsidR="004203D9" w:rsidRDefault="004203D9">
      <w:pPr>
        <w:pStyle w:val="a4"/>
        <w:rPr>
          <w:rtl/>
        </w:rPr>
      </w:pPr>
      <w:r>
        <w:rPr>
          <w:rStyle w:val="a6"/>
        </w:rPr>
        <w:footnoteRef/>
      </w:r>
      <w:r>
        <w:rPr>
          <w:rtl/>
        </w:rPr>
        <w:t xml:space="preserve"> </w:t>
      </w:r>
      <w:r w:rsidR="00132295">
        <w:rPr>
          <w:rFonts w:hint="cs"/>
          <w:rtl/>
        </w:rPr>
        <w:t>חוק יסוד:</w:t>
      </w:r>
      <w:r>
        <w:rPr>
          <w:rFonts w:hint="cs"/>
          <w:rtl/>
        </w:rPr>
        <w:t xml:space="preserve"> חופש העיסוק</w:t>
      </w:r>
      <w:r w:rsidR="00132295">
        <w:rPr>
          <w:rFonts w:hint="cs"/>
          <w:rtl/>
        </w:rPr>
        <w:t>.</w:t>
      </w:r>
    </w:p>
  </w:footnote>
  <w:footnote w:id="16">
    <w:p w:rsidR="004203D9" w:rsidRDefault="004203D9">
      <w:pPr>
        <w:pStyle w:val="a4"/>
      </w:pPr>
      <w:r>
        <w:rPr>
          <w:rStyle w:val="a6"/>
        </w:rPr>
        <w:footnoteRef/>
      </w:r>
      <w:r>
        <w:rPr>
          <w:rtl/>
        </w:rPr>
        <w:t xml:space="preserve"> </w:t>
      </w:r>
      <w:r w:rsidR="00132295">
        <w:rPr>
          <w:rFonts w:hint="cs"/>
          <w:rtl/>
        </w:rPr>
        <w:t xml:space="preserve">בג"צ 2605/05 </w:t>
      </w:r>
      <w:proofErr w:type="spellStart"/>
      <w:r w:rsidR="00132295">
        <w:rPr>
          <w:rFonts w:hint="cs"/>
          <w:b/>
          <w:bCs/>
          <w:rtl/>
        </w:rPr>
        <w:t>לם</w:t>
      </w:r>
      <w:proofErr w:type="spellEnd"/>
      <w:r w:rsidR="00132295">
        <w:rPr>
          <w:rFonts w:hint="cs"/>
          <w:b/>
          <w:bCs/>
          <w:rtl/>
        </w:rPr>
        <w:t xml:space="preserve"> נ' מנכ"ל משרד החינוך, התרבות והספורט, </w:t>
      </w:r>
      <w:r w:rsidR="00132295">
        <w:rPr>
          <w:rFonts w:hint="cs"/>
          <w:rtl/>
        </w:rPr>
        <w:t xml:space="preserve">פ"ד </w:t>
      </w:r>
      <w:proofErr w:type="spellStart"/>
      <w:r w:rsidR="00132295">
        <w:rPr>
          <w:rFonts w:hint="cs"/>
          <w:rtl/>
        </w:rPr>
        <w:t>נג</w:t>
      </w:r>
      <w:proofErr w:type="spellEnd"/>
      <w:r w:rsidR="00132295">
        <w:rPr>
          <w:rFonts w:hint="cs"/>
          <w:rtl/>
        </w:rPr>
        <w:t>(4) 673, 681 (1999).</w:t>
      </w:r>
    </w:p>
  </w:footnote>
  <w:footnote w:id="17">
    <w:p w:rsidR="004203D9" w:rsidRDefault="004203D9">
      <w:pPr>
        <w:pStyle w:val="a4"/>
      </w:pPr>
      <w:r>
        <w:rPr>
          <w:rStyle w:val="a6"/>
        </w:rPr>
        <w:footnoteRef/>
      </w:r>
      <w:r>
        <w:rPr>
          <w:rtl/>
        </w:rPr>
        <w:t xml:space="preserve"> </w:t>
      </w:r>
      <w:r w:rsidR="00132295">
        <w:rPr>
          <w:rFonts w:hint="cs"/>
          <w:rtl/>
        </w:rPr>
        <w:t>חוק יסוד: חופש העיסוק.</w:t>
      </w:r>
    </w:p>
  </w:footnote>
  <w:footnote w:id="18">
    <w:p w:rsidR="004203D9" w:rsidRDefault="004203D9">
      <w:pPr>
        <w:pStyle w:val="a4"/>
      </w:pPr>
      <w:r>
        <w:rPr>
          <w:rStyle w:val="a6"/>
        </w:rPr>
        <w:footnoteRef/>
      </w:r>
      <w:r>
        <w:rPr>
          <w:rtl/>
        </w:rPr>
        <w:t xml:space="preserve"> </w:t>
      </w:r>
      <w:r>
        <w:rPr>
          <w:rFonts w:hint="cs"/>
          <w:rtl/>
        </w:rPr>
        <w:t>סעיף 3</w:t>
      </w:r>
      <w:r w:rsidR="00E87213">
        <w:rPr>
          <w:rFonts w:hint="cs"/>
          <w:rtl/>
        </w:rPr>
        <w:t xml:space="preserve"> לחוק יסוד: כבוד האדם וחירותו.</w:t>
      </w:r>
    </w:p>
  </w:footnote>
  <w:footnote w:id="19">
    <w:p w:rsidR="004203D9" w:rsidRDefault="004203D9">
      <w:pPr>
        <w:pStyle w:val="a4"/>
      </w:pPr>
      <w:r>
        <w:rPr>
          <w:rStyle w:val="a6"/>
        </w:rPr>
        <w:footnoteRef/>
      </w:r>
      <w:r>
        <w:rPr>
          <w:rtl/>
        </w:rPr>
        <w:t xml:space="preserve"> </w:t>
      </w:r>
      <w:r>
        <w:rPr>
          <w:rFonts w:hint="cs"/>
          <w:rtl/>
        </w:rPr>
        <w:t>סעיף 5</w:t>
      </w:r>
      <w:r w:rsidR="00E87213">
        <w:rPr>
          <w:rFonts w:hint="cs"/>
          <w:rtl/>
        </w:rPr>
        <w:t xml:space="preserve"> לחוק יסוד: כבוד האדם וחירותו.</w:t>
      </w:r>
    </w:p>
  </w:footnote>
  <w:footnote w:id="20">
    <w:p w:rsidR="004203D9" w:rsidRDefault="004203D9">
      <w:pPr>
        <w:pStyle w:val="a4"/>
        <w:rPr>
          <w:rtl/>
        </w:rPr>
      </w:pPr>
      <w:r>
        <w:rPr>
          <w:rStyle w:val="a6"/>
        </w:rPr>
        <w:footnoteRef/>
      </w:r>
      <w:r>
        <w:rPr>
          <w:rtl/>
        </w:rPr>
        <w:t xml:space="preserve"> </w:t>
      </w:r>
      <w:r w:rsidR="00E87213">
        <w:rPr>
          <w:rFonts w:hint="cs"/>
          <w:rtl/>
        </w:rPr>
        <w:t>חוק יסוד: כבוד האדם וחירותו.</w:t>
      </w:r>
    </w:p>
  </w:footnote>
  <w:footnote w:id="21">
    <w:p w:rsidR="004203D9" w:rsidRDefault="004203D9" w:rsidP="00040449">
      <w:pPr>
        <w:pStyle w:val="a4"/>
      </w:pPr>
      <w:r>
        <w:rPr>
          <w:rStyle w:val="a6"/>
        </w:rPr>
        <w:footnoteRef/>
      </w:r>
      <w:r>
        <w:rPr>
          <w:rtl/>
        </w:rPr>
        <w:t xml:space="preserve"> </w:t>
      </w:r>
      <w:r w:rsidR="00966502">
        <w:rPr>
          <w:rFonts w:hint="cs"/>
          <w:rtl/>
        </w:rPr>
        <w:t xml:space="preserve">בג"צ 6427/02 </w:t>
      </w:r>
      <w:r w:rsidR="00040449">
        <w:rPr>
          <w:rFonts w:hint="cs"/>
          <w:b/>
          <w:bCs/>
          <w:rtl/>
        </w:rPr>
        <w:t xml:space="preserve">התנועה לאיכות השלטון בישראל נ' הכנסת, </w:t>
      </w:r>
      <w:r>
        <w:rPr>
          <w:rFonts w:hint="cs"/>
          <w:rtl/>
        </w:rPr>
        <w:t>סעיף 33</w:t>
      </w:r>
      <w:r w:rsidR="00040449">
        <w:rPr>
          <w:rFonts w:hint="cs"/>
          <w:rtl/>
        </w:rPr>
        <w:t xml:space="preserve"> (טרם פורסם, 11.05.2006).</w:t>
      </w:r>
    </w:p>
  </w:footnote>
  <w:footnote w:id="22">
    <w:p w:rsidR="004203D9" w:rsidRDefault="004203D9" w:rsidP="00040449">
      <w:pPr>
        <w:pStyle w:val="a4"/>
        <w:rPr>
          <w:rtl/>
        </w:rPr>
      </w:pPr>
      <w:r>
        <w:rPr>
          <w:rStyle w:val="a6"/>
        </w:rPr>
        <w:footnoteRef/>
      </w:r>
      <w:r>
        <w:rPr>
          <w:rtl/>
        </w:rPr>
        <w:t xml:space="preserve"> </w:t>
      </w:r>
      <w:r w:rsidR="00040449" w:rsidRPr="00040449">
        <w:rPr>
          <w:rFonts w:cs="Arial" w:hint="cs"/>
          <w:rtl/>
        </w:rPr>
        <w:t>בג</w:t>
      </w:r>
      <w:r w:rsidR="00040449" w:rsidRPr="00040449">
        <w:rPr>
          <w:rFonts w:cs="Arial"/>
          <w:rtl/>
        </w:rPr>
        <w:t>"</w:t>
      </w:r>
      <w:r w:rsidR="00040449" w:rsidRPr="00040449">
        <w:rPr>
          <w:rFonts w:cs="Arial" w:hint="cs"/>
          <w:rtl/>
        </w:rPr>
        <w:t>צ</w:t>
      </w:r>
      <w:r w:rsidR="00040449" w:rsidRPr="00040449">
        <w:rPr>
          <w:rFonts w:cs="Arial"/>
          <w:rtl/>
        </w:rPr>
        <w:t xml:space="preserve"> 2605/05 </w:t>
      </w:r>
      <w:r w:rsidR="00040449" w:rsidRPr="00040449">
        <w:rPr>
          <w:rFonts w:cs="Arial" w:hint="cs"/>
          <w:b/>
          <w:bCs/>
          <w:rtl/>
        </w:rPr>
        <w:t>המרכז</w:t>
      </w:r>
      <w:r w:rsidR="00040449" w:rsidRPr="00040449">
        <w:rPr>
          <w:rFonts w:cs="Arial"/>
          <w:b/>
          <w:bCs/>
          <w:rtl/>
        </w:rPr>
        <w:t xml:space="preserve"> </w:t>
      </w:r>
      <w:r w:rsidR="00040449" w:rsidRPr="00040449">
        <w:rPr>
          <w:rFonts w:cs="Arial" w:hint="cs"/>
          <w:b/>
          <w:bCs/>
          <w:rtl/>
        </w:rPr>
        <w:t>האקדמי</w:t>
      </w:r>
      <w:r w:rsidR="00040449" w:rsidRPr="00040449">
        <w:rPr>
          <w:rFonts w:cs="Arial"/>
          <w:b/>
          <w:bCs/>
          <w:rtl/>
        </w:rPr>
        <w:t xml:space="preserve"> </w:t>
      </w:r>
      <w:r w:rsidR="00040449" w:rsidRPr="00040449">
        <w:rPr>
          <w:rFonts w:cs="Arial" w:hint="cs"/>
          <w:b/>
          <w:bCs/>
          <w:rtl/>
        </w:rPr>
        <w:t>למשפט</w:t>
      </w:r>
      <w:r w:rsidR="00040449" w:rsidRPr="00040449">
        <w:rPr>
          <w:rFonts w:cs="Arial"/>
          <w:b/>
          <w:bCs/>
          <w:rtl/>
        </w:rPr>
        <w:t xml:space="preserve"> </w:t>
      </w:r>
      <w:r w:rsidR="00040449" w:rsidRPr="00040449">
        <w:rPr>
          <w:rFonts w:cs="Arial" w:hint="cs"/>
          <w:b/>
          <w:bCs/>
          <w:rtl/>
        </w:rPr>
        <w:t>ולעסקים</w:t>
      </w:r>
      <w:r w:rsidR="00040449" w:rsidRPr="00040449">
        <w:rPr>
          <w:rFonts w:cs="Arial"/>
          <w:b/>
          <w:bCs/>
          <w:rtl/>
        </w:rPr>
        <w:t xml:space="preserve">, </w:t>
      </w:r>
      <w:r w:rsidR="00040449" w:rsidRPr="00040449">
        <w:rPr>
          <w:rFonts w:cs="Arial" w:hint="cs"/>
          <w:b/>
          <w:bCs/>
          <w:rtl/>
        </w:rPr>
        <w:t>חטיבת</w:t>
      </w:r>
      <w:r w:rsidR="00040449" w:rsidRPr="00040449">
        <w:rPr>
          <w:rFonts w:cs="Arial"/>
          <w:b/>
          <w:bCs/>
          <w:rtl/>
        </w:rPr>
        <w:t xml:space="preserve"> </w:t>
      </w:r>
      <w:r w:rsidR="00040449" w:rsidRPr="00040449">
        <w:rPr>
          <w:rFonts w:cs="Arial" w:hint="cs"/>
          <w:b/>
          <w:bCs/>
          <w:rtl/>
        </w:rPr>
        <w:t>זכויות</w:t>
      </w:r>
      <w:r w:rsidR="00040449" w:rsidRPr="00040449">
        <w:rPr>
          <w:rFonts w:cs="Arial"/>
          <w:b/>
          <w:bCs/>
          <w:rtl/>
        </w:rPr>
        <w:t xml:space="preserve"> </w:t>
      </w:r>
      <w:r w:rsidR="00040449" w:rsidRPr="00040449">
        <w:rPr>
          <w:rFonts w:cs="Arial" w:hint="cs"/>
          <w:b/>
          <w:bCs/>
          <w:rtl/>
        </w:rPr>
        <w:t>האדם</w:t>
      </w:r>
      <w:r w:rsidR="00040449" w:rsidRPr="00040449">
        <w:rPr>
          <w:rFonts w:cs="Arial"/>
          <w:b/>
          <w:bCs/>
          <w:rtl/>
        </w:rPr>
        <w:t xml:space="preserve"> </w:t>
      </w:r>
      <w:r w:rsidR="00040449" w:rsidRPr="00040449">
        <w:rPr>
          <w:rFonts w:cs="Arial" w:hint="cs"/>
          <w:b/>
          <w:bCs/>
          <w:rtl/>
        </w:rPr>
        <w:t>נ</w:t>
      </w:r>
      <w:r w:rsidR="00040449" w:rsidRPr="00040449">
        <w:rPr>
          <w:rFonts w:cs="Arial"/>
          <w:b/>
          <w:bCs/>
          <w:rtl/>
        </w:rPr>
        <w:t xml:space="preserve">' </w:t>
      </w:r>
      <w:r w:rsidR="00040449" w:rsidRPr="00040449">
        <w:rPr>
          <w:rFonts w:cs="Arial" w:hint="cs"/>
          <w:b/>
          <w:bCs/>
          <w:rtl/>
        </w:rPr>
        <w:t>שר</w:t>
      </w:r>
      <w:r w:rsidR="00040449" w:rsidRPr="00040449">
        <w:rPr>
          <w:rFonts w:cs="Arial"/>
          <w:b/>
          <w:bCs/>
          <w:rtl/>
        </w:rPr>
        <w:t xml:space="preserve"> </w:t>
      </w:r>
      <w:r w:rsidR="00040449" w:rsidRPr="00040449">
        <w:rPr>
          <w:rFonts w:cs="Arial" w:hint="cs"/>
          <w:b/>
          <w:bCs/>
          <w:rtl/>
        </w:rPr>
        <w:t>האוצר</w:t>
      </w:r>
      <w:r w:rsidR="00040449" w:rsidRPr="00040449">
        <w:rPr>
          <w:rFonts w:cs="Arial"/>
          <w:b/>
          <w:bCs/>
          <w:rtl/>
        </w:rPr>
        <w:t>,</w:t>
      </w:r>
      <w:r w:rsidR="00040449" w:rsidRPr="00040449">
        <w:rPr>
          <w:rFonts w:cs="Arial"/>
          <w:rtl/>
        </w:rPr>
        <w:t xml:space="preserve"> </w:t>
      </w:r>
      <w:r w:rsidR="00040449">
        <w:rPr>
          <w:rFonts w:cs="Arial" w:hint="cs"/>
          <w:rtl/>
        </w:rPr>
        <w:t xml:space="preserve">סעיף 34 </w:t>
      </w:r>
      <w:r w:rsidR="00040449" w:rsidRPr="00040449">
        <w:rPr>
          <w:rFonts w:cs="Arial"/>
          <w:rtl/>
        </w:rPr>
        <w:t>(</w:t>
      </w:r>
      <w:r w:rsidR="00040449" w:rsidRPr="00040449">
        <w:rPr>
          <w:rFonts w:cs="Arial" w:hint="cs"/>
          <w:rtl/>
        </w:rPr>
        <w:t>טרם</w:t>
      </w:r>
      <w:r w:rsidR="00040449" w:rsidRPr="00040449">
        <w:rPr>
          <w:rFonts w:cs="Arial"/>
          <w:rtl/>
        </w:rPr>
        <w:t xml:space="preserve"> </w:t>
      </w:r>
      <w:r w:rsidR="00040449" w:rsidRPr="00040449">
        <w:rPr>
          <w:rFonts w:cs="Arial" w:hint="cs"/>
          <w:rtl/>
        </w:rPr>
        <w:t>פורסם</w:t>
      </w:r>
      <w:r w:rsidR="00040449" w:rsidRPr="00040449">
        <w:rPr>
          <w:rFonts w:cs="Arial"/>
          <w:rtl/>
        </w:rPr>
        <w:t>,  19.11.2009).</w:t>
      </w:r>
    </w:p>
  </w:footnote>
  <w:footnote w:id="23">
    <w:p w:rsidR="004203D9" w:rsidRDefault="004203D9" w:rsidP="00966502">
      <w:pPr>
        <w:pStyle w:val="a4"/>
      </w:pPr>
      <w:r>
        <w:rPr>
          <w:rStyle w:val="a6"/>
        </w:rPr>
        <w:footnoteRef/>
      </w:r>
      <w:r>
        <w:rPr>
          <w:rtl/>
        </w:rPr>
        <w:t xml:space="preserve"> </w:t>
      </w:r>
      <w:r w:rsidR="00966502" w:rsidRPr="00966502">
        <w:rPr>
          <w:rFonts w:cs="Arial" w:hint="cs"/>
          <w:rtl/>
        </w:rPr>
        <w:t>בג</w:t>
      </w:r>
      <w:r w:rsidR="00966502" w:rsidRPr="00966502">
        <w:rPr>
          <w:rFonts w:cs="Arial"/>
          <w:rtl/>
        </w:rPr>
        <w:t>"</w:t>
      </w:r>
      <w:r w:rsidR="00966502" w:rsidRPr="00966502">
        <w:rPr>
          <w:rFonts w:cs="Arial" w:hint="cs"/>
          <w:rtl/>
        </w:rPr>
        <w:t>צ</w:t>
      </w:r>
      <w:r w:rsidR="00966502">
        <w:rPr>
          <w:rFonts w:cs="Arial"/>
          <w:rtl/>
        </w:rPr>
        <w:t xml:space="preserve"> 6427/02</w:t>
      </w:r>
      <w:r w:rsidR="00966502">
        <w:rPr>
          <w:rFonts w:cs="Arial" w:hint="cs"/>
          <w:rtl/>
        </w:rPr>
        <w:t xml:space="preserve"> </w:t>
      </w:r>
      <w:r w:rsidR="00966502" w:rsidRPr="00966502">
        <w:rPr>
          <w:rFonts w:cs="Arial" w:hint="cs"/>
          <w:b/>
          <w:bCs/>
          <w:rtl/>
        </w:rPr>
        <w:t>התנועה</w:t>
      </w:r>
      <w:r w:rsidR="00966502" w:rsidRPr="00966502">
        <w:rPr>
          <w:rFonts w:cs="Arial"/>
          <w:b/>
          <w:bCs/>
          <w:rtl/>
        </w:rPr>
        <w:t xml:space="preserve"> </w:t>
      </w:r>
      <w:r w:rsidR="00966502" w:rsidRPr="00966502">
        <w:rPr>
          <w:rFonts w:cs="Arial" w:hint="cs"/>
          <w:b/>
          <w:bCs/>
          <w:rtl/>
        </w:rPr>
        <w:t>לאיכות</w:t>
      </w:r>
      <w:r w:rsidR="00966502" w:rsidRPr="00966502">
        <w:rPr>
          <w:rFonts w:cs="Arial"/>
          <w:b/>
          <w:bCs/>
          <w:rtl/>
        </w:rPr>
        <w:t xml:space="preserve"> </w:t>
      </w:r>
      <w:r w:rsidR="00966502" w:rsidRPr="00966502">
        <w:rPr>
          <w:rFonts w:cs="Arial" w:hint="cs"/>
          <w:b/>
          <w:bCs/>
          <w:rtl/>
        </w:rPr>
        <w:t>השלטון</w:t>
      </w:r>
      <w:r w:rsidR="00966502" w:rsidRPr="00966502">
        <w:rPr>
          <w:rFonts w:cs="Arial"/>
          <w:b/>
          <w:bCs/>
          <w:rtl/>
        </w:rPr>
        <w:t xml:space="preserve"> </w:t>
      </w:r>
      <w:r w:rsidR="00966502" w:rsidRPr="00966502">
        <w:rPr>
          <w:rFonts w:cs="Arial" w:hint="cs"/>
          <w:b/>
          <w:bCs/>
          <w:rtl/>
        </w:rPr>
        <w:t>בישראל</w:t>
      </w:r>
      <w:r w:rsidR="00966502" w:rsidRPr="00966502">
        <w:rPr>
          <w:rFonts w:cs="Arial"/>
          <w:b/>
          <w:bCs/>
          <w:rtl/>
        </w:rPr>
        <w:t xml:space="preserve"> </w:t>
      </w:r>
      <w:r w:rsidR="00966502" w:rsidRPr="00966502">
        <w:rPr>
          <w:rFonts w:cs="Arial" w:hint="cs"/>
          <w:b/>
          <w:bCs/>
          <w:rtl/>
        </w:rPr>
        <w:t>נ</w:t>
      </w:r>
      <w:r w:rsidR="00966502" w:rsidRPr="00966502">
        <w:rPr>
          <w:rFonts w:cs="Arial"/>
          <w:b/>
          <w:bCs/>
          <w:rtl/>
        </w:rPr>
        <w:t xml:space="preserve">' </w:t>
      </w:r>
      <w:r w:rsidR="00966502" w:rsidRPr="00966502">
        <w:rPr>
          <w:rFonts w:cs="Arial" w:hint="cs"/>
          <w:b/>
          <w:bCs/>
          <w:rtl/>
        </w:rPr>
        <w:t>הכנסת</w:t>
      </w:r>
      <w:r w:rsidR="00966502">
        <w:rPr>
          <w:rFonts w:cs="Arial"/>
          <w:rtl/>
        </w:rPr>
        <w:t>,</w:t>
      </w:r>
      <w:r w:rsidR="00062897">
        <w:rPr>
          <w:rFonts w:cs="Arial" w:hint="cs"/>
          <w:rtl/>
        </w:rPr>
        <w:t xml:space="preserve"> </w:t>
      </w:r>
      <w:r w:rsidR="00966502" w:rsidRPr="00966502">
        <w:rPr>
          <w:rFonts w:cs="Arial" w:hint="cs"/>
          <w:rtl/>
        </w:rPr>
        <w:t>סעיף</w:t>
      </w:r>
      <w:r w:rsidR="00966502" w:rsidRPr="00966502">
        <w:rPr>
          <w:rFonts w:cs="Arial"/>
          <w:rtl/>
        </w:rPr>
        <w:t xml:space="preserve"> </w:t>
      </w:r>
      <w:r w:rsidR="00966502">
        <w:rPr>
          <w:rFonts w:cs="Arial" w:hint="cs"/>
          <w:rtl/>
        </w:rPr>
        <w:t>40</w:t>
      </w:r>
      <w:r w:rsidR="00966502" w:rsidRPr="00966502">
        <w:rPr>
          <w:rFonts w:cs="Arial"/>
          <w:rtl/>
        </w:rPr>
        <w:t xml:space="preserve"> (</w:t>
      </w:r>
      <w:r w:rsidR="00966502" w:rsidRPr="00966502">
        <w:rPr>
          <w:rFonts w:cs="Arial" w:hint="cs"/>
          <w:rtl/>
        </w:rPr>
        <w:t>טרם</w:t>
      </w:r>
      <w:r w:rsidR="00966502" w:rsidRPr="00966502">
        <w:rPr>
          <w:rFonts w:cs="Arial"/>
          <w:rtl/>
        </w:rPr>
        <w:t xml:space="preserve"> </w:t>
      </w:r>
      <w:r w:rsidR="00966502" w:rsidRPr="00966502">
        <w:rPr>
          <w:rFonts w:cs="Arial" w:hint="cs"/>
          <w:rtl/>
        </w:rPr>
        <w:t>פורסם</w:t>
      </w:r>
      <w:r w:rsidR="00966502" w:rsidRPr="00966502">
        <w:rPr>
          <w:rFonts w:cs="Arial"/>
          <w:rtl/>
        </w:rPr>
        <w:t>, 11.05.2006).</w:t>
      </w:r>
    </w:p>
  </w:footnote>
  <w:footnote w:id="24">
    <w:p w:rsidR="004203D9" w:rsidRDefault="004203D9" w:rsidP="00062897">
      <w:pPr>
        <w:pStyle w:val="a4"/>
        <w:rPr>
          <w:rtl/>
        </w:rPr>
      </w:pPr>
      <w:r>
        <w:rPr>
          <w:rStyle w:val="a6"/>
        </w:rPr>
        <w:footnoteRef/>
      </w:r>
      <w:r>
        <w:rPr>
          <w:rtl/>
        </w:rPr>
        <w:t xml:space="preserve"> </w:t>
      </w:r>
      <w:r w:rsidR="00062897">
        <w:rPr>
          <w:rFonts w:hint="cs"/>
          <w:rtl/>
        </w:rPr>
        <w:t>שם, סעיף 35.</w:t>
      </w:r>
    </w:p>
  </w:footnote>
  <w:footnote w:id="25">
    <w:p w:rsidR="004203D9" w:rsidRDefault="004203D9" w:rsidP="00E95915">
      <w:pPr>
        <w:pStyle w:val="a4"/>
        <w:rPr>
          <w:rtl/>
        </w:rPr>
      </w:pPr>
      <w:r>
        <w:rPr>
          <w:rStyle w:val="a6"/>
        </w:rPr>
        <w:footnoteRef/>
      </w:r>
      <w:r w:rsidR="00E95915">
        <w:rPr>
          <w:rFonts w:hint="cs"/>
          <w:rtl/>
        </w:rPr>
        <w:t xml:space="preserve"> </w:t>
      </w:r>
      <w:r w:rsidR="00E95915">
        <w:rPr>
          <w:rFonts w:hint="cs"/>
          <w:rtl/>
        </w:rPr>
        <w:t xml:space="preserve">שם, סעיף </w:t>
      </w:r>
      <w:r>
        <w:rPr>
          <w:rFonts w:hint="cs"/>
          <w:rtl/>
        </w:rPr>
        <w:t>36</w:t>
      </w:r>
      <w:r w:rsidR="00E95915">
        <w:rPr>
          <w:rFonts w:hint="cs"/>
          <w:rtl/>
        </w:rPr>
        <w:t>.</w:t>
      </w:r>
    </w:p>
  </w:footnote>
  <w:footnote w:id="26">
    <w:p w:rsidR="00A85585" w:rsidRDefault="00A85585" w:rsidP="00A85585">
      <w:pPr>
        <w:pStyle w:val="a4"/>
      </w:pPr>
      <w:r>
        <w:rPr>
          <w:rStyle w:val="a6"/>
        </w:rPr>
        <w:footnoteRef/>
      </w:r>
      <w:r>
        <w:rPr>
          <w:rtl/>
        </w:rPr>
        <w:t xml:space="preserve"> </w:t>
      </w:r>
      <w:r w:rsidRPr="00A85585">
        <w:rPr>
          <w:rFonts w:cs="Arial" w:hint="cs"/>
          <w:rtl/>
        </w:rPr>
        <w:t>בג</w:t>
      </w:r>
      <w:r w:rsidRPr="00A85585">
        <w:rPr>
          <w:rFonts w:cs="Arial"/>
          <w:rtl/>
        </w:rPr>
        <w:t>"</w:t>
      </w:r>
      <w:r w:rsidRPr="00A85585">
        <w:rPr>
          <w:rFonts w:cs="Arial" w:hint="cs"/>
          <w:rtl/>
        </w:rPr>
        <w:t>צ</w:t>
      </w:r>
      <w:r w:rsidRPr="00A85585">
        <w:rPr>
          <w:rFonts w:cs="Arial"/>
          <w:rtl/>
        </w:rPr>
        <w:t xml:space="preserve"> 2605/05 </w:t>
      </w:r>
      <w:r w:rsidRPr="00A85585">
        <w:rPr>
          <w:rFonts w:cs="Arial" w:hint="cs"/>
          <w:b/>
          <w:bCs/>
          <w:rtl/>
        </w:rPr>
        <w:t>המרכז</w:t>
      </w:r>
      <w:r w:rsidRPr="00A85585">
        <w:rPr>
          <w:rFonts w:cs="Arial"/>
          <w:b/>
          <w:bCs/>
          <w:rtl/>
        </w:rPr>
        <w:t xml:space="preserve"> </w:t>
      </w:r>
      <w:r w:rsidRPr="00A85585">
        <w:rPr>
          <w:rFonts w:cs="Arial" w:hint="cs"/>
          <w:b/>
          <w:bCs/>
          <w:rtl/>
        </w:rPr>
        <w:t>האקדמי</w:t>
      </w:r>
      <w:r w:rsidRPr="00A85585">
        <w:rPr>
          <w:rFonts w:cs="Arial"/>
          <w:b/>
          <w:bCs/>
          <w:rtl/>
        </w:rPr>
        <w:t xml:space="preserve"> </w:t>
      </w:r>
      <w:r w:rsidRPr="00A85585">
        <w:rPr>
          <w:rFonts w:cs="Arial" w:hint="cs"/>
          <w:b/>
          <w:bCs/>
          <w:rtl/>
        </w:rPr>
        <w:t>למשפט</w:t>
      </w:r>
      <w:r w:rsidRPr="00A85585">
        <w:rPr>
          <w:rFonts w:cs="Arial"/>
          <w:b/>
          <w:bCs/>
          <w:rtl/>
        </w:rPr>
        <w:t xml:space="preserve"> </w:t>
      </w:r>
      <w:r w:rsidRPr="00A85585">
        <w:rPr>
          <w:rFonts w:cs="Arial" w:hint="cs"/>
          <w:b/>
          <w:bCs/>
          <w:rtl/>
        </w:rPr>
        <w:t>ולעסקים</w:t>
      </w:r>
      <w:r w:rsidRPr="00A85585">
        <w:rPr>
          <w:rFonts w:cs="Arial"/>
          <w:b/>
          <w:bCs/>
          <w:rtl/>
        </w:rPr>
        <w:t xml:space="preserve">, </w:t>
      </w:r>
      <w:r w:rsidRPr="00A85585">
        <w:rPr>
          <w:rFonts w:cs="Arial" w:hint="cs"/>
          <w:b/>
          <w:bCs/>
          <w:rtl/>
        </w:rPr>
        <w:t>חטיבת</w:t>
      </w:r>
      <w:r w:rsidRPr="00A85585">
        <w:rPr>
          <w:rFonts w:cs="Arial"/>
          <w:b/>
          <w:bCs/>
          <w:rtl/>
        </w:rPr>
        <w:t xml:space="preserve"> </w:t>
      </w:r>
      <w:r w:rsidRPr="00A85585">
        <w:rPr>
          <w:rFonts w:cs="Arial" w:hint="cs"/>
          <w:b/>
          <w:bCs/>
          <w:rtl/>
        </w:rPr>
        <w:t>זכויות</w:t>
      </w:r>
      <w:r w:rsidRPr="00A85585">
        <w:rPr>
          <w:rFonts w:cs="Arial"/>
          <w:b/>
          <w:bCs/>
          <w:rtl/>
        </w:rPr>
        <w:t xml:space="preserve"> </w:t>
      </w:r>
      <w:r w:rsidRPr="00A85585">
        <w:rPr>
          <w:rFonts w:cs="Arial" w:hint="cs"/>
          <w:b/>
          <w:bCs/>
          <w:rtl/>
        </w:rPr>
        <w:t>האדם</w:t>
      </w:r>
      <w:r w:rsidRPr="00A85585">
        <w:rPr>
          <w:rFonts w:cs="Arial"/>
          <w:b/>
          <w:bCs/>
          <w:rtl/>
        </w:rPr>
        <w:t xml:space="preserve"> </w:t>
      </w:r>
      <w:r w:rsidRPr="00A85585">
        <w:rPr>
          <w:rFonts w:cs="Arial" w:hint="cs"/>
          <w:b/>
          <w:bCs/>
          <w:rtl/>
        </w:rPr>
        <w:t>נ</w:t>
      </w:r>
      <w:r w:rsidRPr="00A85585">
        <w:rPr>
          <w:rFonts w:cs="Arial"/>
          <w:b/>
          <w:bCs/>
          <w:rtl/>
        </w:rPr>
        <w:t xml:space="preserve">' </w:t>
      </w:r>
      <w:r w:rsidRPr="00A85585">
        <w:rPr>
          <w:rFonts w:cs="Arial" w:hint="cs"/>
          <w:b/>
          <w:bCs/>
          <w:rtl/>
        </w:rPr>
        <w:t>שר</w:t>
      </w:r>
      <w:r w:rsidRPr="00A85585">
        <w:rPr>
          <w:rFonts w:cs="Arial"/>
          <w:b/>
          <w:bCs/>
          <w:rtl/>
        </w:rPr>
        <w:t xml:space="preserve"> </w:t>
      </w:r>
      <w:r w:rsidRPr="00A85585">
        <w:rPr>
          <w:rFonts w:cs="Arial" w:hint="cs"/>
          <w:b/>
          <w:bCs/>
          <w:rtl/>
        </w:rPr>
        <w:t>האוצר</w:t>
      </w:r>
      <w:r w:rsidRPr="00A85585">
        <w:rPr>
          <w:rFonts w:cs="Arial"/>
          <w:rtl/>
        </w:rPr>
        <w:t xml:space="preserve">, </w:t>
      </w:r>
      <w:r w:rsidRPr="00A85585">
        <w:rPr>
          <w:rFonts w:cs="Arial" w:hint="cs"/>
          <w:rtl/>
        </w:rPr>
        <w:t>סעיף</w:t>
      </w:r>
      <w:r>
        <w:rPr>
          <w:rFonts w:cs="Arial"/>
          <w:rtl/>
        </w:rPr>
        <w:t xml:space="preserve"> </w:t>
      </w:r>
      <w:r>
        <w:rPr>
          <w:rFonts w:cs="Arial" w:hint="cs"/>
          <w:rtl/>
        </w:rPr>
        <w:t>67</w:t>
      </w:r>
      <w:r w:rsidRPr="00A85585">
        <w:rPr>
          <w:rFonts w:cs="Arial"/>
          <w:rtl/>
        </w:rPr>
        <w:t xml:space="preserve"> (</w:t>
      </w:r>
      <w:r w:rsidRPr="00A85585">
        <w:rPr>
          <w:rFonts w:cs="Arial" w:hint="cs"/>
          <w:rtl/>
        </w:rPr>
        <w:t>טרם</w:t>
      </w:r>
      <w:r w:rsidRPr="00A85585">
        <w:rPr>
          <w:rFonts w:cs="Arial"/>
          <w:rtl/>
        </w:rPr>
        <w:t xml:space="preserve"> </w:t>
      </w:r>
      <w:r w:rsidRPr="00A85585">
        <w:rPr>
          <w:rFonts w:cs="Arial" w:hint="cs"/>
          <w:rtl/>
        </w:rPr>
        <w:t>פורסם</w:t>
      </w:r>
      <w:r w:rsidRPr="00A85585">
        <w:rPr>
          <w:rFonts w:cs="Arial"/>
          <w:rtl/>
        </w:rPr>
        <w:t>,  19.11.2009).</w:t>
      </w:r>
    </w:p>
  </w:footnote>
  <w:footnote w:id="27">
    <w:p w:rsidR="004203D9" w:rsidRDefault="004203D9">
      <w:pPr>
        <w:pStyle w:val="a4"/>
      </w:pPr>
      <w:r>
        <w:rPr>
          <w:rStyle w:val="a6"/>
        </w:rPr>
        <w:footnoteRef/>
      </w:r>
      <w:r>
        <w:rPr>
          <w:rtl/>
        </w:rPr>
        <w:t xml:space="preserve"> </w:t>
      </w:r>
      <w:r w:rsidR="00BD5F9C">
        <w:rPr>
          <w:rFonts w:hint="cs"/>
          <w:rtl/>
        </w:rPr>
        <w:t xml:space="preserve">סעיף 8 לחוק </w:t>
      </w:r>
      <w:r>
        <w:rPr>
          <w:rFonts w:hint="cs"/>
          <w:rtl/>
        </w:rPr>
        <w:t>י</w:t>
      </w:r>
      <w:r w:rsidR="00BD5F9C">
        <w:rPr>
          <w:rFonts w:hint="cs"/>
          <w:rtl/>
        </w:rPr>
        <w:t>סוד:</w:t>
      </w:r>
      <w:r>
        <w:rPr>
          <w:rFonts w:hint="cs"/>
          <w:rtl/>
        </w:rPr>
        <w:t xml:space="preserve"> כבוד האדם</w:t>
      </w:r>
      <w:r w:rsidR="00BD5F9C">
        <w:rPr>
          <w:rFonts w:hint="cs"/>
          <w:rtl/>
        </w:rPr>
        <w:t xml:space="preserve"> וחירותו, סעיף 4 לחוק יסוד: חופש העיסוק.</w:t>
      </w:r>
    </w:p>
  </w:footnote>
  <w:footnote w:id="28">
    <w:p w:rsidR="004203D9" w:rsidRDefault="004203D9" w:rsidP="00E817BC">
      <w:pPr>
        <w:pStyle w:val="a4"/>
      </w:pPr>
      <w:r>
        <w:rPr>
          <w:rStyle w:val="a6"/>
        </w:rPr>
        <w:footnoteRef/>
      </w:r>
      <w:r>
        <w:rPr>
          <w:rtl/>
        </w:rPr>
        <w:t xml:space="preserve"> </w:t>
      </w:r>
      <w:r w:rsidR="00E817BC" w:rsidRPr="00E817BC">
        <w:rPr>
          <w:rFonts w:cs="Arial" w:hint="cs"/>
          <w:rtl/>
        </w:rPr>
        <w:t>ע</w:t>
      </w:r>
      <w:r w:rsidR="00E817BC" w:rsidRPr="00E817BC">
        <w:rPr>
          <w:rFonts w:cs="Arial"/>
          <w:rtl/>
        </w:rPr>
        <w:t>"</w:t>
      </w:r>
      <w:r w:rsidR="00E817BC" w:rsidRPr="00E817BC">
        <w:rPr>
          <w:rFonts w:cs="Arial" w:hint="cs"/>
          <w:rtl/>
        </w:rPr>
        <w:t>פ</w:t>
      </w:r>
      <w:r w:rsidR="00E817BC" w:rsidRPr="00E817BC">
        <w:rPr>
          <w:rFonts w:cs="Arial"/>
          <w:rtl/>
        </w:rPr>
        <w:t xml:space="preserve"> 4424/98 </w:t>
      </w:r>
      <w:proofErr w:type="spellStart"/>
      <w:r w:rsidR="00E817BC" w:rsidRPr="00E817BC">
        <w:rPr>
          <w:rFonts w:cs="Arial" w:hint="cs"/>
          <w:b/>
          <w:bCs/>
          <w:rtl/>
        </w:rPr>
        <w:t>סילגדו</w:t>
      </w:r>
      <w:proofErr w:type="spellEnd"/>
      <w:r w:rsidR="00E817BC" w:rsidRPr="00E817BC">
        <w:rPr>
          <w:rFonts w:cs="Arial"/>
          <w:b/>
          <w:bCs/>
          <w:rtl/>
        </w:rPr>
        <w:t xml:space="preserve"> </w:t>
      </w:r>
      <w:r w:rsidR="00E817BC" w:rsidRPr="00E817BC">
        <w:rPr>
          <w:rFonts w:cs="Arial" w:hint="cs"/>
          <w:b/>
          <w:bCs/>
          <w:rtl/>
        </w:rPr>
        <w:t>נ</w:t>
      </w:r>
      <w:r w:rsidR="00E817BC" w:rsidRPr="00E817BC">
        <w:rPr>
          <w:rFonts w:cs="Arial"/>
          <w:b/>
          <w:bCs/>
          <w:rtl/>
        </w:rPr>
        <w:t xml:space="preserve">' </w:t>
      </w:r>
      <w:r w:rsidR="00E817BC" w:rsidRPr="00E817BC">
        <w:rPr>
          <w:rFonts w:cs="Arial" w:hint="cs"/>
          <w:b/>
          <w:bCs/>
          <w:rtl/>
        </w:rPr>
        <w:t>מדינת</w:t>
      </w:r>
      <w:r w:rsidR="00E817BC" w:rsidRPr="00E817BC">
        <w:rPr>
          <w:rFonts w:cs="Arial"/>
          <w:b/>
          <w:bCs/>
          <w:rtl/>
        </w:rPr>
        <w:t xml:space="preserve"> </w:t>
      </w:r>
      <w:r w:rsidR="00E817BC" w:rsidRPr="00E817BC">
        <w:rPr>
          <w:rFonts w:cs="Arial" w:hint="cs"/>
          <w:b/>
          <w:bCs/>
          <w:rtl/>
        </w:rPr>
        <w:t>ישראל</w:t>
      </w:r>
      <w:r w:rsidR="00E817BC" w:rsidRPr="00E817BC">
        <w:rPr>
          <w:rFonts w:cs="Arial"/>
          <w:rtl/>
        </w:rPr>
        <w:t xml:space="preserve">, </w:t>
      </w:r>
      <w:r w:rsidR="00E817BC" w:rsidRPr="00E817BC">
        <w:rPr>
          <w:rFonts w:cs="Arial" w:hint="cs"/>
          <w:rtl/>
        </w:rPr>
        <w:t>פ</w:t>
      </w:r>
      <w:r w:rsidR="00E817BC" w:rsidRPr="00E817BC">
        <w:rPr>
          <w:rFonts w:cs="Arial"/>
          <w:rtl/>
        </w:rPr>
        <w:t>"</w:t>
      </w:r>
      <w:r w:rsidR="00E817BC" w:rsidRPr="00E817BC">
        <w:rPr>
          <w:rFonts w:cs="Arial" w:hint="cs"/>
          <w:rtl/>
        </w:rPr>
        <w:t>ד</w:t>
      </w:r>
      <w:r w:rsidR="00E817BC" w:rsidRPr="00E817BC">
        <w:rPr>
          <w:rFonts w:cs="Arial"/>
          <w:rtl/>
        </w:rPr>
        <w:t xml:space="preserve"> </w:t>
      </w:r>
      <w:r w:rsidR="00E817BC" w:rsidRPr="00E817BC">
        <w:rPr>
          <w:rFonts w:cs="Arial" w:hint="cs"/>
          <w:rtl/>
        </w:rPr>
        <w:t>נו</w:t>
      </w:r>
      <w:r w:rsidR="00E817BC" w:rsidRPr="00E817BC">
        <w:rPr>
          <w:rFonts w:cs="Arial"/>
          <w:rtl/>
        </w:rPr>
        <w:t>(5) 529, 54</w:t>
      </w:r>
      <w:r w:rsidR="00E817BC">
        <w:rPr>
          <w:rFonts w:cs="Arial" w:hint="cs"/>
          <w:rtl/>
        </w:rPr>
        <w:t>1-544</w:t>
      </w:r>
      <w:r w:rsidR="00704C74">
        <w:rPr>
          <w:rFonts w:cs="Arial" w:hint="cs"/>
          <w:rtl/>
        </w:rPr>
        <w:t xml:space="preserve"> </w:t>
      </w:r>
      <w:r w:rsidR="00E817BC" w:rsidRPr="00E817BC">
        <w:rPr>
          <w:rFonts w:cs="Arial"/>
          <w:rtl/>
        </w:rPr>
        <w:t>(2002).</w:t>
      </w:r>
      <w:r>
        <w:rPr>
          <w:rFonts w:hint="cs"/>
          <w:rtl/>
        </w:rPr>
        <w:t xml:space="preserve"> </w:t>
      </w:r>
    </w:p>
  </w:footnote>
  <w:footnote w:id="29">
    <w:p w:rsidR="004203D9" w:rsidRDefault="004203D9" w:rsidP="00704C74">
      <w:pPr>
        <w:pStyle w:val="a4"/>
        <w:tabs>
          <w:tab w:val="left" w:pos="2006"/>
        </w:tabs>
        <w:rPr>
          <w:rtl/>
        </w:rPr>
      </w:pPr>
      <w:r>
        <w:rPr>
          <w:rStyle w:val="a6"/>
        </w:rPr>
        <w:footnoteRef/>
      </w:r>
      <w:r>
        <w:rPr>
          <w:rtl/>
        </w:rPr>
        <w:t xml:space="preserve"> </w:t>
      </w:r>
      <w:r w:rsidR="00704C74">
        <w:rPr>
          <w:rFonts w:cs="Arial" w:hint="cs"/>
          <w:rtl/>
        </w:rPr>
        <w:t xml:space="preserve">שם, בעמוד </w:t>
      </w:r>
      <w:r w:rsidR="00704C74">
        <w:rPr>
          <w:rFonts w:hint="cs"/>
          <w:rtl/>
        </w:rPr>
        <w:t>543-544.</w:t>
      </w:r>
      <w:r>
        <w:rPr>
          <w:rtl/>
        </w:rPr>
        <w:tab/>
      </w:r>
    </w:p>
  </w:footnote>
  <w:footnote w:id="30">
    <w:p w:rsidR="006E66EB" w:rsidRDefault="006E66EB">
      <w:pPr>
        <w:pStyle w:val="a4"/>
      </w:pPr>
      <w:r>
        <w:rPr>
          <w:rStyle w:val="a6"/>
        </w:rPr>
        <w:footnoteRef/>
      </w:r>
      <w:r>
        <w:rPr>
          <w:rtl/>
        </w:rPr>
        <w:t xml:space="preserve"> </w:t>
      </w:r>
      <w:r>
        <w:rPr>
          <w:rFonts w:hint="cs"/>
          <w:rtl/>
        </w:rPr>
        <w:t>סעיף 10 לחוק יסוד: כבוד האדם וחירותו.</w:t>
      </w:r>
    </w:p>
  </w:footnote>
  <w:footnote w:id="31">
    <w:p w:rsidR="00363624" w:rsidRDefault="00363624" w:rsidP="006E66EB">
      <w:pPr>
        <w:pStyle w:val="a4"/>
        <w:rPr>
          <w:rtl/>
        </w:rPr>
      </w:pPr>
      <w:r>
        <w:rPr>
          <w:rStyle w:val="a6"/>
        </w:rPr>
        <w:footnoteRef/>
      </w:r>
      <w:r>
        <w:rPr>
          <w:rtl/>
        </w:rPr>
        <w:t xml:space="preserve"> </w:t>
      </w:r>
      <w:r w:rsidRPr="00363624">
        <w:rPr>
          <w:rFonts w:cs="Arial" w:hint="cs"/>
          <w:rtl/>
        </w:rPr>
        <w:t>בג</w:t>
      </w:r>
      <w:r w:rsidRPr="00363624">
        <w:rPr>
          <w:rFonts w:cs="Arial"/>
          <w:rtl/>
        </w:rPr>
        <w:t>"</w:t>
      </w:r>
      <w:r w:rsidRPr="00363624">
        <w:rPr>
          <w:rFonts w:cs="Arial" w:hint="cs"/>
          <w:rtl/>
        </w:rPr>
        <w:t>צ</w:t>
      </w:r>
      <w:r w:rsidRPr="00363624">
        <w:rPr>
          <w:rFonts w:cs="Arial"/>
          <w:rtl/>
        </w:rPr>
        <w:t xml:space="preserve"> 6055/95 </w:t>
      </w:r>
      <w:r w:rsidRPr="00363624">
        <w:rPr>
          <w:rFonts w:cs="Arial" w:hint="cs"/>
          <w:b/>
          <w:bCs/>
          <w:rtl/>
        </w:rPr>
        <w:t>צמח</w:t>
      </w:r>
      <w:r w:rsidRPr="00363624">
        <w:rPr>
          <w:rFonts w:cs="Arial"/>
          <w:b/>
          <w:bCs/>
          <w:rtl/>
        </w:rPr>
        <w:t xml:space="preserve"> </w:t>
      </w:r>
      <w:r w:rsidRPr="00363624">
        <w:rPr>
          <w:rFonts w:cs="Arial" w:hint="cs"/>
          <w:b/>
          <w:bCs/>
          <w:rtl/>
        </w:rPr>
        <w:t>נ</w:t>
      </w:r>
      <w:r w:rsidRPr="00363624">
        <w:rPr>
          <w:rFonts w:cs="Arial"/>
          <w:b/>
          <w:bCs/>
          <w:rtl/>
        </w:rPr>
        <w:t xml:space="preserve">' </w:t>
      </w:r>
      <w:r w:rsidRPr="00363624">
        <w:rPr>
          <w:rFonts w:cs="Arial" w:hint="cs"/>
          <w:b/>
          <w:bCs/>
          <w:rtl/>
        </w:rPr>
        <w:t>שר</w:t>
      </w:r>
      <w:r w:rsidRPr="00363624">
        <w:rPr>
          <w:rFonts w:cs="Arial"/>
          <w:b/>
          <w:bCs/>
          <w:rtl/>
        </w:rPr>
        <w:t xml:space="preserve"> </w:t>
      </w:r>
      <w:r w:rsidRPr="00363624">
        <w:rPr>
          <w:rFonts w:cs="Arial" w:hint="cs"/>
          <w:b/>
          <w:bCs/>
          <w:rtl/>
        </w:rPr>
        <w:t>הביטחון</w:t>
      </w:r>
      <w:r w:rsidRPr="00363624">
        <w:rPr>
          <w:rFonts w:cs="Arial"/>
          <w:rtl/>
        </w:rPr>
        <w:t xml:space="preserve">, </w:t>
      </w:r>
      <w:r w:rsidRPr="00363624">
        <w:rPr>
          <w:rFonts w:cs="Arial" w:hint="cs"/>
          <w:rtl/>
        </w:rPr>
        <w:t>פ</w:t>
      </w:r>
      <w:r w:rsidRPr="00363624">
        <w:rPr>
          <w:rFonts w:cs="Arial"/>
          <w:rtl/>
        </w:rPr>
        <w:t>"</w:t>
      </w:r>
      <w:r w:rsidRPr="00363624">
        <w:rPr>
          <w:rFonts w:cs="Arial" w:hint="cs"/>
          <w:rtl/>
        </w:rPr>
        <w:t>ד</w:t>
      </w:r>
      <w:r w:rsidRPr="00363624">
        <w:rPr>
          <w:rFonts w:cs="Arial"/>
          <w:rtl/>
        </w:rPr>
        <w:t xml:space="preserve"> </w:t>
      </w:r>
      <w:proofErr w:type="spellStart"/>
      <w:r w:rsidRPr="00363624">
        <w:rPr>
          <w:rFonts w:cs="Arial" w:hint="cs"/>
          <w:rtl/>
        </w:rPr>
        <w:t>נג</w:t>
      </w:r>
      <w:proofErr w:type="spellEnd"/>
      <w:r w:rsidRPr="00363624">
        <w:rPr>
          <w:rFonts w:cs="Arial"/>
          <w:rtl/>
        </w:rPr>
        <w:t xml:space="preserve">(5) 241, </w:t>
      </w:r>
      <w:r w:rsidR="006E66EB">
        <w:rPr>
          <w:rFonts w:cs="Arial" w:hint="cs"/>
          <w:rtl/>
        </w:rPr>
        <w:t xml:space="preserve">259-260 </w:t>
      </w:r>
      <w:r w:rsidRPr="00363624">
        <w:rPr>
          <w:rFonts w:cs="Arial"/>
          <w:rtl/>
        </w:rPr>
        <w:t>(1999).</w:t>
      </w:r>
    </w:p>
  </w:footnote>
  <w:footnote w:id="32">
    <w:p w:rsidR="00363624" w:rsidRDefault="00363624" w:rsidP="006E66EB">
      <w:pPr>
        <w:pStyle w:val="a4"/>
      </w:pPr>
      <w:r>
        <w:rPr>
          <w:rStyle w:val="a6"/>
        </w:rPr>
        <w:footnoteRef/>
      </w:r>
      <w:r>
        <w:rPr>
          <w:rtl/>
        </w:rPr>
        <w:t xml:space="preserve"> </w:t>
      </w:r>
      <w:r w:rsidR="006E66EB">
        <w:rPr>
          <w:rFonts w:cs="Arial" w:hint="cs"/>
          <w:rtl/>
        </w:rPr>
        <w:t>שם, עמודים 289-290.</w:t>
      </w:r>
    </w:p>
  </w:footnote>
  <w:footnote w:id="33">
    <w:p w:rsidR="004203D9" w:rsidRDefault="004203D9" w:rsidP="00761AE6">
      <w:pPr>
        <w:pStyle w:val="a4"/>
        <w:rPr>
          <w:rtl/>
        </w:rPr>
      </w:pPr>
      <w:r>
        <w:rPr>
          <w:rStyle w:val="a6"/>
        </w:rPr>
        <w:footnoteRef/>
      </w:r>
      <w:r>
        <w:rPr>
          <w:rtl/>
        </w:rPr>
        <w:t xml:space="preserve"> </w:t>
      </w:r>
      <w:proofErr w:type="spellStart"/>
      <w:r w:rsidR="00761AE6">
        <w:rPr>
          <w:rFonts w:hint="cs"/>
          <w:rtl/>
        </w:rPr>
        <w:t>בש"</w:t>
      </w:r>
      <w:r>
        <w:rPr>
          <w:rFonts w:hint="cs"/>
          <w:rtl/>
        </w:rPr>
        <w:t>פ</w:t>
      </w:r>
      <w:proofErr w:type="spellEnd"/>
      <w:r w:rsidR="00761AE6">
        <w:rPr>
          <w:rFonts w:hint="cs"/>
          <w:rtl/>
        </w:rPr>
        <w:t xml:space="preserve"> 8823/07 </w:t>
      </w:r>
      <w:r w:rsidR="00761AE6">
        <w:rPr>
          <w:rFonts w:hint="cs"/>
          <w:b/>
          <w:bCs/>
          <w:rtl/>
        </w:rPr>
        <w:t xml:space="preserve">פלוני נ' מדינת ישראל, </w:t>
      </w:r>
      <w:r w:rsidR="00761AE6">
        <w:rPr>
          <w:rFonts w:hint="cs"/>
          <w:rtl/>
        </w:rPr>
        <w:t xml:space="preserve"> סעיף 21 (טרם פורסם, 11.02.2010).</w:t>
      </w:r>
    </w:p>
  </w:footnote>
  <w:footnote w:id="34">
    <w:p w:rsidR="004203D9" w:rsidRDefault="004203D9" w:rsidP="00761AE6">
      <w:pPr>
        <w:pStyle w:val="a4"/>
      </w:pPr>
      <w:r>
        <w:rPr>
          <w:rStyle w:val="a6"/>
        </w:rPr>
        <w:footnoteRef/>
      </w:r>
      <w:r>
        <w:rPr>
          <w:rtl/>
        </w:rPr>
        <w:t xml:space="preserve"> </w:t>
      </w:r>
      <w:r w:rsidR="00761AE6">
        <w:rPr>
          <w:rFonts w:hint="cs"/>
          <w:rtl/>
        </w:rPr>
        <w:t>סעיף 8(א) לחוק יסוד: חופש העיסוק.</w:t>
      </w:r>
    </w:p>
  </w:footnote>
  <w:footnote w:id="35">
    <w:p w:rsidR="004203D9" w:rsidRDefault="004203D9" w:rsidP="00761AE6">
      <w:pPr>
        <w:pStyle w:val="a4"/>
      </w:pPr>
      <w:r>
        <w:rPr>
          <w:rStyle w:val="a6"/>
        </w:rPr>
        <w:footnoteRef/>
      </w:r>
      <w:r>
        <w:rPr>
          <w:rtl/>
        </w:rPr>
        <w:t xml:space="preserve"> </w:t>
      </w:r>
      <w:r w:rsidR="00761AE6">
        <w:rPr>
          <w:rFonts w:hint="cs"/>
          <w:rtl/>
        </w:rPr>
        <w:t xml:space="preserve">בג"צ 4676/94 </w:t>
      </w:r>
      <w:proofErr w:type="spellStart"/>
      <w:r w:rsidR="00761AE6">
        <w:rPr>
          <w:rFonts w:hint="cs"/>
          <w:b/>
          <w:bCs/>
          <w:rtl/>
        </w:rPr>
        <w:t>מיטראל</w:t>
      </w:r>
      <w:proofErr w:type="spellEnd"/>
      <w:r w:rsidR="00761AE6">
        <w:rPr>
          <w:rFonts w:hint="cs"/>
          <w:b/>
          <w:bCs/>
          <w:rtl/>
        </w:rPr>
        <w:t xml:space="preserve"> בע"מ נ' כנסת ישראל, </w:t>
      </w:r>
      <w:r w:rsidR="00761AE6">
        <w:rPr>
          <w:rFonts w:hint="cs"/>
          <w:rtl/>
        </w:rPr>
        <w:t>פ"ד נ(5) 15, 25-26 (1996).</w:t>
      </w:r>
    </w:p>
  </w:footnote>
  <w:footnote w:id="36">
    <w:p w:rsidR="004203D9" w:rsidRDefault="004203D9" w:rsidP="00761AE6">
      <w:pPr>
        <w:pStyle w:val="a4"/>
      </w:pPr>
      <w:r>
        <w:rPr>
          <w:rStyle w:val="a6"/>
        </w:rPr>
        <w:footnoteRef/>
      </w:r>
      <w:r>
        <w:rPr>
          <w:rtl/>
        </w:rPr>
        <w:t xml:space="preserve"> </w:t>
      </w:r>
      <w:r w:rsidR="00761AE6">
        <w:rPr>
          <w:rFonts w:hint="cs"/>
          <w:rtl/>
        </w:rPr>
        <w:t>שם, בעמודים 28-29.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423"/>
    <w:multiLevelType w:val="hybridMultilevel"/>
    <w:tmpl w:val="43A44D86"/>
    <w:lvl w:ilvl="0" w:tplc="0270FD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6174"/>
    <w:multiLevelType w:val="hybridMultilevel"/>
    <w:tmpl w:val="C02E1F8A"/>
    <w:lvl w:ilvl="0" w:tplc="0BF891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1316A"/>
    <w:multiLevelType w:val="hybridMultilevel"/>
    <w:tmpl w:val="716C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171EB"/>
    <w:multiLevelType w:val="hybridMultilevel"/>
    <w:tmpl w:val="FB069794"/>
    <w:lvl w:ilvl="0" w:tplc="8B2EE2F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13394"/>
    <w:multiLevelType w:val="hybridMultilevel"/>
    <w:tmpl w:val="EDF68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042C40"/>
    <w:multiLevelType w:val="hybridMultilevel"/>
    <w:tmpl w:val="8A46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949DA"/>
    <w:multiLevelType w:val="hybridMultilevel"/>
    <w:tmpl w:val="CAB8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47C81"/>
    <w:multiLevelType w:val="hybridMultilevel"/>
    <w:tmpl w:val="027A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43AA9"/>
    <w:multiLevelType w:val="hybridMultilevel"/>
    <w:tmpl w:val="18CA5A0C"/>
    <w:lvl w:ilvl="0" w:tplc="56323D3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46D4E"/>
    <w:multiLevelType w:val="hybridMultilevel"/>
    <w:tmpl w:val="3B383DEA"/>
    <w:lvl w:ilvl="0" w:tplc="CAE09A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9"/>
  </w:num>
  <w:num w:numId="5">
    <w:abstractNumId w:val="1"/>
  </w:num>
  <w:num w:numId="6">
    <w:abstractNumId w:val="3"/>
  </w:num>
  <w:num w:numId="7">
    <w:abstractNumId w:val="2"/>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03C"/>
    <w:rsid w:val="000043F1"/>
    <w:rsid w:val="00032ED6"/>
    <w:rsid w:val="00040449"/>
    <w:rsid w:val="0004340F"/>
    <w:rsid w:val="00062897"/>
    <w:rsid w:val="00080E91"/>
    <w:rsid w:val="00095392"/>
    <w:rsid w:val="000D0FFB"/>
    <w:rsid w:val="00115883"/>
    <w:rsid w:val="001166DC"/>
    <w:rsid w:val="00132295"/>
    <w:rsid w:val="001805E7"/>
    <w:rsid w:val="001A0B1F"/>
    <w:rsid w:val="001F1F52"/>
    <w:rsid w:val="0022750B"/>
    <w:rsid w:val="0023353C"/>
    <w:rsid w:val="00234DCE"/>
    <w:rsid w:val="002361FB"/>
    <w:rsid w:val="00250519"/>
    <w:rsid w:val="002B3F81"/>
    <w:rsid w:val="002F3CE1"/>
    <w:rsid w:val="00314A0C"/>
    <w:rsid w:val="00342E84"/>
    <w:rsid w:val="00363624"/>
    <w:rsid w:val="00377A8D"/>
    <w:rsid w:val="003842DC"/>
    <w:rsid w:val="004203D9"/>
    <w:rsid w:val="00422CE1"/>
    <w:rsid w:val="00435D7A"/>
    <w:rsid w:val="0043686A"/>
    <w:rsid w:val="00490D38"/>
    <w:rsid w:val="004B003C"/>
    <w:rsid w:val="004B04FA"/>
    <w:rsid w:val="004C1D06"/>
    <w:rsid w:val="004D0C22"/>
    <w:rsid w:val="00511917"/>
    <w:rsid w:val="00513333"/>
    <w:rsid w:val="00514E37"/>
    <w:rsid w:val="00525AAA"/>
    <w:rsid w:val="00574891"/>
    <w:rsid w:val="00580384"/>
    <w:rsid w:val="005A0A61"/>
    <w:rsid w:val="005A168B"/>
    <w:rsid w:val="005B6EA7"/>
    <w:rsid w:val="005D4795"/>
    <w:rsid w:val="005D5634"/>
    <w:rsid w:val="00601ACA"/>
    <w:rsid w:val="00612B29"/>
    <w:rsid w:val="0062734F"/>
    <w:rsid w:val="00630929"/>
    <w:rsid w:val="00662FF7"/>
    <w:rsid w:val="006B334F"/>
    <w:rsid w:val="006C4AE8"/>
    <w:rsid w:val="006E66EB"/>
    <w:rsid w:val="006F5396"/>
    <w:rsid w:val="00704C74"/>
    <w:rsid w:val="00761AE6"/>
    <w:rsid w:val="007876C6"/>
    <w:rsid w:val="008024D2"/>
    <w:rsid w:val="00832661"/>
    <w:rsid w:val="00844B34"/>
    <w:rsid w:val="00896752"/>
    <w:rsid w:val="008D1CCD"/>
    <w:rsid w:val="008D221B"/>
    <w:rsid w:val="008D5275"/>
    <w:rsid w:val="00933C56"/>
    <w:rsid w:val="00966502"/>
    <w:rsid w:val="009B3A46"/>
    <w:rsid w:val="009D7ED0"/>
    <w:rsid w:val="009E6639"/>
    <w:rsid w:val="009E7D40"/>
    <w:rsid w:val="009F40F0"/>
    <w:rsid w:val="009F692B"/>
    <w:rsid w:val="00A12E6E"/>
    <w:rsid w:val="00A26F19"/>
    <w:rsid w:val="00A33555"/>
    <w:rsid w:val="00A37A9F"/>
    <w:rsid w:val="00A45FF4"/>
    <w:rsid w:val="00A6400A"/>
    <w:rsid w:val="00A85585"/>
    <w:rsid w:val="00AB45E5"/>
    <w:rsid w:val="00AC10E7"/>
    <w:rsid w:val="00AC2651"/>
    <w:rsid w:val="00AE0C2A"/>
    <w:rsid w:val="00AF1D1F"/>
    <w:rsid w:val="00B06A2A"/>
    <w:rsid w:val="00B279D8"/>
    <w:rsid w:val="00B466DB"/>
    <w:rsid w:val="00B518BD"/>
    <w:rsid w:val="00B7243A"/>
    <w:rsid w:val="00B93139"/>
    <w:rsid w:val="00B978CB"/>
    <w:rsid w:val="00BB4551"/>
    <w:rsid w:val="00BC0094"/>
    <w:rsid w:val="00BD5F9C"/>
    <w:rsid w:val="00C527F7"/>
    <w:rsid w:val="00C76D87"/>
    <w:rsid w:val="00C930D4"/>
    <w:rsid w:val="00D03876"/>
    <w:rsid w:val="00D57F6C"/>
    <w:rsid w:val="00D84F14"/>
    <w:rsid w:val="00D86B52"/>
    <w:rsid w:val="00D95BEE"/>
    <w:rsid w:val="00DC4FF4"/>
    <w:rsid w:val="00DE3338"/>
    <w:rsid w:val="00DE5C44"/>
    <w:rsid w:val="00DF1F53"/>
    <w:rsid w:val="00E1467E"/>
    <w:rsid w:val="00E21D93"/>
    <w:rsid w:val="00E25F47"/>
    <w:rsid w:val="00E4334F"/>
    <w:rsid w:val="00E77CDB"/>
    <w:rsid w:val="00E817BC"/>
    <w:rsid w:val="00E830CC"/>
    <w:rsid w:val="00E87213"/>
    <w:rsid w:val="00E95915"/>
    <w:rsid w:val="00ED41EF"/>
    <w:rsid w:val="00EF1D25"/>
    <w:rsid w:val="00F855CA"/>
    <w:rsid w:val="00F93AF7"/>
    <w:rsid w:val="00FC3DA6"/>
    <w:rsid w:val="00FD5A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03C"/>
    <w:pPr>
      <w:bidi/>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B003C"/>
    <w:pPr>
      <w:bidi/>
      <w:spacing w:after="0" w:line="240" w:lineRule="auto"/>
    </w:pPr>
  </w:style>
  <w:style w:type="paragraph" w:styleId="a4">
    <w:name w:val="footnote text"/>
    <w:basedOn w:val="a"/>
    <w:link w:val="a5"/>
    <w:uiPriority w:val="99"/>
    <w:semiHidden/>
    <w:unhideWhenUsed/>
    <w:rsid w:val="004B003C"/>
    <w:pPr>
      <w:spacing w:after="0"/>
    </w:pPr>
    <w:rPr>
      <w:sz w:val="20"/>
      <w:szCs w:val="20"/>
    </w:rPr>
  </w:style>
  <w:style w:type="character" w:customStyle="1" w:styleId="a5">
    <w:name w:val="טקסט הערת שוליים תו"/>
    <w:basedOn w:val="a0"/>
    <w:link w:val="a4"/>
    <w:uiPriority w:val="99"/>
    <w:semiHidden/>
    <w:rsid w:val="004B003C"/>
    <w:rPr>
      <w:sz w:val="20"/>
      <w:szCs w:val="20"/>
    </w:rPr>
  </w:style>
  <w:style w:type="character" w:styleId="a6">
    <w:name w:val="footnote reference"/>
    <w:basedOn w:val="a0"/>
    <w:uiPriority w:val="99"/>
    <w:semiHidden/>
    <w:unhideWhenUsed/>
    <w:rsid w:val="004B003C"/>
    <w:rPr>
      <w:vertAlign w:val="superscript"/>
    </w:rPr>
  </w:style>
  <w:style w:type="paragraph" w:styleId="a7">
    <w:name w:val="List Paragraph"/>
    <w:basedOn w:val="a"/>
    <w:uiPriority w:val="34"/>
    <w:qFormat/>
    <w:rsid w:val="00BC0094"/>
    <w:pPr>
      <w:ind w:left="720"/>
      <w:contextualSpacing/>
    </w:pPr>
  </w:style>
  <w:style w:type="paragraph" w:styleId="a8">
    <w:name w:val="header"/>
    <w:basedOn w:val="a"/>
    <w:link w:val="a9"/>
    <w:uiPriority w:val="99"/>
    <w:unhideWhenUsed/>
    <w:rsid w:val="00F855CA"/>
    <w:pPr>
      <w:tabs>
        <w:tab w:val="center" w:pos="4153"/>
        <w:tab w:val="right" w:pos="8306"/>
      </w:tabs>
      <w:spacing w:after="0"/>
    </w:pPr>
  </w:style>
  <w:style w:type="character" w:customStyle="1" w:styleId="a9">
    <w:name w:val="כותרת עליונה תו"/>
    <w:basedOn w:val="a0"/>
    <w:link w:val="a8"/>
    <w:uiPriority w:val="99"/>
    <w:rsid w:val="00F855CA"/>
  </w:style>
  <w:style w:type="paragraph" w:styleId="aa">
    <w:name w:val="footer"/>
    <w:basedOn w:val="a"/>
    <w:link w:val="ab"/>
    <w:uiPriority w:val="99"/>
    <w:unhideWhenUsed/>
    <w:rsid w:val="00F855CA"/>
    <w:pPr>
      <w:tabs>
        <w:tab w:val="center" w:pos="4153"/>
        <w:tab w:val="right" w:pos="8306"/>
      </w:tabs>
      <w:spacing w:after="0"/>
    </w:pPr>
  </w:style>
  <w:style w:type="character" w:customStyle="1" w:styleId="ab">
    <w:name w:val="כותרת תחתונה תו"/>
    <w:basedOn w:val="a0"/>
    <w:link w:val="aa"/>
    <w:uiPriority w:val="99"/>
    <w:rsid w:val="00F85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03C"/>
    <w:pPr>
      <w:bidi/>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B003C"/>
    <w:pPr>
      <w:bidi/>
      <w:spacing w:after="0" w:line="240" w:lineRule="auto"/>
    </w:pPr>
  </w:style>
  <w:style w:type="paragraph" w:styleId="a4">
    <w:name w:val="footnote text"/>
    <w:basedOn w:val="a"/>
    <w:link w:val="a5"/>
    <w:uiPriority w:val="99"/>
    <w:semiHidden/>
    <w:unhideWhenUsed/>
    <w:rsid w:val="004B003C"/>
    <w:pPr>
      <w:spacing w:after="0"/>
    </w:pPr>
    <w:rPr>
      <w:sz w:val="20"/>
      <w:szCs w:val="20"/>
    </w:rPr>
  </w:style>
  <w:style w:type="character" w:customStyle="1" w:styleId="a5">
    <w:name w:val="טקסט הערת שוליים תו"/>
    <w:basedOn w:val="a0"/>
    <w:link w:val="a4"/>
    <w:uiPriority w:val="99"/>
    <w:semiHidden/>
    <w:rsid w:val="004B003C"/>
    <w:rPr>
      <w:sz w:val="20"/>
      <w:szCs w:val="20"/>
    </w:rPr>
  </w:style>
  <w:style w:type="character" w:styleId="a6">
    <w:name w:val="footnote reference"/>
    <w:basedOn w:val="a0"/>
    <w:uiPriority w:val="99"/>
    <w:semiHidden/>
    <w:unhideWhenUsed/>
    <w:rsid w:val="004B003C"/>
    <w:rPr>
      <w:vertAlign w:val="superscript"/>
    </w:rPr>
  </w:style>
  <w:style w:type="paragraph" w:styleId="a7">
    <w:name w:val="List Paragraph"/>
    <w:basedOn w:val="a"/>
    <w:uiPriority w:val="34"/>
    <w:qFormat/>
    <w:rsid w:val="00BC0094"/>
    <w:pPr>
      <w:ind w:left="720"/>
      <w:contextualSpacing/>
    </w:pPr>
  </w:style>
  <w:style w:type="paragraph" w:styleId="a8">
    <w:name w:val="header"/>
    <w:basedOn w:val="a"/>
    <w:link w:val="a9"/>
    <w:uiPriority w:val="99"/>
    <w:unhideWhenUsed/>
    <w:rsid w:val="00F855CA"/>
    <w:pPr>
      <w:tabs>
        <w:tab w:val="center" w:pos="4153"/>
        <w:tab w:val="right" w:pos="8306"/>
      </w:tabs>
      <w:spacing w:after="0"/>
    </w:pPr>
  </w:style>
  <w:style w:type="character" w:customStyle="1" w:styleId="a9">
    <w:name w:val="כותרת עליונה תו"/>
    <w:basedOn w:val="a0"/>
    <w:link w:val="a8"/>
    <w:uiPriority w:val="99"/>
    <w:rsid w:val="00F855CA"/>
  </w:style>
  <w:style w:type="paragraph" w:styleId="aa">
    <w:name w:val="footer"/>
    <w:basedOn w:val="a"/>
    <w:link w:val="ab"/>
    <w:uiPriority w:val="99"/>
    <w:unhideWhenUsed/>
    <w:rsid w:val="00F855CA"/>
    <w:pPr>
      <w:tabs>
        <w:tab w:val="center" w:pos="4153"/>
        <w:tab w:val="right" w:pos="8306"/>
      </w:tabs>
      <w:spacing w:after="0"/>
    </w:pPr>
  </w:style>
  <w:style w:type="character" w:customStyle="1" w:styleId="ab">
    <w:name w:val="כותרת תחתונה תו"/>
    <w:basedOn w:val="a0"/>
    <w:link w:val="aa"/>
    <w:uiPriority w:val="99"/>
    <w:rsid w:val="00F85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20FE3-FB47-42A7-B4B9-849A30F2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7389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mor</cp:lastModifiedBy>
  <cp:revision>4</cp:revision>
  <dcterms:created xsi:type="dcterms:W3CDTF">2011-11-20T15:23:00Z</dcterms:created>
  <dcterms:modified xsi:type="dcterms:W3CDTF">2012-09-22T16:09:00Z</dcterms:modified>
</cp:coreProperties>
</file>