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AB" w:rsidRDefault="00817AAB" w:rsidP="001E7BEF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בשנת 1990, חש יו"ר מפלגת "צדק לצודק", ח"כ מיכאל בן-טובים, כי תקציבו של משרד מבקר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המדינה מנופח במיוחד, באופן חסר פרופורציה לגודל המשרד ולמשימות העומדות בפניו. כדי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למנוע את "עושק הקופה הציבורית ע"י מבקר המדינה", כהגדרתו של בן-טובים, יזם חבר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הכנסת הנמרץ הצעת חוק חדשה הקובעת כי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:rsidR="00817AAB" w:rsidRPr="00817AAB" w:rsidRDefault="00817AAB" w:rsidP="001E7BEF">
      <w:pPr>
        <w:pStyle w:val="a3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תקציבו של משרד מבקר המדינה יוגש אל ועדת הכספים של הכנסת, כשהוא נושא את אישורם של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שר האוצר ושל ראש אגף התקציבים במשרד האוצר</w:t>
      </w:r>
      <w:r w:rsidRPr="00817AAB">
        <w:rPr>
          <w:rFonts w:asciiTheme="majorBidi" w:hAnsiTheme="majorBidi" w:cstheme="majorBidi" w:hint="cs"/>
          <w:color w:val="000000"/>
          <w:sz w:val="24"/>
          <w:szCs w:val="24"/>
          <w:rtl/>
        </w:rPr>
        <w:t>.</w:t>
      </w:r>
    </w:p>
    <w:p w:rsidR="00817AAB" w:rsidRDefault="00817AAB" w:rsidP="001E7BEF">
      <w:pPr>
        <w:pStyle w:val="a3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אין בהוראות חוק זה כדי לגרוע מהוראות כל דין, לרבות הוראות חוק יסוד: מבקר המדינה</w:t>
      </w:r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>.</w:t>
      </w:r>
    </w:p>
    <w:p w:rsidR="00817AAB" w:rsidRDefault="00817AAB" w:rsidP="001E7BEF">
      <w:pPr>
        <w:pStyle w:val="a3"/>
        <w:numPr>
          <w:ilvl w:val="0"/>
          <w:numId w:val="28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אתם היועצים המשפטיים של הכנסת. ח"כ בן-טובים הגיע אליכם כדי להתייעץ לגבי חוקתיותה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של הצעת החוק. חוו דעתכם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>!</w:t>
      </w:r>
    </w:p>
    <w:p w:rsidR="00817AAB" w:rsidRDefault="00817AAB" w:rsidP="001E7BEF">
      <w:pPr>
        <w:pStyle w:val="a3"/>
        <w:numPr>
          <w:ilvl w:val="0"/>
          <w:numId w:val="28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האם תשובתכם תשתנה לו השנה בה מתרחש האירוע היא 2006? הסבירו מדוע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>?</w:t>
      </w:r>
    </w:p>
    <w:p w:rsidR="00817AAB" w:rsidRPr="00817AAB" w:rsidRDefault="00817AAB" w:rsidP="001E7BEF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לידיעתכם, סעיף 10 לחוק יסוד: מבקר המדינה קובע כי</w:t>
      </w:r>
      <w:r w:rsidRPr="00817AAB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: </w:t>
      </w: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תקציב משרד מבקר המדינה ייקבע לפי הצעת מבקר המדינה בידי ועדת הכספים של הכנסת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817AAB">
        <w:rPr>
          <w:rFonts w:asciiTheme="majorBidi" w:hAnsiTheme="majorBidi" w:cstheme="majorBidi"/>
          <w:color w:val="000000"/>
          <w:sz w:val="24"/>
          <w:szCs w:val="24"/>
          <w:rtl/>
        </w:rPr>
        <w:t>ויפורסם ביחד עם תקציב המדינה</w:t>
      </w:r>
      <w:r w:rsidRPr="00817AAB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817AAB" w:rsidRDefault="00817AAB" w:rsidP="001E7BEF">
      <w:pPr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:rsidR="00817AAB" w:rsidRDefault="00817AAB" w:rsidP="001E7BEF">
      <w:pPr>
        <w:bidi w:val="0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  <w:rtl/>
        </w:rPr>
        <w:br w:type="page"/>
      </w:r>
    </w:p>
    <w:p w:rsidR="00ED215F" w:rsidRPr="004C7586" w:rsidRDefault="00ED215F" w:rsidP="001E7BEF">
      <w:pPr>
        <w:spacing w:line="480" w:lineRule="auto"/>
        <w:jc w:val="center"/>
        <w:rPr>
          <w:b/>
          <w:bCs/>
          <w:sz w:val="32"/>
          <w:szCs w:val="32"/>
          <w:u w:val="single"/>
          <w:rtl/>
        </w:rPr>
      </w:pPr>
      <w:r w:rsidRPr="004C7586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משפט חוקתי- </w:t>
      </w:r>
      <w:proofErr w:type="spellStart"/>
      <w:r w:rsidRPr="004C7586">
        <w:rPr>
          <w:rFonts w:hint="cs"/>
          <w:b/>
          <w:bCs/>
          <w:sz w:val="32"/>
          <w:szCs w:val="32"/>
          <w:u w:val="single"/>
          <w:rtl/>
        </w:rPr>
        <w:t>אירועון</w:t>
      </w:r>
      <w:proofErr w:type="spellEnd"/>
      <w:r w:rsidRPr="004C7586">
        <w:rPr>
          <w:rFonts w:hint="cs"/>
          <w:b/>
          <w:bCs/>
          <w:sz w:val="32"/>
          <w:szCs w:val="32"/>
          <w:u w:val="single"/>
          <w:rtl/>
        </w:rPr>
        <w:t xml:space="preserve"> מס' 1</w:t>
      </w:r>
    </w:p>
    <w:p w:rsidR="00137FC6" w:rsidRDefault="00137FC6" w:rsidP="009E469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הצעת </w:t>
      </w:r>
      <w:r w:rsidR="00180376">
        <w:rPr>
          <w:rFonts w:asciiTheme="majorBidi" w:hAnsiTheme="majorBidi" w:cstheme="majorBidi" w:hint="cs"/>
          <w:sz w:val="24"/>
          <w:szCs w:val="24"/>
          <w:rtl/>
        </w:rPr>
        <w:t>ה</w:t>
      </w:r>
      <w:r w:rsidR="00524DF0">
        <w:rPr>
          <w:rFonts w:asciiTheme="majorBidi" w:hAnsiTheme="majorBidi" w:cstheme="majorBidi" w:hint="cs"/>
          <w:sz w:val="24"/>
          <w:szCs w:val="24"/>
          <w:rtl/>
        </w:rPr>
        <w:t>ח"כ</w:t>
      </w:r>
      <w:r w:rsidR="002B22DD">
        <w:rPr>
          <w:rFonts w:asciiTheme="majorBidi" w:hAnsiTheme="majorBidi" w:cstheme="majorBidi" w:hint="cs"/>
          <w:sz w:val="24"/>
          <w:szCs w:val="24"/>
          <w:rtl/>
        </w:rPr>
        <w:t xml:space="preserve"> -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תקציב המבקר יאושר ע"י גורמים במשרד האוצ</w:t>
      </w:r>
      <w:r w:rsidR="00180376">
        <w:rPr>
          <w:rFonts w:asciiTheme="majorBidi" w:hAnsiTheme="majorBidi" w:cstheme="majorBidi" w:hint="cs"/>
          <w:sz w:val="24"/>
          <w:szCs w:val="24"/>
          <w:rtl/>
        </w:rPr>
        <w:t xml:space="preserve">ר. יש בכך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סתירה </w:t>
      </w:r>
      <w:r w:rsidR="00524DF0">
        <w:rPr>
          <w:rFonts w:asciiTheme="majorBidi" w:hAnsiTheme="majorBidi" w:cstheme="majorBidi" w:hint="cs"/>
          <w:sz w:val="24"/>
          <w:szCs w:val="24"/>
          <w:rtl/>
        </w:rPr>
        <w:t>של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סעיף 10 לחוק יסוד מבקר המדינה המגדיר כי תקציב המבקר יאושר ע"י ועדת הכספים של הכנסת בלבד. ניתן לפרש גם כי החוק המוצע פוגע בסעיף 6 המגדיר כי מבקר המדינה יהיה אחראי בפני הכנסת בלבד. אישור תקציב משרד המבקר ע"י האוצר מאפשר שליטה</w:t>
      </w:r>
      <w:r w:rsidR="003D342B">
        <w:rPr>
          <w:rFonts w:asciiTheme="majorBidi" w:hAnsiTheme="majorBidi" w:cstheme="majorBidi" w:hint="cs"/>
          <w:sz w:val="24"/>
          <w:szCs w:val="24"/>
          <w:rtl/>
        </w:rPr>
        <w:t xml:space="preserve"> של שר בממשלה</w:t>
      </w:r>
      <w:r w:rsidR="0018037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בפעילות המבקר והגבלתו. </w:t>
      </w:r>
      <w:r w:rsidR="004D4C85">
        <w:rPr>
          <w:rFonts w:asciiTheme="majorBidi" w:hAnsiTheme="majorBidi" w:cstheme="majorBidi" w:hint="cs"/>
          <w:sz w:val="24"/>
          <w:szCs w:val="24"/>
          <w:rtl/>
        </w:rPr>
        <w:t>עקב</w:t>
      </w:r>
      <w:r w:rsidR="009E469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54A8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סתירה</w:t>
      </w:r>
      <w:r w:rsidR="00101C8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בין החוק ה</w:t>
      </w:r>
      <w:r w:rsidR="00101C8A">
        <w:rPr>
          <w:rFonts w:asciiTheme="majorBidi" w:hAnsiTheme="majorBidi" w:cstheme="majorBidi" w:hint="cs"/>
          <w:sz w:val="24"/>
          <w:szCs w:val="24"/>
          <w:rtl/>
        </w:rPr>
        <w:t>מוצע לבין חוק יסוד מבקר המדינה</w:t>
      </w:r>
      <w:r w:rsidR="009304E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01C8A">
        <w:rPr>
          <w:rFonts w:asciiTheme="majorBidi" w:hAnsiTheme="majorBidi" w:cstheme="majorBidi" w:hint="cs"/>
          <w:sz w:val="24"/>
          <w:szCs w:val="24"/>
          <w:rtl/>
        </w:rPr>
        <w:t>יש לקבוע יד מי מהם על העליונה.</w:t>
      </w:r>
    </w:p>
    <w:p w:rsidR="006D37B9" w:rsidRDefault="00101C8A" w:rsidP="009E469F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סמכותו של בית המשפט</w:t>
      </w:r>
      <w:r w:rsidR="00247F11">
        <w:rPr>
          <w:rFonts w:asciiTheme="majorBidi" w:hAnsiTheme="majorBidi" w:cstheme="majorBidi" w:hint="cs"/>
          <w:sz w:val="24"/>
          <w:szCs w:val="24"/>
          <w:rtl/>
        </w:rPr>
        <w:t xml:space="preserve"> לדון במקרה: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D37B9" w:rsidRPr="006D37B9">
        <w:rPr>
          <w:rFonts w:asciiTheme="majorBidi" w:hAnsiTheme="majorBidi" w:cstheme="majorBidi" w:hint="cs"/>
          <w:b/>
          <w:bCs/>
          <w:sz w:val="24"/>
          <w:szCs w:val="24"/>
          <w:rtl/>
          <w:rPrChange w:id="0" w:author="shahaf galili" w:date="2009-10-30T19:20:00Z">
            <w:rPr>
              <w:rFonts w:asciiTheme="majorBidi" w:hAnsiTheme="majorBidi" w:cstheme="majorBidi" w:hint="cs"/>
              <w:sz w:val="24"/>
              <w:szCs w:val="24"/>
              <w:rtl/>
            </w:rPr>
          </w:rPrChange>
        </w:rPr>
        <w:t>בפס</w:t>
      </w:r>
      <w:r w:rsidR="006D37B9" w:rsidRPr="006D37B9">
        <w:rPr>
          <w:rFonts w:asciiTheme="majorBidi" w:hAnsiTheme="majorBidi" w:cstheme="majorBidi"/>
          <w:b/>
          <w:bCs/>
          <w:sz w:val="24"/>
          <w:szCs w:val="24"/>
          <w:rtl/>
          <w:rPrChange w:id="1" w:author="shahaf galili" w:date="2009-10-30T19:20:00Z">
            <w:rPr>
              <w:rFonts w:asciiTheme="majorBidi" w:hAnsiTheme="majorBidi" w:cstheme="majorBidi"/>
              <w:sz w:val="24"/>
              <w:szCs w:val="24"/>
              <w:rtl/>
            </w:rPr>
          </w:rPrChange>
        </w:rPr>
        <w:t xml:space="preserve">"ד </w:t>
      </w:r>
      <w:r w:rsidR="006D37B9" w:rsidRPr="006D37B9">
        <w:rPr>
          <w:rFonts w:asciiTheme="majorBidi" w:hAnsiTheme="majorBidi" w:cstheme="majorBidi" w:hint="cs"/>
          <w:b/>
          <w:bCs/>
          <w:sz w:val="24"/>
          <w:szCs w:val="24"/>
          <w:rtl/>
          <w:rPrChange w:id="2" w:author="shahaf galili" w:date="2009-10-30T19:20:00Z">
            <w:rPr>
              <w:rFonts w:asciiTheme="majorBidi" w:hAnsiTheme="majorBidi" w:cstheme="majorBidi" w:hint="cs"/>
              <w:sz w:val="24"/>
              <w:szCs w:val="24"/>
              <w:rtl/>
            </w:rPr>
          </w:rPrChange>
        </w:rPr>
        <w:t>ברגמן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עלתה לראשונה השאלה בדבר סמכותו של בית המשפט להכריע בדבר מעמד</w:t>
      </w:r>
      <w:r w:rsidR="007253ED">
        <w:rPr>
          <w:rFonts w:asciiTheme="majorBidi" w:hAnsiTheme="majorBidi" w:cstheme="majorBidi" w:hint="cs"/>
          <w:sz w:val="24"/>
          <w:szCs w:val="24"/>
          <w:rtl/>
        </w:rPr>
        <w:t>ו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חוק</w:t>
      </w:r>
      <w:r w:rsidR="007253ED">
        <w:rPr>
          <w:rFonts w:asciiTheme="majorBidi" w:hAnsiTheme="majorBidi" w:cstheme="majorBidi" w:hint="cs"/>
          <w:sz w:val="24"/>
          <w:szCs w:val="24"/>
          <w:rtl/>
        </w:rPr>
        <w:t xml:space="preserve"> מול חוק </w:t>
      </w:r>
      <w:r>
        <w:rPr>
          <w:rFonts w:asciiTheme="majorBidi" w:hAnsiTheme="majorBidi" w:cstheme="majorBidi" w:hint="cs"/>
          <w:sz w:val="24"/>
          <w:szCs w:val="24"/>
          <w:rtl/>
        </w:rPr>
        <w:t>יסוד</w:t>
      </w:r>
      <w:r w:rsidR="007253ED">
        <w:rPr>
          <w:rStyle w:val="a6"/>
          <w:rFonts w:asciiTheme="majorBidi" w:hAnsiTheme="majorBidi" w:cstheme="majorBidi"/>
          <w:sz w:val="24"/>
          <w:szCs w:val="24"/>
          <w:rtl/>
        </w:rPr>
        <w:footnoteReference w:id="1"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7253ED">
        <w:rPr>
          <w:rFonts w:asciiTheme="majorBidi" w:hAnsiTheme="majorBidi" w:cstheme="majorBidi" w:hint="cs"/>
          <w:sz w:val="24"/>
          <w:szCs w:val="24"/>
          <w:rtl/>
        </w:rPr>
        <w:t xml:space="preserve">לא התקיים דיון בשאלות הסמכות, אך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בית המשפט </w:t>
      </w:r>
      <w:r w:rsidR="00C851A5">
        <w:rPr>
          <w:rFonts w:asciiTheme="majorBidi" w:hAnsiTheme="majorBidi" w:cstheme="majorBidi" w:hint="cs"/>
          <w:sz w:val="24"/>
          <w:szCs w:val="24"/>
          <w:rtl/>
        </w:rPr>
        <w:t>פסק</w:t>
      </w:r>
      <w:r w:rsidR="007253E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B1187">
        <w:rPr>
          <w:rFonts w:asciiTheme="majorBidi" w:hAnsiTheme="majorBidi" w:cstheme="majorBidi" w:hint="cs"/>
          <w:sz w:val="24"/>
          <w:szCs w:val="24"/>
          <w:rtl/>
        </w:rPr>
        <w:t>כי ה</w:t>
      </w:r>
      <w:r>
        <w:rPr>
          <w:rFonts w:asciiTheme="majorBidi" w:hAnsiTheme="majorBidi" w:cstheme="majorBidi" w:hint="cs"/>
          <w:sz w:val="24"/>
          <w:szCs w:val="24"/>
          <w:rtl/>
        </w:rPr>
        <w:t>חוק</w:t>
      </w:r>
      <w:r w:rsidR="001B118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C3C5E">
        <w:rPr>
          <w:rFonts w:asciiTheme="majorBidi" w:hAnsiTheme="majorBidi" w:cstheme="majorBidi" w:hint="cs"/>
          <w:sz w:val="24"/>
          <w:szCs w:val="24"/>
          <w:rtl/>
        </w:rPr>
        <w:t xml:space="preserve">הפוגע </w:t>
      </w:r>
      <w:r w:rsidR="001B1187">
        <w:rPr>
          <w:rFonts w:asciiTheme="majorBidi" w:hAnsiTheme="majorBidi" w:cstheme="majorBidi" w:hint="cs"/>
          <w:sz w:val="24"/>
          <w:szCs w:val="24"/>
          <w:rtl/>
        </w:rPr>
        <w:t>בטל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ובכך </w:t>
      </w:r>
      <w:r w:rsidR="007253ED">
        <w:rPr>
          <w:rFonts w:asciiTheme="majorBidi" w:hAnsiTheme="majorBidi" w:cstheme="majorBidi" w:hint="cs"/>
          <w:sz w:val="24"/>
          <w:szCs w:val="24"/>
          <w:rtl/>
        </w:rPr>
        <w:t xml:space="preserve">בפועל </w:t>
      </w:r>
      <w:r>
        <w:rPr>
          <w:rFonts w:asciiTheme="majorBidi" w:hAnsiTheme="majorBidi" w:cstheme="majorBidi" w:hint="cs"/>
          <w:sz w:val="24"/>
          <w:szCs w:val="24"/>
          <w:rtl/>
        </w:rPr>
        <w:t>הכר</w:t>
      </w:r>
      <w:r w:rsidR="00E42BF1">
        <w:rPr>
          <w:rFonts w:asciiTheme="majorBidi" w:hAnsiTheme="majorBidi" w:cstheme="majorBidi" w:hint="cs"/>
          <w:sz w:val="24"/>
          <w:szCs w:val="24"/>
          <w:rtl/>
        </w:rPr>
        <w:t xml:space="preserve">יע כי </w:t>
      </w:r>
      <w:r w:rsidR="00D375A6">
        <w:rPr>
          <w:rFonts w:asciiTheme="majorBidi" w:hAnsiTheme="majorBidi" w:cstheme="majorBidi" w:hint="cs"/>
          <w:sz w:val="24"/>
          <w:szCs w:val="24"/>
          <w:rtl/>
        </w:rPr>
        <w:t>ב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>סמכותו לדון במעמד</w:t>
      </w:r>
      <w:r w:rsidR="007B4833">
        <w:rPr>
          <w:rFonts w:asciiTheme="majorBidi" w:hAnsiTheme="majorBidi" w:cstheme="majorBidi" w:hint="cs"/>
          <w:sz w:val="24"/>
          <w:szCs w:val="24"/>
          <w:rtl/>
        </w:rPr>
        <w:t>ם של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 חוקים מול </w:t>
      </w:r>
      <w:r>
        <w:rPr>
          <w:rFonts w:asciiTheme="majorBidi" w:hAnsiTheme="majorBidi" w:cstheme="majorBidi" w:hint="cs"/>
          <w:sz w:val="24"/>
          <w:szCs w:val="24"/>
          <w:rtl/>
        </w:rPr>
        <w:t>חוקי י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>סוד ואף לפסול אותם במקרים מסוי</w:t>
      </w:r>
      <w:r>
        <w:rPr>
          <w:rFonts w:asciiTheme="majorBidi" w:hAnsiTheme="majorBidi" w:cstheme="majorBidi" w:hint="cs"/>
          <w:sz w:val="24"/>
          <w:szCs w:val="24"/>
          <w:rtl/>
        </w:rPr>
        <w:t>מים</w:t>
      </w:r>
      <w:r w:rsidR="0004731D">
        <w:rPr>
          <w:rStyle w:val="a6"/>
          <w:rFonts w:asciiTheme="majorBidi" w:hAnsiTheme="majorBidi" w:cstheme="majorBidi"/>
          <w:sz w:val="24"/>
          <w:szCs w:val="24"/>
          <w:rtl/>
        </w:rPr>
        <w:footnoteReference w:id="2"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AA66D0">
        <w:rPr>
          <w:rFonts w:asciiTheme="majorBidi" w:hAnsiTheme="majorBidi" w:cstheme="majorBidi" w:hint="cs"/>
          <w:sz w:val="24"/>
          <w:szCs w:val="24"/>
          <w:rtl/>
        </w:rPr>
        <w:t xml:space="preserve">מגמה דומה ניתן למצוא </w:t>
      </w:r>
      <w:r w:rsidR="00E42BF1">
        <w:rPr>
          <w:rFonts w:asciiTheme="majorBidi" w:hAnsiTheme="majorBidi" w:cstheme="majorBidi" w:hint="cs"/>
          <w:sz w:val="24"/>
          <w:szCs w:val="24"/>
          <w:rtl/>
        </w:rPr>
        <w:t>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מספר </w:t>
      </w:r>
      <w:r w:rsidR="004336E9">
        <w:rPr>
          <w:rFonts w:asciiTheme="majorBidi" w:hAnsiTheme="majorBidi" w:cstheme="majorBidi" w:hint="cs"/>
          <w:sz w:val="24"/>
          <w:szCs w:val="24"/>
          <w:rtl/>
        </w:rPr>
        <w:t>מקרים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נוספים מברגן ועד </w:t>
      </w:r>
      <w:r w:rsidR="00E42BF1">
        <w:rPr>
          <w:rFonts w:asciiTheme="majorBidi" w:hAnsiTheme="majorBidi" w:cstheme="majorBidi" w:hint="cs"/>
          <w:sz w:val="24"/>
          <w:szCs w:val="24"/>
          <w:rtl/>
        </w:rPr>
        <w:t>1990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>(קניאל</w:t>
      </w:r>
      <w:r w:rsidR="00E42BF1">
        <w:rPr>
          <w:rStyle w:val="a6"/>
          <w:rFonts w:asciiTheme="majorBidi" w:hAnsiTheme="majorBidi" w:cstheme="majorBidi"/>
          <w:sz w:val="24"/>
          <w:szCs w:val="24"/>
          <w:rtl/>
        </w:rPr>
        <w:footnoteReference w:id="3"/>
      </w:r>
      <w:r w:rsidR="00EC2DC5">
        <w:rPr>
          <w:rFonts w:asciiTheme="majorBidi" w:hAnsiTheme="majorBidi" w:cstheme="majorBidi" w:hint="cs"/>
          <w:sz w:val="24"/>
          <w:szCs w:val="24"/>
          <w:rtl/>
        </w:rPr>
        <w:t>, רגב</w:t>
      </w:r>
      <w:r w:rsidR="004336E9">
        <w:rPr>
          <w:rStyle w:val="a6"/>
          <w:rFonts w:asciiTheme="majorBidi" w:hAnsiTheme="majorBidi" w:cstheme="majorBidi"/>
          <w:sz w:val="24"/>
          <w:szCs w:val="24"/>
          <w:rtl/>
        </w:rPr>
        <w:footnoteReference w:id="4"/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proofErr w:type="spellStart"/>
      <w:r w:rsidR="00EC2DC5">
        <w:rPr>
          <w:rFonts w:asciiTheme="majorBidi" w:hAnsiTheme="majorBidi" w:cstheme="majorBidi" w:hint="cs"/>
          <w:sz w:val="24"/>
          <w:szCs w:val="24"/>
          <w:rtl/>
        </w:rPr>
        <w:t>רסלר</w:t>
      </w:r>
      <w:proofErr w:type="spellEnd"/>
      <w:r w:rsidR="00D52B0B">
        <w:rPr>
          <w:rStyle w:val="a6"/>
          <w:rFonts w:asciiTheme="majorBidi" w:hAnsiTheme="majorBidi" w:cstheme="majorBidi"/>
          <w:sz w:val="24"/>
          <w:szCs w:val="24"/>
          <w:rtl/>
        </w:rPr>
        <w:footnoteReference w:id="5"/>
      </w:r>
      <w:r w:rsidR="0048469E">
        <w:rPr>
          <w:rFonts w:asciiTheme="majorBidi" w:hAnsiTheme="majorBidi" w:cstheme="majorBidi" w:hint="cs"/>
          <w:sz w:val="24"/>
          <w:szCs w:val="24"/>
          <w:rtl/>
        </w:rPr>
        <w:t>, לאור</w:t>
      </w:r>
      <w:r w:rsidR="00FA4EA6">
        <w:rPr>
          <w:rStyle w:val="a6"/>
          <w:rFonts w:asciiTheme="majorBidi" w:hAnsiTheme="majorBidi" w:cstheme="majorBidi"/>
          <w:sz w:val="24"/>
          <w:szCs w:val="24"/>
          <w:rtl/>
        </w:rPr>
        <w:footnoteReference w:id="6"/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). </w:t>
      </w:r>
    </w:p>
    <w:p w:rsidR="007E7C5C" w:rsidRDefault="001A719F" w:rsidP="007E7C5C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מהי אם כן ההלכה 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>בדבר היחס בין חוקי יסוד לחוקים נכון לשנת 1990 ? בפסד ברגמן פסל</w:t>
      </w:r>
      <w:r w:rsidR="00183953">
        <w:rPr>
          <w:rFonts w:asciiTheme="majorBidi" w:hAnsiTheme="majorBidi" w:cstheme="majorBidi" w:hint="cs"/>
          <w:sz w:val="24"/>
          <w:szCs w:val="24"/>
          <w:rtl/>
        </w:rPr>
        <w:t xml:space="preserve"> לראשונה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 בית המשפט</w:t>
      </w:r>
      <w:r w:rsidR="00183953">
        <w:rPr>
          <w:rFonts w:asciiTheme="majorBidi" w:hAnsiTheme="majorBidi" w:cstheme="majorBidi" w:hint="cs"/>
          <w:sz w:val="24"/>
          <w:szCs w:val="24"/>
          <w:rtl/>
        </w:rPr>
        <w:t xml:space="preserve"> את ח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וק המימון שעמד בסתירה </w:t>
      </w:r>
      <w:r w:rsidR="00552B51">
        <w:rPr>
          <w:rFonts w:asciiTheme="majorBidi" w:hAnsiTheme="majorBidi" w:cstheme="majorBidi" w:hint="cs"/>
          <w:sz w:val="24"/>
          <w:szCs w:val="24"/>
          <w:rtl/>
        </w:rPr>
        <w:t>ל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חוק יסוד </w:t>
      </w:r>
      <w:r w:rsidR="009F4869">
        <w:rPr>
          <w:rFonts w:asciiTheme="majorBidi" w:hAnsiTheme="majorBidi" w:cstheme="majorBidi" w:hint="cs"/>
          <w:sz w:val="24"/>
          <w:szCs w:val="24"/>
          <w:rtl/>
        </w:rPr>
        <w:t>הכנסת בטענה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 שחוק המימון לא עמד בדרישת השריון</w:t>
      </w:r>
      <w:r w:rsidR="00C81D39">
        <w:rPr>
          <w:rFonts w:asciiTheme="majorBidi" w:hAnsiTheme="majorBidi" w:cstheme="majorBidi" w:hint="cs"/>
          <w:sz w:val="24"/>
          <w:szCs w:val="24"/>
          <w:rtl/>
        </w:rPr>
        <w:t xml:space="preserve"> שבחוק היסוד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. בית המשפט נימק </w:t>
      </w:r>
      <w:r w:rsidR="008B44B6">
        <w:rPr>
          <w:rFonts w:asciiTheme="majorBidi" w:hAnsiTheme="majorBidi" w:cstheme="majorBidi" w:hint="cs"/>
          <w:sz w:val="24"/>
          <w:szCs w:val="24"/>
          <w:rtl/>
        </w:rPr>
        <w:t>כי יש להכיר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FF5E6F">
        <w:rPr>
          <w:rFonts w:asciiTheme="majorBidi" w:hAnsiTheme="majorBidi" w:cstheme="majorBidi" w:hint="cs"/>
          <w:sz w:val="24"/>
          <w:szCs w:val="24"/>
          <w:rtl/>
        </w:rPr>
        <w:t>בסמכותה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 של הכנסת להגביל את עצמה </w:t>
      </w:r>
      <w:r w:rsidR="00183953">
        <w:rPr>
          <w:rFonts w:asciiTheme="majorBidi" w:hAnsiTheme="majorBidi" w:cstheme="majorBidi" w:hint="cs"/>
          <w:sz w:val="24"/>
          <w:szCs w:val="24"/>
          <w:rtl/>
        </w:rPr>
        <w:t xml:space="preserve">באמצעות שריון </w:t>
      </w:r>
      <w:r w:rsidR="00EC2DC5">
        <w:rPr>
          <w:rFonts w:asciiTheme="majorBidi" w:hAnsiTheme="majorBidi" w:cstheme="majorBidi" w:hint="cs"/>
          <w:sz w:val="24"/>
          <w:szCs w:val="24"/>
          <w:rtl/>
        </w:rPr>
        <w:t>ומתפקידו של בית המשפט לאכוף מגבלות אלו</w:t>
      </w:r>
      <w:r w:rsidR="004D7D1E">
        <w:rPr>
          <w:rStyle w:val="a6"/>
          <w:rFonts w:asciiTheme="majorBidi" w:hAnsiTheme="majorBidi" w:cstheme="majorBidi"/>
          <w:sz w:val="24"/>
          <w:szCs w:val="24"/>
          <w:rtl/>
        </w:rPr>
        <w:footnoteReference w:id="7"/>
      </w:r>
      <w:r w:rsidR="00EC2DC5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183953">
        <w:rPr>
          <w:rFonts w:asciiTheme="majorBidi" w:hAnsiTheme="majorBidi" w:cstheme="majorBidi" w:hint="cs"/>
          <w:sz w:val="24"/>
          <w:szCs w:val="24"/>
          <w:rtl/>
        </w:rPr>
        <w:t>הן בפסד קניאל</w:t>
      </w:r>
      <w:r w:rsidR="000F3DCB">
        <w:rPr>
          <w:rStyle w:val="a6"/>
          <w:rFonts w:asciiTheme="majorBidi" w:hAnsiTheme="majorBidi" w:cstheme="majorBidi"/>
          <w:sz w:val="24"/>
          <w:szCs w:val="24"/>
          <w:rtl/>
        </w:rPr>
        <w:footnoteReference w:id="8"/>
      </w:r>
      <w:r w:rsidR="001E188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83953">
        <w:rPr>
          <w:rFonts w:asciiTheme="majorBidi" w:hAnsiTheme="majorBidi" w:cstheme="majorBidi" w:hint="cs"/>
          <w:sz w:val="24"/>
          <w:szCs w:val="24"/>
          <w:rtl/>
        </w:rPr>
        <w:t xml:space="preserve">והן בפסד </w:t>
      </w:r>
      <w:proofErr w:type="spellStart"/>
      <w:r w:rsidR="00183953">
        <w:rPr>
          <w:rFonts w:asciiTheme="majorBidi" w:hAnsiTheme="majorBidi" w:cstheme="majorBidi" w:hint="cs"/>
          <w:sz w:val="24"/>
          <w:szCs w:val="24"/>
          <w:rtl/>
        </w:rPr>
        <w:t>רסלר</w:t>
      </w:r>
      <w:proofErr w:type="spellEnd"/>
      <w:r w:rsidR="000F3DCB">
        <w:rPr>
          <w:rStyle w:val="a6"/>
          <w:rFonts w:asciiTheme="majorBidi" w:hAnsiTheme="majorBidi" w:cstheme="majorBidi"/>
          <w:sz w:val="24"/>
          <w:szCs w:val="24"/>
          <w:rtl/>
        </w:rPr>
        <w:footnoteReference w:id="9"/>
      </w:r>
      <w:r w:rsidR="00183953">
        <w:rPr>
          <w:rFonts w:asciiTheme="majorBidi" w:hAnsiTheme="majorBidi" w:cstheme="majorBidi" w:hint="cs"/>
          <w:sz w:val="24"/>
          <w:szCs w:val="24"/>
          <w:rtl/>
        </w:rPr>
        <w:t xml:space="preserve"> הגדיר בית המשפט כי לחוקי יסוד אין עליונות על חוקים אלא אם המחוקק הגדיר אותה באופן מפורש באמצעות שריון או </w:t>
      </w:r>
      <w:r w:rsidR="001E1880">
        <w:rPr>
          <w:rFonts w:asciiTheme="majorBidi" w:hAnsiTheme="majorBidi" w:cstheme="majorBidi" w:hint="cs"/>
          <w:sz w:val="24"/>
          <w:szCs w:val="24"/>
          <w:rtl/>
        </w:rPr>
        <w:t>התגברות</w:t>
      </w:r>
      <w:r w:rsidR="00183953">
        <w:rPr>
          <w:rFonts w:asciiTheme="majorBidi" w:hAnsiTheme="majorBidi" w:cstheme="majorBidi" w:hint="cs"/>
          <w:sz w:val="24"/>
          <w:szCs w:val="24"/>
          <w:rtl/>
        </w:rPr>
        <w:t>.</w:t>
      </w:r>
      <w:r w:rsidR="007E7C5C">
        <w:rPr>
          <w:rFonts w:asciiTheme="majorBidi" w:hAnsiTheme="majorBidi" w:cstheme="majorBidi" w:hint="cs"/>
          <w:sz w:val="24"/>
          <w:szCs w:val="24"/>
          <w:rtl/>
        </w:rPr>
        <w:t xml:space="preserve"> מכאן כי בהעדר שריון מיוחד יש לנהוג לפי כללי הפרשנות הרגילים (לדוגמא בפס"ד רגב שם גבר חוק רגיל ספציפי על חוק יסוד כללי</w:t>
      </w:r>
      <w:r w:rsidR="007E7C5C" w:rsidRPr="000946F0">
        <w:rPr>
          <w:rStyle w:val="a6"/>
          <w:rFonts w:asciiTheme="majorBidi" w:hAnsiTheme="majorBidi" w:cstheme="majorBidi"/>
          <w:sz w:val="24"/>
          <w:szCs w:val="24"/>
          <w:rtl/>
        </w:rPr>
        <w:footnoteReference w:id="10"/>
      </w:r>
      <w:r w:rsidR="007E7C5C">
        <w:rPr>
          <w:rFonts w:asciiTheme="majorBidi" w:hAnsiTheme="majorBidi" w:cstheme="majorBidi" w:hint="cs"/>
          <w:sz w:val="24"/>
          <w:szCs w:val="24"/>
          <w:rtl/>
        </w:rPr>
        <w:t>).</w:t>
      </w:r>
    </w:p>
    <w:p w:rsidR="00623A8A" w:rsidRDefault="00F05450" w:rsidP="0047463C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בפסד לאור (1989), ניתן למצוא את הגישה הברורה והעדכנית ביותר</w:t>
      </w:r>
      <w:r w:rsidR="00943ADC">
        <w:rPr>
          <w:rFonts w:asciiTheme="majorBidi" w:hAnsiTheme="majorBidi" w:cstheme="majorBidi" w:hint="cs"/>
          <w:sz w:val="24"/>
          <w:szCs w:val="24"/>
          <w:rtl/>
        </w:rPr>
        <w:t xml:space="preserve"> של בית המשפט לגבי המעמד של חוק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יסוד מו</w:t>
      </w:r>
      <w:r w:rsidR="005F2FFB">
        <w:rPr>
          <w:rFonts w:asciiTheme="majorBidi" w:hAnsiTheme="majorBidi" w:cstheme="majorBidi" w:hint="cs"/>
          <w:sz w:val="24"/>
          <w:szCs w:val="24"/>
          <w:rtl/>
        </w:rPr>
        <w:t xml:space="preserve">ל חוק רגיל. </w:t>
      </w:r>
      <w:r w:rsidR="002B22DD">
        <w:rPr>
          <w:rFonts w:asciiTheme="majorBidi" w:hAnsiTheme="majorBidi" w:cstheme="majorBidi" w:hint="cs"/>
          <w:sz w:val="24"/>
          <w:szCs w:val="24"/>
          <w:rtl/>
        </w:rPr>
        <w:t>מ</w:t>
      </w:r>
      <w:r w:rsidR="000C64B0">
        <w:rPr>
          <w:rFonts w:asciiTheme="majorBidi" w:hAnsiTheme="majorBidi" w:cstheme="majorBidi" w:hint="cs"/>
          <w:sz w:val="24"/>
          <w:szCs w:val="24"/>
          <w:rtl/>
        </w:rPr>
        <w:t>דעת הרוב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t xml:space="preserve"> עולה כי </w:t>
      </w:r>
      <w:r w:rsidR="00D142E2">
        <w:rPr>
          <w:rFonts w:asciiTheme="majorBidi" w:hAnsiTheme="majorBidi" w:cstheme="majorBidi" w:hint="cs"/>
          <w:sz w:val="24"/>
          <w:szCs w:val="24"/>
          <w:rtl/>
        </w:rPr>
        <w:t>לחוק יסוד אין מעמד מיוחד</w:t>
      </w:r>
      <w:r w:rsidR="007B0CB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B22DD">
        <w:rPr>
          <w:rFonts w:asciiTheme="majorBidi" w:hAnsiTheme="majorBidi" w:cstheme="majorBidi" w:hint="cs"/>
          <w:sz w:val="24"/>
          <w:szCs w:val="24"/>
          <w:rtl/>
        </w:rPr>
        <w:t>וכי בית</w:t>
      </w:r>
      <w:r w:rsidR="00943ADC">
        <w:rPr>
          <w:rFonts w:asciiTheme="majorBidi" w:hAnsiTheme="majorBidi" w:cstheme="majorBidi" w:hint="cs"/>
          <w:sz w:val="24"/>
          <w:szCs w:val="24"/>
          <w:rtl/>
        </w:rPr>
        <w:t xml:space="preserve"> המשפט מכיר בהורא</w:t>
      </w:r>
      <w:r w:rsidR="00D142E2">
        <w:rPr>
          <w:rFonts w:asciiTheme="majorBidi" w:hAnsiTheme="majorBidi" w:cstheme="majorBidi" w:hint="cs"/>
          <w:sz w:val="24"/>
          <w:szCs w:val="24"/>
          <w:rtl/>
        </w:rPr>
        <w:t>ת שריון מפורשת בחוק</w:t>
      </w:r>
      <w:r w:rsidR="005F2FFB">
        <w:rPr>
          <w:rStyle w:val="a6"/>
          <w:rFonts w:asciiTheme="majorBidi" w:hAnsiTheme="majorBidi" w:cstheme="majorBidi"/>
          <w:sz w:val="24"/>
          <w:szCs w:val="24"/>
          <w:rtl/>
        </w:rPr>
        <w:footnoteReference w:id="11"/>
      </w:r>
      <w:r w:rsidR="00D142E2">
        <w:rPr>
          <w:rFonts w:asciiTheme="majorBidi" w:hAnsiTheme="majorBidi" w:cstheme="majorBidi" w:hint="cs"/>
          <w:sz w:val="24"/>
          <w:szCs w:val="24"/>
          <w:rtl/>
        </w:rPr>
        <w:t>.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B1187">
        <w:rPr>
          <w:rFonts w:asciiTheme="majorBidi" w:hAnsiTheme="majorBidi" w:cstheme="majorBidi" w:hint="cs"/>
          <w:sz w:val="24"/>
          <w:szCs w:val="24"/>
          <w:rtl/>
        </w:rPr>
        <w:t>ראוי לציין ב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t xml:space="preserve">הקשר זה את דעת המיעוט של </w:t>
      </w:r>
      <w:r w:rsidR="00E360B1">
        <w:rPr>
          <w:rFonts w:asciiTheme="majorBidi" w:hAnsiTheme="majorBidi" w:cstheme="majorBidi" w:hint="cs"/>
          <w:sz w:val="24"/>
          <w:szCs w:val="24"/>
          <w:rtl/>
        </w:rPr>
        <w:t xml:space="preserve">השופט ברק כי באופן עקרוני, קיימת 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t xml:space="preserve">אפשרות 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lastRenderedPageBreak/>
        <w:t>שבית המשפט יפסול חוק ה</w:t>
      </w:r>
      <w:r w:rsidR="000C64B0">
        <w:rPr>
          <w:rFonts w:asciiTheme="majorBidi" w:hAnsiTheme="majorBidi" w:cstheme="majorBidi" w:hint="cs"/>
          <w:sz w:val="24"/>
          <w:szCs w:val="24"/>
          <w:rtl/>
        </w:rPr>
        <w:t>פוגע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C64B0">
        <w:rPr>
          <w:rFonts w:asciiTheme="majorBidi" w:hAnsiTheme="majorBidi" w:cstheme="majorBidi" w:hint="cs"/>
          <w:sz w:val="24"/>
          <w:szCs w:val="24"/>
          <w:rtl/>
        </w:rPr>
        <w:t>ב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t>חוק יסוד גם אם הוא איננו משוריין</w:t>
      </w:r>
      <w:r w:rsidR="000D2B15">
        <w:rPr>
          <w:rFonts w:asciiTheme="majorBidi" w:hAnsiTheme="majorBidi" w:cstheme="majorBidi" w:hint="cs"/>
          <w:sz w:val="24"/>
          <w:szCs w:val="24"/>
          <w:rtl/>
        </w:rPr>
        <w:t xml:space="preserve"> במקרה והראשון מתנגש עם עקרונות יסוד של שיטה</w:t>
      </w:r>
      <w:r w:rsidR="00A74B59">
        <w:rPr>
          <w:rFonts w:asciiTheme="majorBidi" w:hAnsiTheme="majorBidi" w:cstheme="majorBidi" w:hint="cs"/>
          <w:sz w:val="24"/>
          <w:szCs w:val="24"/>
          <w:rtl/>
        </w:rPr>
        <w:t xml:space="preserve">. ברק מציין כי אין זו ההלכה </w:t>
      </w:r>
      <w:r w:rsidR="00E360B1">
        <w:rPr>
          <w:rFonts w:asciiTheme="majorBidi" w:hAnsiTheme="majorBidi" w:cstheme="majorBidi" w:hint="cs"/>
          <w:sz w:val="24"/>
          <w:szCs w:val="24"/>
          <w:rtl/>
        </w:rPr>
        <w:t xml:space="preserve">של בית המשפט </w:t>
      </w:r>
      <w:r w:rsidR="00DF7EF4">
        <w:rPr>
          <w:rFonts w:asciiTheme="majorBidi" w:hAnsiTheme="majorBidi" w:cstheme="majorBidi" w:hint="cs"/>
          <w:sz w:val="24"/>
          <w:szCs w:val="24"/>
          <w:rtl/>
        </w:rPr>
        <w:t>ועל כן אין לנהוג כך</w:t>
      </w:r>
      <w:r w:rsidR="00CC793E">
        <w:rPr>
          <w:rStyle w:val="a6"/>
          <w:rFonts w:asciiTheme="majorBidi" w:hAnsiTheme="majorBidi" w:cstheme="majorBidi"/>
          <w:sz w:val="24"/>
          <w:szCs w:val="24"/>
          <w:rtl/>
        </w:rPr>
        <w:footnoteReference w:id="12"/>
      </w:r>
      <w:r w:rsidR="00DF7EF4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:rsidR="009A43C9" w:rsidRDefault="00A838CD" w:rsidP="00623A8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מכאן</w:t>
      </w:r>
      <w:r w:rsidR="00623A8A">
        <w:rPr>
          <w:rFonts w:asciiTheme="majorBidi" w:hAnsiTheme="majorBidi" w:cstheme="majorBidi" w:hint="cs"/>
          <w:sz w:val="24"/>
          <w:szCs w:val="24"/>
          <w:rtl/>
        </w:rPr>
        <w:t xml:space="preserve">, נכון לשנת 1990 לחוק יסוד שאינו משוריין אין מעמד נורמטיבי גבוה מזה של חוק רגיל. חוק יסוד מבקר המדינה אינו מכיל התגברות או שריון. </w:t>
      </w:r>
      <w:r w:rsidR="00741549">
        <w:rPr>
          <w:rFonts w:asciiTheme="majorBidi" w:hAnsiTheme="majorBidi" w:cstheme="majorBidi" w:hint="cs"/>
          <w:sz w:val="24"/>
          <w:szCs w:val="24"/>
          <w:rtl/>
        </w:rPr>
        <w:t xml:space="preserve">על כן, 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החוק המוצע הינו חוקי. </w:t>
      </w:r>
    </w:p>
    <w:p w:rsidR="00DF7EF4" w:rsidRDefault="009A43C9" w:rsidP="0047463C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לחילופין, </w:t>
      </w:r>
      <w:r w:rsidR="00917F24">
        <w:rPr>
          <w:rFonts w:asciiTheme="majorBidi" w:hAnsiTheme="majorBidi" w:cstheme="majorBidi" w:hint="cs"/>
          <w:sz w:val="24"/>
          <w:szCs w:val="24"/>
          <w:rtl/>
        </w:rPr>
        <w:t xml:space="preserve">ניתן לפרש כי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החוק המוצע 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מבטל </w:t>
      </w:r>
      <w:r w:rsidR="00B15B10">
        <w:rPr>
          <w:rFonts w:asciiTheme="majorBidi" w:hAnsiTheme="majorBidi" w:cstheme="majorBidi" w:hint="cs"/>
          <w:sz w:val="24"/>
          <w:szCs w:val="24"/>
          <w:rtl/>
        </w:rPr>
        <w:t xml:space="preserve">לחלוטין </w:t>
      </w:r>
      <w:r>
        <w:rPr>
          <w:rFonts w:asciiTheme="majorBidi" w:hAnsiTheme="majorBidi" w:cstheme="majorBidi" w:hint="cs"/>
          <w:sz w:val="24"/>
          <w:szCs w:val="24"/>
          <w:rtl/>
        </w:rPr>
        <w:t>את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 עקרון העצמאות ש</w:t>
      </w:r>
      <w:r>
        <w:rPr>
          <w:rFonts w:asciiTheme="majorBidi" w:hAnsiTheme="majorBidi" w:cstheme="majorBidi" w:hint="cs"/>
          <w:sz w:val="24"/>
          <w:szCs w:val="24"/>
          <w:rtl/>
        </w:rPr>
        <w:t>ל מבקר המדינה</w:t>
      </w:r>
      <w:r w:rsidR="00917F24">
        <w:rPr>
          <w:rFonts w:asciiTheme="majorBidi" w:hAnsiTheme="majorBidi" w:cstheme="majorBidi" w:hint="cs"/>
          <w:sz w:val="24"/>
          <w:szCs w:val="24"/>
          <w:rtl/>
        </w:rPr>
        <w:t xml:space="preserve"> ומחליש את מעמדו עד לכדי חוסר אפקטיביות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47463C">
        <w:rPr>
          <w:rFonts w:asciiTheme="majorBidi" w:hAnsiTheme="majorBidi" w:cstheme="majorBidi" w:hint="cs"/>
          <w:sz w:val="24"/>
          <w:szCs w:val="24"/>
          <w:rtl/>
        </w:rPr>
        <w:t>ניתן לטעון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 כי עקרון </w:t>
      </w:r>
      <w:r w:rsidR="003F7EA6">
        <w:rPr>
          <w:rFonts w:asciiTheme="majorBidi" w:hAnsiTheme="majorBidi" w:cstheme="majorBidi" w:hint="cs"/>
          <w:sz w:val="24"/>
          <w:szCs w:val="24"/>
          <w:rtl/>
        </w:rPr>
        <w:t xml:space="preserve">עצמאות המבקר </w:t>
      </w:r>
      <w:r w:rsidR="006056CE">
        <w:rPr>
          <w:rFonts w:asciiTheme="majorBidi" w:hAnsiTheme="majorBidi" w:cstheme="majorBidi" w:hint="cs"/>
          <w:sz w:val="24"/>
          <w:szCs w:val="24"/>
          <w:rtl/>
        </w:rPr>
        <w:t>הוא מ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>יסוד</w:t>
      </w:r>
      <w:r w:rsidR="006056CE">
        <w:rPr>
          <w:rFonts w:asciiTheme="majorBidi" w:hAnsiTheme="majorBidi" w:cstheme="majorBidi" w:hint="cs"/>
          <w:sz w:val="24"/>
          <w:szCs w:val="24"/>
          <w:rtl/>
        </w:rPr>
        <w:t>ות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 הדמוקרטיה הישראלית</w:t>
      </w:r>
      <w:r w:rsidR="002044D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044DB" w:rsidRPr="00A045C6">
        <w:rPr>
          <w:rFonts w:asciiTheme="majorBidi" w:hAnsiTheme="majorBidi" w:cstheme="majorBidi" w:hint="cs"/>
          <w:sz w:val="24"/>
          <w:szCs w:val="24"/>
          <w:rtl/>
        </w:rPr>
        <w:t>(עקרון יסוד של שיטה)</w:t>
      </w:r>
      <w:r w:rsidR="000055E7">
        <w:rPr>
          <w:rFonts w:asciiTheme="majorBidi" w:hAnsiTheme="majorBidi" w:cstheme="majorBidi" w:hint="cs"/>
          <w:sz w:val="24"/>
          <w:szCs w:val="24"/>
          <w:rtl/>
        </w:rPr>
        <w:t xml:space="preserve"> - </w:t>
      </w:r>
      <w:r w:rsidR="00E26B01">
        <w:rPr>
          <w:rFonts w:asciiTheme="majorBidi" w:hAnsiTheme="majorBidi" w:cstheme="majorBidi" w:hint="cs"/>
          <w:sz w:val="24"/>
          <w:szCs w:val="24"/>
          <w:rtl/>
        </w:rPr>
        <w:t>אמנם לא כתוב</w:t>
      </w:r>
      <w:r w:rsidR="00B15B10">
        <w:rPr>
          <w:rFonts w:asciiTheme="majorBidi" w:hAnsiTheme="majorBidi" w:cstheme="majorBidi" w:hint="cs"/>
          <w:sz w:val="24"/>
          <w:szCs w:val="24"/>
          <w:rtl/>
        </w:rPr>
        <w:t xml:space="preserve"> בחוקה</w:t>
      </w:r>
      <w:r w:rsidR="000055E7">
        <w:rPr>
          <w:rFonts w:asciiTheme="majorBidi" w:hAnsiTheme="majorBidi" w:cstheme="majorBidi" w:hint="cs"/>
          <w:sz w:val="24"/>
          <w:szCs w:val="24"/>
          <w:rtl/>
        </w:rPr>
        <w:t>,</w:t>
      </w:r>
      <w:r w:rsidR="00E26B01">
        <w:rPr>
          <w:rFonts w:asciiTheme="majorBidi" w:hAnsiTheme="majorBidi" w:cstheme="majorBidi" w:hint="cs"/>
          <w:sz w:val="24"/>
          <w:szCs w:val="24"/>
          <w:rtl/>
        </w:rPr>
        <w:t xml:space="preserve"> אך שריר וקיים.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 קביעה דומה </w:t>
      </w:r>
      <w:r w:rsidR="0039631A">
        <w:rPr>
          <w:rFonts w:asciiTheme="majorBidi" w:hAnsiTheme="majorBidi" w:cstheme="majorBidi" w:hint="cs"/>
          <w:sz w:val="24"/>
          <w:szCs w:val="24"/>
          <w:rtl/>
        </w:rPr>
        <w:t xml:space="preserve">ניתן למצוא, </w:t>
      </w:r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בפסד </w:t>
      </w:r>
      <w:proofErr w:type="spellStart"/>
      <w:r w:rsidR="007F5EE1">
        <w:rPr>
          <w:rFonts w:asciiTheme="majorBidi" w:hAnsiTheme="majorBidi" w:cstheme="majorBidi" w:hint="cs"/>
          <w:sz w:val="24"/>
          <w:szCs w:val="24"/>
          <w:rtl/>
        </w:rPr>
        <w:t>בג'רנו</w:t>
      </w:r>
      <w:proofErr w:type="spellEnd"/>
      <w:r w:rsidR="007F5EE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056CE">
        <w:rPr>
          <w:rFonts w:asciiTheme="majorBidi" w:hAnsiTheme="majorBidi" w:cstheme="majorBidi" w:hint="cs"/>
          <w:sz w:val="24"/>
          <w:szCs w:val="24"/>
          <w:rtl/>
        </w:rPr>
        <w:t>בדבר חופש העיסוק</w:t>
      </w:r>
      <w:r w:rsidR="00E34D70" w:rsidRPr="00A7454F">
        <w:rPr>
          <w:rStyle w:val="a6"/>
          <w:rFonts w:asciiTheme="majorBidi" w:hAnsiTheme="majorBidi" w:cstheme="majorBidi"/>
          <w:sz w:val="24"/>
          <w:szCs w:val="24"/>
          <w:rtl/>
        </w:rPr>
        <w:footnoteReference w:id="13"/>
      </w:r>
      <w:r w:rsidR="0039631A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943ADC">
        <w:rPr>
          <w:rFonts w:asciiTheme="majorBidi" w:hAnsiTheme="majorBidi" w:cstheme="majorBidi" w:hint="cs"/>
          <w:sz w:val="24"/>
          <w:szCs w:val="24"/>
          <w:rtl/>
        </w:rPr>
        <w:t xml:space="preserve">בפרשת אולפני הסרטה </w:t>
      </w:r>
      <w:proofErr w:type="spellStart"/>
      <w:r w:rsidR="00943ADC">
        <w:rPr>
          <w:rFonts w:asciiTheme="majorBidi" w:hAnsiTheme="majorBidi" w:cstheme="majorBidi" w:hint="cs"/>
          <w:sz w:val="24"/>
          <w:szCs w:val="24"/>
          <w:rtl/>
        </w:rPr>
        <w:t>נג</w:t>
      </w:r>
      <w:proofErr w:type="spellEnd"/>
      <w:r w:rsidR="00943ADC">
        <w:rPr>
          <w:rFonts w:asciiTheme="majorBidi" w:hAnsiTheme="majorBidi" w:cstheme="majorBidi" w:hint="cs"/>
          <w:sz w:val="24"/>
          <w:szCs w:val="24"/>
          <w:rtl/>
        </w:rPr>
        <w:t>' גרי בדבר חופש הביטוי</w:t>
      </w:r>
      <w:r w:rsidR="00171623">
        <w:rPr>
          <w:rStyle w:val="a6"/>
          <w:rFonts w:asciiTheme="majorBidi" w:hAnsiTheme="majorBidi" w:cstheme="majorBidi"/>
          <w:sz w:val="24"/>
          <w:szCs w:val="24"/>
          <w:rtl/>
        </w:rPr>
        <w:footnoteReference w:id="14"/>
      </w:r>
      <w:r w:rsidR="00943A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9631A">
        <w:rPr>
          <w:rFonts w:asciiTheme="majorBidi" w:hAnsiTheme="majorBidi" w:cstheme="majorBidi" w:hint="cs"/>
          <w:sz w:val="24"/>
          <w:szCs w:val="24"/>
          <w:rtl/>
        </w:rPr>
        <w:t>ו</w:t>
      </w:r>
      <w:r>
        <w:rPr>
          <w:rFonts w:asciiTheme="majorBidi" w:hAnsiTheme="majorBidi" w:cstheme="majorBidi" w:hint="cs"/>
          <w:sz w:val="24"/>
          <w:szCs w:val="24"/>
          <w:rtl/>
        </w:rPr>
        <w:t>בדעת המיעוט של השופט ברק בפס</w:t>
      </w:r>
      <w:r w:rsidR="00977491">
        <w:rPr>
          <w:rFonts w:asciiTheme="majorBidi" w:hAnsiTheme="majorBidi" w:cstheme="majorBidi" w:hint="cs"/>
          <w:sz w:val="24"/>
          <w:szCs w:val="24"/>
          <w:rtl/>
        </w:rPr>
        <w:t>"</w:t>
      </w:r>
      <w:r>
        <w:rPr>
          <w:rFonts w:asciiTheme="majorBidi" w:hAnsiTheme="majorBidi" w:cstheme="majorBidi" w:hint="cs"/>
          <w:sz w:val="24"/>
          <w:szCs w:val="24"/>
          <w:rtl/>
        </w:rPr>
        <w:t>ד לאור</w:t>
      </w:r>
      <w:r w:rsidR="006056CE">
        <w:rPr>
          <w:rFonts w:asciiTheme="majorBidi" w:hAnsiTheme="majorBidi" w:cstheme="majorBidi" w:hint="cs"/>
          <w:sz w:val="24"/>
          <w:szCs w:val="24"/>
          <w:rtl/>
        </w:rPr>
        <w:t xml:space="preserve"> בדבר </w:t>
      </w:r>
      <w:r w:rsidR="006901B8">
        <w:rPr>
          <w:rFonts w:asciiTheme="majorBidi" w:hAnsiTheme="majorBidi" w:cstheme="majorBidi" w:hint="cs"/>
          <w:sz w:val="24"/>
          <w:szCs w:val="24"/>
          <w:rtl/>
        </w:rPr>
        <w:t>בטלותו של חוק הנוגד עקרונות של שיטה גם אם אינם כתובים</w:t>
      </w:r>
      <w:r w:rsidR="001D120C">
        <w:rPr>
          <w:rFonts w:asciiTheme="majorBidi" w:hAnsiTheme="majorBidi" w:cstheme="majorBidi" w:hint="cs"/>
          <w:sz w:val="24"/>
          <w:szCs w:val="24"/>
          <w:vertAlign w:val="superscript"/>
          <w:rtl/>
        </w:rPr>
        <w:t>11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7C09CC">
        <w:rPr>
          <w:rFonts w:asciiTheme="majorBidi" w:hAnsiTheme="majorBidi" w:cstheme="majorBidi" w:hint="cs"/>
          <w:sz w:val="24"/>
          <w:szCs w:val="24"/>
          <w:rtl/>
        </w:rPr>
        <w:t>במקרה זה יצטרך בית המשפט להכריע האם</w:t>
      </w:r>
      <w:r w:rsidR="00F46758">
        <w:rPr>
          <w:rFonts w:asciiTheme="majorBidi" w:hAnsiTheme="majorBidi" w:cstheme="majorBidi" w:hint="cs"/>
          <w:sz w:val="24"/>
          <w:szCs w:val="24"/>
          <w:rtl/>
        </w:rPr>
        <w:t xml:space="preserve"> אכן</w:t>
      </w:r>
      <w:r w:rsidR="007C09C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F46758">
        <w:rPr>
          <w:rFonts w:asciiTheme="majorBidi" w:hAnsiTheme="majorBidi" w:cstheme="majorBidi" w:hint="cs"/>
          <w:sz w:val="24"/>
          <w:szCs w:val="24"/>
          <w:rtl/>
        </w:rPr>
        <w:t xml:space="preserve">עצמאות המבקר הינה עקרון בסיסי </w:t>
      </w:r>
      <w:r w:rsidR="00A045C6">
        <w:rPr>
          <w:rFonts w:asciiTheme="majorBidi" w:hAnsiTheme="majorBidi" w:cstheme="majorBidi" w:hint="cs"/>
          <w:sz w:val="24"/>
          <w:szCs w:val="24"/>
          <w:rtl/>
        </w:rPr>
        <w:t>שכזה</w:t>
      </w:r>
      <w:r w:rsidR="00F46758">
        <w:rPr>
          <w:rFonts w:asciiTheme="majorBidi" w:hAnsiTheme="majorBidi" w:cstheme="majorBidi" w:hint="cs"/>
          <w:sz w:val="24"/>
          <w:szCs w:val="24"/>
          <w:rtl/>
        </w:rPr>
        <w:t xml:space="preserve"> ו</w:t>
      </w:r>
      <w:r w:rsidR="00E829C8">
        <w:rPr>
          <w:rFonts w:asciiTheme="majorBidi" w:hAnsiTheme="majorBidi" w:cstheme="majorBidi" w:hint="cs"/>
          <w:sz w:val="24"/>
          <w:szCs w:val="24"/>
          <w:rtl/>
        </w:rPr>
        <w:t>אם כן</w:t>
      </w:r>
      <w:r w:rsidR="00076B38">
        <w:rPr>
          <w:rFonts w:asciiTheme="majorBidi" w:hAnsiTheme="majorBidi" w:cstheme="majorBidi" w:hint="cs"/>
          <w:sz w:val="24"/>
          <w:szCs w:val="24"/>
          <w:rtl/>
        </w:rPr>
        <w:t xml:space="preserve"> יתכן</w:t>
      </w:r>
      <w:r w:rsidR="00F4675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76B38">
        <w:rPr>
          <w:rFonts w:asciiTheme="majorBidi" w:hAnsiTheme="majorBidi" w:cstheme="majorBidi" w:hint="cs"/>
          <w:sz w:val="24"/>
          <w:szCs w:val="24"/>
          <w:rtl/>
        </w:rPr>
        <w:t>ו</w:t>
      </w:r>
      <w:r w:rsidR="00E829C8">
        <w:rPr>
          <w:rFonts w:asciiTheme="majorBidi" w:hAnsiTheme="majorBidi" w:cstheme="majorBidi" w:hint="cs"/>
          <w:sz w:val="24"/>
          <w:szCs w:val="24"/>
          <w:rtl/>
        </w:rPr>
        <w:t>יפסול</w:t>
      </w:r>
      <w:r w:rsidR="00F46758">
        <w:rPr>
          <w:rFonts w:asciiTheme="majorBidi" w:hAnsiTheme="majorBidi" w:cstheme="majorBidi" w:hint="cs"/>
          <w:sz w:val="24"/>
          <w:szCs w:val="24"/>
          <w:rtl/>
        </w:rPr>
        <w:t xml:space="preserve"> את החוק</w:t>
      </w:r>
      <w:r w:rsidR="007C09CC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C2DC5" w:rsidRDefault="00EC2DC5" w:rsidP="00EC2DC5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E35E4E" w:rsidRPr="00E35E4E" w:rsidRDefault="00E56270" w:rsidP="005F1FD4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יישום </w:t>
      </w:r>
      <w:r w:rsidR="00182DB8">
        <w:rPr>
          <w:rFonts w:asciiTheme="majorBidi" w:hAnsiTheme="majorBidi" w:cstheme="majorBidi" w:hint="cs"/>
          <w:sz w:val="24"/>
          <w:szCs w:val="24"/>
          <w:rtl/>
        </w:rPr>
        <w:t>ב</w:t>
      </w:r>
      <w:r w:rsidR="00E26B01">
        <w:rPr>
          <w:rFonts w:asciiTheme="majorBidi" w:hAnsiTheme="majorBidi" w:cstheme="majorBidi" w:hint="cs"/>
          <w:sz w:val="24"/>
          <w:szCs w:val="24"/>
          <w:rtl/>
        </w:rPr>
        <w:t xml:space="preserve">שנת 2006. 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t>השינוי המהותי ביחס בית המשפט לחוקי יסוד</w:t>
      </w:r>
      <w:r w:rsidR="00182DB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t>בא לידי ביטוי בפ</w:t>
      </w:r>
      <w:r w:rsidR="00BF5FA3">
        <w:rPr>
          <w:rFonts w:asciiTheme="majorBidi" w:hAnsiTheme="majorBidi" w:cstheme="majorBidi" w:hint="cs"/>
          <w:sz w:val="24"/>
          <w:szCs w:val="24"/>
          <w:rtl/>
        </w:rPr>
        <w:t>ס"ד מזרחי:</w:t>
      </w:r>
      <w:r w:rsidR="00E35E4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BF5FA3">
        <w:rPr>
          <w:rFonts w:asciiTheme="majorBidi" w:hAnsiTheme="majorBidi" w:cstheme="majorBidi" w:hint="cs"/>
          <w:sz w:val="24"/>
          <w:szCs w:val="24"/>
          <w:rtl/>
        </w:rPr>
        <w:t>עליבא</w:t>
      </w:r>
      <w:proofErr w:type="spellEnd"/>
      <w:r w:rsidR="00BF5FA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BF5FA3">
        <w:rPr>
          <w:rFonts w:asciiTheme="majorBidi" w:hAnsiTheme="majorBidi" w:cstheme="majorBidi" w:hint="cs"/>
          <w:sz w:val="24"/>
          <w:szCs w:val="24"/>
          <w:rtl/>
        </w:rPr>
        <w:t>ד</w:t>
      </w:r>
      <w:r w:rsidR="003D1947">
        <w:rPr>
          <w:rFonts w:asciiTheme="majorBidi" w:hAnsiTheme="majorBidi" w:cstheme="majorBidi" w:hint="cs"/>
          <w:sz w:val="24"/>
          <w:szCs w:val="24"/>
          <w:rtl/>
        </w:rPr>
        <w:t>ברק</w:t>
      </w:r>
      <w:proofErr w:type="spellEnd"/>
      <w:r w:rsidR="003D194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35E4E" w:rsidRPr="00E35E4E">
        <w:rPr>
          <w:rFonts w:asciiTheme="majorBidi" w:hAnsiTheme="majorBidi" w:cstheme="majorBidi" w:hint="cs"/>
          <w:sz w:val="24"/>
          <w:szCs w:val="24"/>
          <w:rtl/>
        </w:rPr>
        <w:t xml:space="preserve">חוק רגיל </w:t>
      </w:r>
      <w:r w:rsidR="00E17E94">
        <w:rPr>
          <w:rFonts w:asciiTheme="majorBidi" w:hAnsiTheme="majorBidi" w:cstheme="majorBidi" w:hint="cs"/>
          <w:sz w:val="24"/>
          <w:szCs w:val="24"/>
          <w:rtl/>
        </w:rPr>
        <w:t>יכול לפגוע</w:t>
      </w:r>
      <w:r w:rsidR="00E35E4E" w:rsidRPr="00E35E4E">
        <w:rPr>
          <w:rFonts w:asciiTheme="majorBidi" w:hAnsiTheme="majorBidi" w:cstheme="majorBidi" w:hint="cs"/>
          <w:sz w:val="24"/>
          <w:szCs w:val="24"/>
          <w:rtl/>
        </w:rPr>
        <w:t xml:space="preserve"> בחוק יסוד רק אם חוק היסוד מתיר זאת במפורש. שתיקת חוק היסוד מונעת פגיעה זו</w:t>
      </w:r>
      <w:r w:rsidR="00B900A4">
        <w:rPr>
          <w:rStyle w:val="a6"/>
          <w:rFonts w:asciiTheme="majorBidi" w:hAnsiTheme="majorBidi" w:cstheme="majorBidi"/>
          <w:sz w:val="24"/>
          <w:szCs w:val="24"/>
          <w:rtl/>
        </w:rPr>
        <w:footnoteReference w:id="15"/>
      </w:r>
      <w:r w:rsidR="0019103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3D1947" w:rsidRDefault="003D1947" w:rsidP="00830308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שמגר </w:t>
      </w:r>
      <w:r w:rsidR="00E35E4E">
        <w:rPr>
          <w:rFonts w:asciiTheme="majorBidi" w:hAnsiTheme="majorBidi" w:cstheme="majorBidi" w:hint="cs"/>
          <w:sz w:val="24"/>
          <w:szCs w:val="24"/>
          <w:rtl/>
        </w:rPr>
        <w:t>-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35E4E" w:rsidRPr="00E35E4E">
        <w:rPr>
          <w:rFonts w:asciiTheme="majorBidi" w:hAnsiTheme="majorBidi" w:cstheme="majorBidi" w:hint="cs"/>
          <w:sz w:val="24"/>
          <w:szCs w:val="24"/>
          <w:rtl/>
        </w:rPr>
        <w:t xml:space="preserve">הכנסת רשאית לחוקק חוק רגיל הפוגע בחוק יסוד רק אם בחוק היסוד קיימת הוראה מפורשת המתירה זאת </w:t>
      </w:r>
      <w:r w:rsidR="00B84236">
        <w:rPr>
          <w:rFonts w:asciiTheme="majorBidi" w:hAnsiTheme="majorBidi" w:cstheme="majorBidi" w:hint="cs"/>
          <w:sz w:val="24"/>
          <w:szCs w:val="24"/>
          <w:rtl/>
        </w:rPr>
        <w:t>קרי</w:t>
      </w:r>
      <w:r w:rsidR="00E35E4E" w:rsidRPr="00E35E4E">
        <w:rPr>
          <w:rFonts w:asciiTheme="majorBidi" w:hAnsiTheme="majorBidi" w:cstheme="majorBidi" w:hint="cs"/>
          <w:sz w:val="24"/>
          <w:szCs w:val="24"/>
          <w:rtl/>
        </w:rPr>
        <w:t xml:space="preserve"> פסקת הגבלה</w:t>
      </w:r>
      <w:r w:rsidR="00830308">
        <w:rPr>
          <w:rStyle w:val="a6"/>
          <w:rFonts w:asciiTheme="majorBidi" w:hAnsiTheme="majorBidi" w:cstheme="majorBidi"/>
          <w:sz w:val="24"/>
          <w:szCs w:val="24"/>
          <w:rtl/>
        </w:rPr>
        <w:footnoteReference w:id="16"/>
      </w:r>
      <w:r w:rsidR="00E35E4E" w:rsidRPr="00E35E4E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:rsidR="00B84236" w:rsidRPr="00E35E4E" w:rsidRDefault="00B84236" w:rsidP="00290D6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חשין - </w:t>
      </w:r>
      <w:r w:rsidRPr="00E35E4E">
        <w:rPr>
          <w:rFonts w:asciiTheme="majorBidi" w:hAnsiTheme="majorBidi" w:cstheme="majorBidi" w:hint="cs"/>
          <w:sz w:val="24"/>
          <w:szCs w:val="24"/>
          <w:rtl/>
        </w:rPr>
        <w:t>שינוי או פגיעה בחוק יסוד משוריין לא יתכנו כאשר אין החוק הרגיל עומד בהוראות ההגבלה. אין הדבר נובע מעליונותם של חוקי היסוד אלא מהלגיטימציה של הכנסת להגביל עצמה.</w:t>
      </w:r>
      <w:r w:rsidR="000749AC">
        <w:rPr>
          <w:rFonts w:asciiTheme="majorBidi" w:hAnsiTheme="majorBidi" w:cstheme="majorBidi" w:hint="cs"/>
          <w:sz w:val="24"/>
          <w:szCs w:val="24"/>
          <w:rtl/>
        </w:rPr>
        <w:t xml:space="preserve"> בחוקי יסוד בהם לא קיימת הוראה מגבילה ניתן לפגוע </w:t>
      </w:r>
      <w:r w:rsidRPr="00E35E4E">
        <w:rPr>
          <w:rFonts w:asciiTheme="majorBidi" w:hAnsiTheme="majorBidi" w:cstheme="majorBidi" w:hint="cs"/>
          <w:sz w:val="24"/>
          <w:szCs w:val="24"/>
          <w:rtl/>
        </w:rPr>
        <w:t>באמצעות חוק רגיל</w:t>
      </w:r>
      <w:r w:rsidR="00C6542A">
        <w:rPr>
          <w:rStyle w:val="a6"/>
          <w:rFonts w:asciiTheme="majorBidi" w:hAnsiTheme="majorBidi" w:cstheme="majorBidi"/>
          <w:sz w:val="24"/>
          <w:szCs w:val="24"/>
          <w:rtl/>
        </w:rPr>
        <w:footnoteReference w:id="17"/>
      </w:r>
      <w:r w:rsidRPr="00E35E4E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5266D" w:rsidRDefault="003D1947" w:rsidP="00425616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דעת הרוב </w:t>
      </w:r>
      <w:r w:rsidR="00145550">
        <w:rPr>
          <w:rFonts w:asciiTheme="majorBidi" w:hAnsiTheme="majorBidi" w:cstheme="majorBidi" w:hint="cs"/>
          <w:sz w:val="24"/>
          <w:szCs w:val="24"/>
          <w:rtl/>
        </w:rPr>
        <w:t>בפסד זה קבעה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t xml:space="preserve"> כי </w:t>
      </w:r>
      <w:r w:rsidR="00E35E4E">
        <w:rPr>
          <w:rFonts w:asciiTheme="majorBidi" w:hAnsiTheme="majorBidi" w:cstheme="majorBidi" w:hint="cs"/>
          <w:sz w:val="24"/>
          <w:szCs w:val="24"/>
          <w:rtl/>
        </w:rPr>
        <w:t>קי</w:t>
      </w:r>
      <w:r w:rsidR="00154C08">
        <w:rPr>
          <w:rFonts w:asciiTheme="majorBidi" w:hAnsiTheme="majorBidi" w:cstheme="majorBidi" w:hint="cs"/>
          <w:sz w:val="24"/>
          <w:szCs w:val="24"/>
          <w:rtl/>
        </w:rPr>
        <w:t>ימת חוקה בישראל ב</w:t>
      </w:r>
      <w:r w:rsidR="00562EED">
        <w:rPr>
          <w:rFonts w:asciiTheme="majorBidi" w:hAnsiTheme="majorBidi" w:cstheme="majorBidi" w:hint="cs"/>
          <w:sz w:val="24"/>
          <w:szCs w:val="24"/>
          <w:rtl/>
        </w:rPr>
        <w:t>דמות</w:t>
      </w:r>
      <w:r w:rsidR="00154C08">
        <w:rPr>
          <w:rFonts w:asciiTheme="majorBidi" w:hAnsiTheme="majorBidi" w:cstheme="majorBidi" w:hint="cs"/>
          <w:sz w:val="24"/>
          <w:szCs w:val="24"/>
          <w:rtl/>
        </w:rPr>
        <w:t xml:space="preserve"> חוקי יסוד. </w:t>
      </w:r>
      <w:r w:rsidR="00145550">
        <w:rPr>
          <w:rFonts w:asciiTheme="majorBidi" w:hAnsiTheme="majorBidi" w:cstheme="majorBidi" w:hint="cs"/>
          <w:sz w:val="24"/>
          <w:szCs w:val="24"/>
          <w:rtl/>
        </w:rPr>
        <w:t xml:space="preserve">כל 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t>חוקי היסו</w:t>
      </w:r>
      <w:r w:rsidR="00145550">
        <w:rPr>
          <w:rFonts w:asciiTheme="majorBidi" w:hAnsiTheme="majorBidi" w:cstheme="majorBidi" w:hint="cs"/>
          <w:sz w:val="24"/>
          <w:szCs w:val="24"/>
          <w:rtl/>
        </w:rPr>
        <w:t xml:space="preserve">ד, גם אלו שאינם משוריינים או מכילים פסקת הגבלה, 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t>נמצאים במעמד נורמטיבי על חוקי</w:t>
      </w:r>
      <w:r w:rsidR="00145550">
        <w:rPr>
          <w:rFonts w:asciiTheme="majorBidi" w:hAnsiTheme="majorBidi" w:cstheme="majorBidi" w:hint="cs"/>
          <w:sz w:val="24"/>
          <w:szCs w:val="24"/>
          <w:rtl/>
        </w:rPr>
        <w:t>.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t xml:space="preserve"> מכאן שחוק רגיל אינו יכול ל</w:t>
      </w:r>
      <w:r w:rsidR="00577432">
        <w:rPr>
          <w:rFonts w:asciiTheme="majorBidi" w:hAnsiTheme="majorBidi" w:cstheme="majorBidi" w:hint="cs"/>
          <w:sz w:val="24"/>
          <w:szCs w:val="24"/>
          <w:rtl/>
        </w:rPr>
        <w:t>שנותם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t xml:space="preserve"> או לפגוע </w:t>
      </w:r>
      <w:r w:rsidR="000310BD">
        <w:rPr>
          <w:rFonts w:asciiTheme="majorBidi" w:hAnsiTheme="majorBidi" w:cstheme="majorBidi" w:hint="cs"/>
          <w:sz w:val="24"/>
          <w:szCs w:val="24"/>
          <w:rtl/>
        </w:rPr>
        <w:lastRenderedPageBreak/>
        <w:t>בהם, אלא באמצע</w:t>
      </w:r>
      <w:r w:rsidR="00145550">
        <w:rPr>
          <w:rFonts w:asciiTheme="majorBidi" w:hAnsiTheme="majorBidi" w:cstheme="majorBidi" w:hint="cs"/>
          <w:sz w:val="24"/>
          <w:szCs w:val="24"/>
          <w:rtl/>
        </w:rPr>
        <w:t xml:space="preserve">ות </w:t>
      </w:r>
      <w:r w:rsidR="009C0B24">
        <w:rPr>
          <w:rFonts w:asciiTheme="majorBidi" w:hAnsiTheme="majorBidi" w:cstheme="majorBidi" w:hint="cs"/>
          <w:sz w:val="24"/>
          <w:szCs w:val="24"/>
          <w:rtl/>
        </w:rPr>
        <w:t>הוראה</w:t>
      </w:r>
      <w:r w:rsidR="00145550">
        <w:rPr>
          <w:rFonts w:asciiTheme="majorBidi" w:hAnsiTheme="majorBidi" w:cstheme="majorBidi" w:hint="cs"/>
          <w:sz w:val="24"/>
          <w:szCs w:val="24"/>
          <w:rtl/>
        </w:rPr>
        <w:t xml:space="preserve"> מפורשת של המחוקק</w:t>
      </w:r>
      <w:r w:rsidR="00E012EC">
        <w:rPr>
          <w:rFonts w:asciiTheme="majorBidi" w:hAnsiTheme="majorBidi" w:cstheme="majorBidi" w:hint="cs"/>
          <w:sz w:val="24"/>
          <w:szCs w:val="24"/>
          <w:rtl/>
        </w:rPr>
        <w:t xml:space="preserve"> בחוק היסוד</w:t>
      </w:r>
      <w:r w:rsidR="00145550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E012EC">
        <w:rPr>
          <w:rFonts w:asciiTheme="majorBidi" w:hAnsiTheme="majorBidi" w:cstheme="majorBidi" w:hint="cs"/>
          <w:sz w:val="24"/>
          <w:szCs w:val="24"/>
          <w:rtl/>
        </w:rPr>
        <w:t>דוגמא לכך ניתנה בפסד חרות</w:t>
      </w:r>
      <w:r w:rsidR="00C87D6B">
        <w:rPr>
          <w:rFonts w:asciiTheme="majorBidi" w:hAnsiTheme="majorBidi" w:cstheme="majorBidi" w:hint="cs"/>
          <w:sz w:val="24"/>
          <w:szCs w:val="24"/>
          <w:rtl/>
        </w:rPr>
        <w:t xml:space="preserve"> (2003)</w:t>
      </w:r>
      <w:r w:rsidR="00B8423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54C08">
        <w:rPr>
          <w:rFonts w:asciiTheme="majorBidi" w:hAnsiTheme="majorBidi" w:cstheme="majorBidi" w:hint="cs"/>
          <w:sz w:val="24"/>
          <w:szCs w:val="24"/>
          <w:rtl/>
        </w:rPr>
        <w:t xml:space="preserve">בפסילת </w:t>
      </w:r>
      <w:r w:rsidR="00E012EC">
        <w:rPr>
          <w:rFonts w:asciiTheme="majorBidi" w:hAnsiTheme="majorBidi" w:cstheme="majorBidi" w:hint="cs"/>
          <w:sz w:val="24"/>
          <w:szCs w:val="24"/>
          <w:rtl/>
        </w:rPr>
        <w:t>סעיף 137 לחוק הבחירות כיון שהתנגש עם חוק יסוד השפיטה</w:t>
      </w:r>
      <w:r w:rsidR="00425616">
        <w:rPr>
          <w:rFonts w:asciiTheme="majorBidi" w:hAnsiTheme="majorBidi" w:cstheme="majorBidi" w:hint="cs"/>
          <w:sz w:val="24"/>
          <w:szCs w:val="24"/>
          <w:rtl/>
        </w:rPr>
        <w:t xml:space="preserve"> שאיננו משוריין</w:t>
      </w:r>
      <w:r w:rsidR="00425616" w:rsidRPr="00E92226">
        <w:rPr>
          <w:rStyle w:val="a6"/>
          <w:rFonts w:asciiTheme="majorBidi" w:hAnsiTheme="majorBidi" w:cstheme="majorBidi"/>
          <w:sz w:val="24"/>
          <w:szCs w:val="24"/>
          <w:rtl/>
        </w:rPr>
        <w:t xml:space="preserve"> </w:t>
      </w:r>
      <w:r w:rsidR="0053008A" w:rsidRPr="00E92226">
        <w:rPr>
          <w:rStyle w:val="a6"/>
          <w:rFonts w:asciiTheme="majorBidi" w:hAnsiTheme="majorBidi" w:cstheme="majorBidi"/>
          <w:sz w:val="24"/>
          <w:szCs w:val="24"/>
          <w:rtl/>
        </w:rPr>
        <w:footnoteReference w:id="18"/>
      </w:r>
      <w:r w:rsidR="00E012EC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:rsidR="002C05B9" w:rsidRDefault="002C05B9" w:rsidP="00DB7F3D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נגדיר את מהות ההתנגשות בין החוק המוצע לחוק היסוד:</w:t>
      </w:r>
    </w:p>
    <w:p w:rsidR="002C05B9" w:rsidRDefault="002C05B9" w:rsidP="00F33F71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שינוי - ביטול זכות (במקרה זה עיקרון) או </w:t>
      </w:r>
      <w:r w:rsidR="00F33F71">
        <w:rPr>
          <w:rFonts w:asciiTheme="majorBidi" w:hAnsiTheme="majorBidi" w:cstheme="majorBidi" w:hint="cs"/>
          <w:sz w:val="24"/>
          <w:szCs w:val="24"/>
          <w:rtl/>
        </w:rPr>
        <w:t>פגיעה מקיפה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הנעשה בד"כ באופן ישיר. </w:t>
      </w:r>
    </w:p>
    <w:p w:rsidR="002C05B9" w:rsidRDefault="002C05B9" w:rsidP="002C05B9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פגיעה - הגבלה נקודתית של זכות (במקרה זה עיקרון), בד"כ בצורה אגבית. </w:t>
      </w:r>
    </w:p>
    <w:p w:rsidR="00A250A8" w:rsidRDefault="002C05B9" w:rsidP="001056CB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להערכתי,</w:t>
      </w:r>
      <w:r w:rsidR="00A86DF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0200C">
        <w:rPr>
          <w:rFonts w:asciiTheme="majorBidi" w:hAnsiTheme="majorBidi" w:cstheme="majorBidi" w:hint="cs"/>
          <w:sz w:val="24"/>
          <w:szCs w:val="24"/>
          <w:rtl/>
        </w:rPr>
        <w:t>סביר</w:t>
      </w:r>
      <w:r w:rsidR="001D0BE9">
        <w:rPr>
          <w:rFonts w:asciiTheme="majorBidi" w:hAnsiTheme="majorBidi" w:cstheme="majorBidi" w:hint="cs"/>
          <w:sz w:val="24"/>
          <w:szCs w:val="24"/>
          <w:rtl/>
        </w:rPr>
        <w:t xml:space="preserve"> שבית המשפט </w:t>
      </w:r>
      <w:r w:rsidR="001056CB">
        <w:rPr>
          <w:rFonts w:asciiTheme="majorBidi" w:hAnsiTheme="majorBidi" w:cstheme="majorBidi" w:hint="cs"/>
          <w:sz w:val="24"/>
          <w:szCs w:val="24"/>
          <w:rtl/>
        </w:rPr>
        <w:t>יפסול</w:t>
      </w:r>
      <w:r w:rsidR="001D0BE9">
        <w:rPr>
          <w:rFonts w:asciiTheme="majorBidi" w:hAnsiTheme="majorBidi" w:cstheme="majorBidi" w:hint="cs"/>
          <w:sz w:val="24"/>
          <w:szCs w:val="24"/>
          <w:rtl/>
        </w:rPr>
        <w:t xml:space="preserve"> את </w:t>
      </w:r>
      <w:r w:rsidR="00B04127">
        <w:rPr>
          <w:rFonts w:asciiTheme="majorBidi" w:hAnsiTheme="majorBidi" w:cstheme="majorBidi" w:hint="cs"/>
          <w:sz w:val="24"/>
          <w:szCs w:val="24"/>
          <w:rtl/>
        </w:rPr>
        <w:t>ה</w:t>
      </w:r>
      <w:r w:rsidR="00A86DFA">
        <w:rPr>
          <w:rFonts w:asciiTheme="majorBidi" w:hAnsiTheme="majorBidi" w:cstheme="majorBidi" w:hint="cs"/>
          <w:sz w:val="24"/>
          <w:szCs w:val="24"/>
          <w:rtl/>
        </w:rPr>
        <w:t xml:space="preserve">חוק עקב </w:t>
      </w:r>
      <w:r w:rsidR="00885A9F" w:rsidRPr="00425616">
        <w:rPr>
          <w:rFonts w:asciiTheme="majorBidi" w:hAnsiTheme="majorBidi" w:cstheme="majorBidi" w:hint="cs"/>
          <w:sz w:val="24"/>
          <w:szCs w:val="24"/>
          <w:u w:val="single"/>
          <w:rtl/>
        </w:rPr>
        <w:t>השינוי</w:t>
      </w:r>
      <w:r w:rsidR="00885A9F">
        <w:rPr>
          <w:rFonts w:asciiTheme="majorBidi" w:hAnsiTheme="majorBidi" w:cstheme="majorBidi" w:hint="cs"/>
          <w:sz w:val="24"/>
          <w:szCs w:val="24"/>
          <w:rtl/>
        </w:rPr>
        <w:t xml:space="preserve"> המהותי שהוא כופה על מוסד המבקר</w:t>
      </w:r>
      <w:r w:rsidR="00755099">
        <w:rPr>
          <w:rFonts w:asciiTheme="majorBidi" w:hAnsiTheme="majorBidi" w:cstheme="majorBidi" w:hint="cs"/>
          <w:sz w:val="24"/>
          <w:szCs w:val="24"/>
          <w:rtl/>
        </w:rPr>
        <w:t>, החלשתו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והכפפתו לשר בממשלה</w:t>
      </w:r>
      <w:r w:rsidR="007D0C8D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:rsidR="00DB7F3D" w:rsidRDefault="002C05B9" w:rsidP="005F1FD4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לחילופין, </w:t>
      </w:r>
      <w:r w:rsidR="00BB0EDC">
        <w:rPr>
          <w:rFonts w:asciiTheme="majorBidi" w:hAnsiTheme="majorBidi" w:cstheme="majorBidi" w:hint="cs"/>
          <w:sz w:val="24"/>
          <w:szCs w:val="24"/>
          <w:rtl/>
        </w:rPr>
        <w:t xml:space="preserve">ניתן </w:t>
      </w:r>
      <w:r w:rsidR="006B54EA">
        <w:rPr>
          <w:rFonts w:asciiTheme="majorBidi" w:hAnsiTheme="majorBidi" w:cstheme="majorBidi" w:hint="cs"/>
          <w:sz w:val="24"/>
          <w:szCs w:val="24"/>
          <w:rtl/>
        </w:rPr>
        <w:t xml:space="preserve">יהיה </w:t>
      </w:r>
      <w:r w:rsidR="00BB0EDC">
        <w:rPr>
          <w:rFonts w:asciiTheme="majorBidi" w:hAnsiTheme="majorBidi" w:cstheme="majorBidi" w:hint="cs"/>
          <w:sz w:val="24"/>
          <w:szCs w:val="24"/>
          <w:rtl/>
        </w:rPr>
        <w:t>לטעון כי החוק</w:t>
      </w:r>
      <w:r w:rsidR="00F77F0D">
        <w:rPr>
          <w:rFonts w:asciiTheme="majorBidi" w:hAnsiTheme="majorBidi" w:cstheme="majorBidi" w:hint="cs"/>
          <w:sz w:val="24"/>
          <w:szCs w:val="24"/>
          <w:rtl/>
        </w:rPr>
        <w:t xml:space="preserve"> רק</w:t>
      </w:r>
      <w:r w:rsidR="00BB0E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E596F" w:rsidRPr="00425616">
        <w:rPr>
          <w:rFonts w:asciiTheme="majorBidi" w:hAnsiTheme="majorBidi" w:cstheme="majorBidi" w:hint="cs"/>
          <w:sz w:val="24"/>
          <w:szCs w:val="24"/>
          <w:u w:val="single"/>
          <w:rtl/>
        </w:rPr>
        <w:t>פוגע</w:t>
      </w:r>
      <w:r w:rsidR="001E596F">
        <w:rPr>
          <w:rFonts w:asciiTheme="majorBidi" w:hAnsiTheme="majorBidi" w:cstheme="majorBidi" w:hint="cs"/>
          <w:sz w:val="24"/>
          <w:szCs w:val="24"/>
          <w:rtl/>
        </w:rPr>
        <w:t xml:space="preserve"> ב</w:t>
      </w:r>
      <w:r w:rsidR="00C57B22">
        <w:rPr>
          <w:rFonts w:asciiTheme="majorBidi" w:hAnsiTheme="majorBidi" w:cstheme="majorBidi" w:hint="cs"/>
          <w:sz w:val="24"/>
          <w:szCs w:val="24"/>
          <w:rtl/>
        </w:rPr>
        <w:t xml:space="preserve">חוק </w:t>
      </w:r>
      <w:r w:rsidR="001E596F">
        <w:rPr>
          <w:rFonts w:asciiTheme="majorBidi" w:hAnsiTheme="majorBidi" w:cstheme="majorBidi" w:hint="cs"/>
          <w:sz w:val="24"/>
          <w:szCs w:val="24"/>
          <w:rtl/>
        </w:rPr>
        <w:t>ה</w:t>
      </w:r>
      <w:r w:rsidR="00C57B22">
        <w:rPr>
          <w:rFonts w:asciiTheme="majorBidi" w:hAnsiTheme="majorBidi" w:cstheme="majorBidi" w:hint="cs"/>
          <w:sz w:val="24"/>
          <w:szCs w:val="24"/>
          <w:rtl/>
        </w:rPr>
        <w:t xml:space="preserve">יסוד כיוון שהוא מהווה שינוי פרוצדוראלי </w:t>
      </w:r>
      <w:r w:rsidR="00885A9F">
        <w:rPr>
          <w:rFonts w:asciiTheme="majorBidi" w:hAnsiTheme="majorBidi" w:cstheme="majorBidi" w:hint="cs"/>
          <w:sz w:val="24"/>
          <w:szCs w:val="24"/>
          <w:rtl/>
        </w:rPr>
        <w:t xml:space="preserve">בלבד </w:t>
      </w:r>
      <w:r w:rsidR="00F77F0D">
        <w:rPr>
          <w:rFonts w:asciiTheme="majorBidi" w:hAnsiTheme="majorBidi" w:cstheme="majorBidi" w:hint="cs"/>
          <w:sz w:val="24"/>
          <w:szCs w:val="24"/>
          <w:rtl/>
        </w:rPr>
        <w:t xml:space="preserve">של </w:t>
      </w:r>
      <w:r w:rsidR="00C57B22">
        <w:rPr>
          <w:rFonts w:asciiTheme="majorBidi" w:hAnsiTheme="majorBidi" w:cstheme="majorBidi" w:hint="cs"/>
          <w:sz w:val="24"/>
          <w:szCs w:val="24"/>
          <w:rtl/>
        </w:rPr>
        <w:t>אופן אישור התקציב.</w:t>
      </w:r>
      <w:r w:rsidR="00F77F0D">
        <w:rPr>
          <w:rFonts w:asciiTheme="majorBidi" w:hAnsiTheme="majorBidi" w:cstheme="majorBidi" w:hint="cs"/>
          <w:sz w:val="24"/>
          <w:szCs w:val="24"/>
          <w:rtl/>
        </w:rPr>
        <w:t xml:space="preserve"> פגיעה זו היא </w:t>
      </w:r>
      <w:r w:rsidR="00EB2F1A">
        <w:rPr>
          <w:rFonts w:asciiTheme="majorBidi" w:hAnsiTheme="majorBidi" w:cstheme="majorBidi" w:hint="cs"/>
          <w:sz w:val="24"/>
          <w:szCs w:val="24"/>
          <w:rtl/>
        </w:rPr>
        <w:t>לתכלית ראויה</w:t>
      </w:r>
      <w:r w:rsidR="00E223C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B2F1A">
        <w:rPr>
          <w:rFonts w:asciiTheme="majorBidi" w:hAnsiTheme="majorBidi" w:cstheme="majorBidi" w:hint="cs"/>
          <w:sz w:val="24"/>
          <w:szCs w:val="24"/>
          <w:rtl/>
        </w:rPr>
        <w:t xml:space="preserve">ומידתית </w:t>
      </w:r>
      <w:r w:rsidR="00E223C9">
        <w:rPr>
          <w:rFonts w:asciiTheme="majorBidi" w:hAnsiTheme="majorBidi" w:cstheme="majorBidi" w:hint="cs"/>
          <w:sz w:val="24"/>
          <w:szCs w:val="24"/>
          <w:rtl/>
        </w:rPr>
        <w:t>(</w:t>
      </w:r>
      <w:r w:rsidR="00E223C9" w:rsidRPr="00817AAB">
        <w:rPr>
          <w:rFonts w:asciiTheme="majorBidi" w:hAnsiTheme="majorBidi" w:cstheme="majorBidi"/>
          <w:color w:val="000000"/>
          <w:sz w:val="24"/>
          <w:szCs w:val="24"/>
          <w:rtl/>
        </w:rPr>
        <w:t>"</w:t>
      </w:r>
      <w:r w:rsidR="00E223C9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למניעת </w:t>
      </w:r>
      <w:r w:rsidR="00E223C9" w:rsidRPr="00817AAB">
        <w:rPr>
          <w:rFonts w:asciiTheme="majorBidi" w:hAnsiTheme="majorBidi" w:cstheme="majorBidi"/>
          <w:color w:val="000000"/>
          <w:sz w:val="24"/>
          <w:szCs w:val="24"/>
          <w:rtl/>
        </w:rPr>
        <w:t>עושק הקופה הציבורית ע"י מבקר המדינה</w:t>
      </w:r>
      <w:r w:rsidR="00E223C9">
        <w:rPr>
          <w:rFonts w:asciiTheme="majorBidi" w:hAnsiTheme="majorBidi" w:cstheme="majorBidi" w:hint="cs"/>
          <w:sz w:val="24"/>
          <w:szCs w:val="24"/>
          <w:rtl/>
        </w:rPr>
        <w:t>")</w:t>
      </w:r>
      <w:r w:rsidR="009A0F49">
        <w:rPr>
          <w:rFonts w:asciiTheme="majorBidi" w:hAnsiTheme="majorBidi" w:cstheme="majorBidi" w:hint="cs"/>
          <w:sz w:val="24"/>
          <w:szCs w:val="24"/>
          <w:rtl/>
        </w:rPr>
        <w:t xml:space="preserve"> על כן יש לאשרה.</w:t>
      </w:r>
      <w:r w:rsidR="00C57B2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250A8">
        <w:rPr>
          <w:rFonts w:asciiTheme="majorBidi" w:hAnsiTheme="majorBidi" w:cstheme="majorBidi" w:hint="cs"/>
          <w:sz w:val="24"/>
          <w:szCs w:val="24"/>
          <w:rtl/>
        </w:rPr>
        <w:t>טיעון זה יבוטל</w:t>
      </w:r>
      <w:r w:rsidR="00DB7F3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250A8">
        <w:rPr>
          <w:rFonts w:asciiTheme="majorBidi" w:hAnsiTheme="majorBidi" w:cstheme="majorBidi" w:hint="cs"/>
          <w:sz w:val="24"/>
          <w:szCs w:val="24"/>
          <w:rtl/>
        </w:rPr>
        <w:t>כיוון</w:t>
      </w:r>
      <w:r w:rsidR="00DB7F3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B0C79">
        <w:rPr>
          <w:rFonts w:asciiTheme="majorBidi" w:hAnsiTheme="majorBidi" w:cstheme="majorBidi" w:hint="cs"/>
          <w:sz w:val="24"/>
          <w:szCs w:val="24"/>
          <w:rtl/>
        </w:rPr>
        <w:t>ש</w:t>
      </w:r>
      <w:r w:rsidR="00DB7F3D">
        <w:rPr>
          <w:rFonts w:asciiTheme="majorBidi" w:hAnsiTheme="majorBidi" w:cstheme="majorBidi" w:hint="cs"/>
          <w:sz w:val="24"/>
          <w:szCs w:val="24"/>
          <w:rtl/>
        </w:rPr>
        <w:t>בחוק יסוד מבקר המדינה אין פסקת הגבלה ומכאן שגם פגיעה בחוק בלתי אפשרית</w:t>
      </w:r>
      <w:r w:rsidR="00DB7F3D" w:rsidRPr="00375555">
        <w:rPr>
          <w:rFonts w:asciiTheme="majorBidi" w:hAnsiTheme="majorBidi" w:cstheme="majorBidi" w:hint="cs"/>
          <w:sz w:val="24"/>
          <w:szCs w:val="24"/>
          <w:rtl/>
        </w:rPr>
        <w:t>.</w:t>
      </w:r>
      <w:r w:rsidR="00EB0C79">
        <w:rPr>
          <w:rFonts w:asciiTheme="majorBidi" w:hAnsiTheme="majorBidi" w:cstheme="majorBidi" w:hint="cs"/>
          <w:sz w:val="24"/>
          <w:szCs w:val="24"/>
          <w:rtl/>
        </w:rPr>
        <w:t xml:space="preserve"> אציין כי בשנת 2003 </w:t>
      </w:r>
      <w:r w:rsidR="005423C2">
        <w:rPr>
          <w:rFonts w:asciiTheme="majorBidi" w:hAnsiTheme="majorBidi" w:cstheme="majorBidi" w:hint="cs"/>
          <w:sz w:val="24"/>
          <w:szCs w:val="24"/>
          <w:rtl/>
        </w:rPr>
        <w:t xml:space="preserve">נקבע </w:t>
      </w:r>
      <w:r w:rsidR="00EB0C79">
        <w:rPr>
          <w:rFonts w:asciiTheme="majorBidi" w:hAnsiTheme="majorBidi" w:cstheme="majorBidi" w:hint="cs"/>
          <w:sz w:val="24"/>
          <w:szCs w:val="24"/>
          <w:rtl/>
        </w:rPr>
        <w:t xml:space="preserve">בבג"צ מופז כי חוקי היסוד </w:t>
      </w:r>
      <w:r w:rsidR="005423C2">
        <w:rPr>
          <w:rFonts w:asciiTheme="majorBidi" w:hAnsiTheme="majorBidi" w:cstheme="majorBidi" w:hint="cs"/>
          <w:sz w:val="24"/>
          <w:szCs w:val="24"/>
          <w:rtl/>
        </w:rPr>
        <w:t>ש</w:t>
      </w:r>
      <w:r w:rsidR="00EB0C79">
        <w:rPr>
          <w:rFonts w:asciiTheme="majorBidi" w:hAnsiTheme="majorBidi" w:cstheme="majorBidi" w:hint="cs"/>
          <w:sz w:val="24"/>
          <w:szCs w:val="24"/>
          <w:rtl/>
        </w:rPr>
        <w:t>אין להם פסקת הגבלה, תחול עליהם פסקת הגבלה</w:t>
      </w:r>
      <w:r w:rsidR="00844911">
        <w:rPr>
          <w:rFonts w:asciiTheme="majorBidi" w:hAnsiTheme="majorBidi" w:cstheme="majorBidi" w:hint="cs"/>
          <w:sz w:val="24"/>
          <w:szCs w:val="24"/>
          <w:rtl/>
        </w:rPr>
        <w:t xml:space="preserve"> של סעיף 8 בחוק יסוד כבוד האדם </w:t>
      </w:r>
      <w:proofErr w:type="spellStart"/>
      <w:r w:rsidR="00844911">
        <w:rPr>
          <w:rFonts w:asciiTheme="majorBidi" w:hAnsiTheme="majorBidi" w:cstheme="majorBidi" w:hint="cs"/>
          <w:sz w:val="24"/>
          <w:szCs w:val="24"/>
          <w:rtl/>
        </w:rPr>
        <w:t>וחרותו</w:t>
      </w:r>
      <w:proofErr w:type="spellEnd"/>
      <w:r w:rsidR="000A04C2">
        <w:rPr>
          <w:rFonts w:asciiTheme="majorBidi" w:hAnsiTheme="majorBidi" w:cstheme="majorBidi" w:hint="cs"/>
          <w:sz w:val="24"/>
          <w:szCs w:val="24"/>
          <w:rtl/>
        </w:rPr>
        <w:t xml:space="preserve"> לצורך פרשנות משפטית</w:t>
      </w:r>
      <w:r w:rsidR="00C64062">
        <w:rPr>
          <w:rStyle w:val="a6"/>
          <w:rFonts w:asciiTheme="majorBidi" w:hAnsiTheme="majorBidi" w:cstheme="majorBidi"/>
          <w:sz w:val="24"/>
          <w:szCs w:val="24"/>
          <w:rtl/>
        </w:rPr>
        <w:footnoteReference w:id="19"/>
      </w:r>
      <w:r w:rsidR="00EB0C79">
        <w:rPr>
          <w:rFonts w:asciiTheme="majorBidi" w:hAnsiTheme="majorBidi" w:cstheme="majorBidi" w:hint="cs"/>
          <w:sz w:val="24"/>
          <w:szCs w:val="24"/>
          <w:rtl/>
        </w:rPr>
        <w:t>. מכאן, שיתכן ובשנת 2003 ניתן יהיה להעביר את החוק החדש כבפגיעה בלבד, תוך כדי שימוש בפסקת ההגבלה.</w:t>
      </w:r>
    </w:p>
    <w:p w:rsidR="00404007" w:rsidRDefault="005E71C8" w:rsidP="005F1FD4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כן, </w:t>
      </w:r>
      <w:r w:rsidR="00CD0293">
        <w:rPr>
          <w:rFonts w:asciiTheme="majorBidi" w:hAnsiTheme="majorBidi" w:cstheme="majorBidi" w:hint="cs"/>
          <w:sz w:val="24"/>
          <w:szCs w:val="24"/>
          <w:rtl/>
        </w:rPr>
        <w:t>בעקבות פרשת מזרחי</w:t>
      </w:r>
      <w:r w:rsidR="00F11ECA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404007">
        <w:rPr>
          <w:rFonts w:asciiTheme="majorBidi" w:hAnsiTheme="majorBidi" w:cstheme="majorBidi" w:hint="cs"/>
          <w:sz w:val="24"/>
          <w:szCs w:val="24"/>
          <w:rtl/>
        </w:rPr>
        <w:t xml:space="preserve">נמליץ לח"כ בן טובים </w:t>
      </w:r>
      <w:r w:rsidR="005B1054">
        <w:rPr>
          <w:rFonts w:asciiTheme="majorBidi" w:hAnsiTheme="majorBidi" w:cstheme="majorBidi" w:hint="cs"/>
          <w:sz w:val="24"/>
          <w:szCs w:val="24"/>
          <w:rtl/>
        </w:rPr>
        <w:t xml:space="preserve">לשקול </w:t>
      </w:r>
      <w:r w:rsidR="00404007">
        <w:rPr>
          <w:rFonts w:asciiTheme="majorBidi" w:hAnsiTheme="majorBidi" w:cstheme="majorBidi" w:hint="cs"/>
          <w:sz w:val="24"/>
          <w:szCs w:val="24"/>
          <w:rtl/>
        </w:rPr>
        <w:t>את אחד מה</w:t>
      </w:r>
      <w:r w:rsidR="005F1FD4">
        <w:rPr>
          <w:rFonts w:asciiTheme="majorBidi" w:hAnsiTheme="majorBidi" w:cstheme="majorBidi" w:hint="cs"/>
          <w:sz w:val="24"/>
          <w:szCs w:val="24"/>
          <w:rtl/>
        </w:rPr>
        <w:t>מהל</w:t>
      </w:r>
      <w:r w:rsidR="00404007">
        <w:rPr>
          <w:rFonts w:asciiTheme="majorBidi" w:hAnsiTheme="majorBidi" w:cstheme="majorBidi" w:hint="cs"/>
          <w:sz w:val="24"/>
          <w:szCs w:val="24"/>
          <w:rtl/>
        </w:rPr>
        <w:t>כים הבאים:</w:t>
      </w:r>
    </w:p>
    <w:p w:rsidR="00404007" w:rsidRDefault="00404007" w:rsidP="00150EF8">
      <w:pPr>
        <w:pStyle w:val="a3"/>
        <w:numPr>
          <w:ilvl w:val="0"/>
          <w:numId w:val="3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להניע את הצעת החוק כחוק יסוד. ככזה הוא נמצא באותו מעמד נורמטיבי של חוק יסוד מבקר המדינה </w:t>
      </w:r>
      <w:r w:rsidR="00150EF8">
        <w:rPr>
          <w:rFonts w:asciiTheme="majorBidi" w:hAnsiTheme="majorBidi" w:cstheme="majorBidi" w:hint="cs"/>
          <w:sz w:val="24"/>
          <w:szCs w:val="24"/>
          <w:rtl/>
        </w:rPr>
        <w:t>והאחרון יקבע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404007" w:rsidRDefault="00404007" w:rsidP="007E5EDE">
      <w:pPr>
        <w:pStyle w:val="a3"/>
        <w:numPr>
          <w:ilvl w:val="0"/>
          <w:numId w:val="3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להניע מהלך תיקון לחוק יסוד מבקר המדינה שישנה את הסעיפים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הרלוונטים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sectPr w:rsidR="00404007" w:rsidSect="00776CFB">
      <w:pgSz w:w="11906" w:h="16838"/>
      <w:pgMar w:top="1440" w:right="1274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DDD" w:rsidRDefault="00167DDD" w:rsidP="00817AAB">
      <w:pPr>
        <w:spacing w:line="240" w:lineRule="auto"/>
      </w:pPr>
      <w:r>
        <w:separator/>
      </w:r>
    </w:p>
  </w:endnote>
  <w:endnote w:type="continuationSeparator" w:id="0">
    <w:p w:rsidR="00167DDD" w:rsidRDefault="00167DDD" w:rsidP="00817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DDD" w:rsidRDefault="00167DDD" w:rsidP="00817AAB">
      <w:pPr>
        <w:spacing w:line="240" w:lineRule="auto"/>
      </w:pPr>
      <w:r>
        <w:separator/>
      </w:r>
    </w:p>
  </w:footnote>
  <w:footnote w:type="continuationSeparator" w:id="0">
    <w:p w:rsidR="00167DDD" w:rsidRDefault="00167DDD" w:rsidP="00817AAB">
      <w:pPr>
        <w:spacing w:line="240" w:lineRule="auto"/>
      </w:pPr>
      <w:r>
        <w:continuationSeparator/>
      </w:r>
    </w:p>
  </w:footnote>
  <w:footnote w:id="1">
    <w:p w:rsidR="007253ED" w:rsidRPr="00BB002E" w:rsidRDefault="007253ED" w:rsidP="00AB3CC5">
      <w:pPr>
        <w:pStyle w:val="a4"/>
        <w:rPr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98/69 ברגמן, </w:t>
      </w:r>
      <w:r w:rsidR="00BD3C4B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ע"מ 696 </w:t>
      </w:r>
      <w:proofErr w:type="spellStart"/>
      <w:r w:rsidR="00BD3C4B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 w:rsidR="00BD3C4B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.</w:t>
      </w:r>
    </w:p>
  </w:footnote>
  <w:footnote w:id="2">
    <w:p w:rsidR="0004731D" w:rsidRPr="00BB002E" w:rsidRDefault="0004731D" w:rsidP="0004731D">
      <w:pPr>
        <w:pStyle w:val="a4"/>
        <w:rPr>
          <w:rFonts w:asciiTheme="majorBidi" w:hAnsiTheme="majorBidi" w:cstheme="majorBidi"/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ר' משפטים כ"ח תשנ"ז 362, </w:t>
      </w:r>
      <w:proofErr w:type="spellStart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קרצמר</w:t>
      </w:r>
      <w:proofErr w:type="spellEnd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, מברגן וקל העם עד פרשת מזרחי</w:t>
      </w:r>
    </w:p>
  </w:footnote>
  <w:footnote w:id="3">
    <w:p w:rsidR="00E42BF1" w:rsidRPr="00BB002E" w:rsidRDefault="00E42BF1" w:rsidP="00E833B8">
      <w:pPr>
        <w:pStyle w:val="a4"/>
        <w:rPr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</w:t>
      </w:r>
      <w:r w:rsidRPr="00BB002E">
        <w:rPr>
          <w:rFonts w:asciiTheme="majorBidi" w:hAnsiTheme="majorBidi" w:cstheme="majorBidi"/>
          <w:b/>
          <w:bCs/>
          <w:sz w:val="16"/>
          <w:szCs w:val="16"/>
          <w:rtl/>
        </w:rPr>
        <w:t>148/73</w:t>
      </w:r>
      <w:r w:rsidR="004D7D1E" w:rsidRPr="00BB002E">
        <w:rPr>
          <w:rFonts w:hint="cs"/>
          <w:b/>
          <w:bCs/>
          <w:sz w:val="16"/>
          <w:szCs w:val="16"/>
          <w:rtl/>
        </w:rPr>
        <w:t xml:space="preserve"> </w:t>
      </w:r>
      <w:r w:rsidR="004D7D1E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קניאל</w:t>
      </w:r>
      <w:r w:rsidR="00BD3C4B" w:rsidRPr="00BB002E">
        <w:rPr>
          <w:rFonts w:hint="cs"/>
          <w:b/>
          <w:bCs/>
          <w:sz w:val="16"/>
          <w:szCs w:val="16"/>
          <w:rtl/>
        </w:rPr>
        <w:t>.</w:t>
      </w:r>
    </w:p>
  </w:footnote>
  <w:footnote w:id="4">
    <w:p w:rsidR="004336E9" w:rsidRPr="00BB002E" w:rsidRDefault="004336E9">
      <w:pPr>
        <w:pStyle w:val="a4"/>
        <w:rPr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</w:t>
      </w:r>
      <w:r w:rsidRPr="00BB002E">
        <w:rPr>
          <w:rFonts w:asciiTheme="majorBidi" w:hAnsiTheme="majorBidi" w:cstheme="majorBidi"/>
          <w:b/>
          <w:bCs/>
          <w:sz w:val="16"/>
          <w:szCs w:val="16"/>
          <w:rtl/>
        </w:rPr>
        <w:t>107/73</w:t>
      </w:r>
      <w:r w:rsidR="004D7D1E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רגב</w:t>
      </w:r>
      <w:r w:rsidR="001C4376" w:rsidRPr="00BB002E">
        <w:rPr>
          <w:rFonts w:hint="cs"/>
          <w:b/>
          <w:bCs/>
          <w:sz w:val="16"/>
          <w:szCs w:val="16"/>
          <w:rtl/>
        </w:rPr>
        <w:t>.</w:t>
      </w:r>
    </w:p>
  </w:footnote>
  <w:footnote w:id="5">
    <w:p w:rsidR="00D52B0B" w:rsidRPr="00BB002E" w:rsidRDefault="00D52B0B" w:rsidP="000F3DCB">
      <w:pPr>
        <w:pStyle w:val="a4"/>
        <w:rPr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rFonts w:asciiTheme="majorBidi" w:hAnsiTheme="majorBidi" w:cstheme="majorBidi"/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בג"צ 6</w:t>
      </w:r>
      <w:r w:rsidR="000F3DCB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0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/77</w:t>
      </w:r>
      <w:r w:rsidR="004D7D1E" w:rsidRPr="00BB002E">
        <w:rPr>
          <w:rFonts w:hint="cs"/>
          <w:b/>
          <w:bCs/>
          <w:sz w:val="16"/>
          <w:szCs w:val="16"/>
          <w:rtl/>
        </w:rPr>
        <w:t xml:space="preserve"> </w:t>
      </w:r>
      <w:proofErr w:type="spellStart"/>
      <w:r w:rsidR="004D7D1E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רסלר</w:t>
      </w:r>
      <w:proofErr w:type="spellEnd"/>
      <w:r w:rsidR="001C4376" w:rsidRPr="00BB002E">
        <w:rPr>
          <w:rFonts w:hint="cs"/>
          <w:b/>
          <w:bCs/>
          <w:sz w:val="16"/>
          <w:szCs w:val="16"/>
          <w:rtl/>
        </w:rPr>
        <w:t>.</w:t>
      </w:r>
    </w:p>
  </w:footnote>
  <w:footnote w:id="6">
    <w:p w:rsidR="00FA4EA6" w:rsidRPr="00BB002E" w:rsidRDefault="00FA4EA6">
      <w:pPr>
        <w:pStyle w:val="a4"/>
        <w:rPr>
          <w:b/>
          <w:bCs/>
          <w:sz w:val="16"/>
          <w:szCs w:val="16"/>
          <w:rtl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</w:t>
      </w:r>
      <w:r w:rsidRPr="00BB002E">
        <w:rPr>
          <w:rFonts w:asciiTheme="majorBidi" w:hAnsiTheme="majorBidi" w:cstheme="majorBidi"/>
          <w:b/>
          <w:bCs/>
          <w:sz w:val="16"/>
          <w:szCs w:val="16"/>
          <w:rtl/>
        </w:rPr>
        <w:t>142/89</w:t>
      </w:r>
      <w:r w:rsidR="004D7D1E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לאור</w:t>
      </w:r>
      <w:r w:rsidR="001C4376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.</w:t>
      </w:r>
    </w:p>
  </w:footnote>
  <w:footnote w:id="7">
    <w:p w:rsidR="004D7D1E" w:rsidRPr="00BB002E" w:rsidRDefault="004D7D1E" w:rsidP="00BD3C4B">
      <w:pPr>
        <w:pStyle w:val="a4"/>
        <w:rPr>
          <w:b/>
          <w:bCs/>
          <w:sz w:val="16"/>
          <w:szCs w:val="16"/>
          <w:rtl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98/69 ברגמן, </w:t>
      </w:r>
      <w:r w:rsidR="00BD3C4B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ע"מ 700 </w:t>
      </w:r>
      <w:proofErr w:type="spellStart"/>
      <w:r w:rsidR="00BD3C4B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 w:rsidR="00BD3C4B"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.</w:t>
      </w:r>
    </w:p>
  </w:footnote>
  <w:footnote w:id="8">
    <w:p w:rsidR="000F3DCB" w:rsidRPr="00BB002E" w:rsidRDefault="000F3DCB">
      <w:pPr>
        <w:pStyle w:val="a4"/>
        <w:rPr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148/73 קניאל, ע"מ 798 </w:t>
      </w:r>
      <w:proofErr w:type="spellStart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, </w:t>
      </w:r>
      <w:r w:rsidRPr="00BB002E">
        <w:rPr>
          <w:rFonts w:hint="cs"/>
          <w:b/>
          <w:bCs/>
          <w:sz w:val="16"/>
          <w:szCs w:val="16"/>
          <w:rtl/>
        </w:rPr>
        <w:t>.</w:t>
      </w:r>
    </w:p>
  </w:footnote>
  <w:footnote w:id="9">
    <w:p w:rsidR="000F3DCB" w:rsidRPr="00BB002E" w:rsidRDefault="000F3DCB">
      <w:pPr>
        <w:pStyle w:val="a4"/>
        <w:rPr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60/77 </w:t>
      </w:r>
      <w:proofErr w:type="spellStart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רסלר</w:t>
      </w:r>
      <w:proofErr w:type="spellEnd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, ע"מ 560 </w:t>
      </w:r>
      <w:proofErr w:type="spellStart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פ"די</w:t>
      </w:r>
      <w:proofErr w:type="spellEnd"/>
      <w:r w:rsidRPr="00BB002E">
        <w:rPr>
          <w:rFonts w:hint="cs"/>
          <w:b/>
          <w:bCs/>
          <w:sz w:val="16"/>
          <w:szCs w:val="16"/>
          <w:rtl/>
        </w:rPr>
        <w:t>.</w:t>
      </w:r>
    </w:p>
  </w:footnote>
  <w:footnote w:id="10">
    <w:p w:rsidR="007E7C5C" w:rsidRPr="00BB002E" w:rsidRDefault="007E7C5C" w:rsidP="007E7C5C">
      <w:pPr>
        <w:pStyle w:val="a4"/>
        <w:rPr>
          <w:b/>
          <w:bCs/>
          <w:sz w:val="16"/>
          <w:szCs w:val="16"/>
        </w:rPr>
      </w:pPr>
      <w:r w:rsidRPr="00BB002E">
        <w:rPr>
          <w:rStyle w:val="a6"/>
          <w:b/>
          <w:bCs/>
          <w:sz w:val="16"/>
          <w:szCs w:val="16"/>
        </w:rPr>
        <w:footnoteRef/>
      </w:r>
      <w:r w:rsidRPr="00BB002E">
        <w:rPr>
          <w:b/>
          <w:bCs/>
          <w:sz w:val="16"/>
          <w:szCs w:val="16"/>
          <w:rtl/>
        </w:rPr>
        <w:t xml:space="preserve"> </w:t>
      </w:r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108/73 נגב, ע"מ 642 </w:t>
      </w:r>
      <w:proofErr w:type="spellStart"/>
      <w:r w:rsidRPr="00BB002E">
        <w:rPr>
          <w:rFonts w:asciiTheme="majorBidi" w:hAnsiTheme="majorBidi" w:cstheme="majorBidi" w:hint="cs"/>
          <w:b/>
          <w:bCs/>
          <w:sz w:val="16"/>
          <w:szCs w:val="16"/>
          <w:rtl/>
        </w:rPr>
        <w:t>פ"די</w:t>
      </w:r>
      <w:proofErr w:type="spellEnd"/>
      <w:r w:rsidRPr="00BB002E">
        <w:rPr>
          <w:rFonts w:hint="cs"/>
          <w:b/>
          <w:bCs/>
          <w:sz w:val="16"/>
          <w:szCs w:val="16"/>
          <w:rtl/>
        </w:rPr>
        <w:t>.</w:t>
      </w:r>
    </w:p>
  </w:footnote>
  <w:footnote w:id="11">
    <w:p w:rsidR="005F2FFB" w:rsidRDefault="005F2FFB" w:rsidP="00CC793E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>בג"צ 142/89,</w:t>
      </w:r>
      <w:r w:rsidR="001D120C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לאור,</w:t>
      </w:r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 xml:space="preserve"> ע"מ 55</w:t>
      </w:r>
      <w:r w:rsidR="00CC793E">
        <w:rPr>
          <w:rFonts w:asciiTheme="majorBidi" w:hAnsiTheme="majorBidi" w:cstheme="majorBidi" w:hint="cs"/>
          <w:b/>
          <w:bCs/>
          <w:sz w:val="16"/>
          <w:szCs w:val="16"/>
          <w:rtl/>
        </w:rPr>
        <w:t>4</w:t>
      </w:r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 xml:space="preserve"> </w:t>
      </w:r>
      <w:proofErr w:type="spellStart"/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>פד"י</w:t>
      </w:r>
      <w:proofErr w:type="spellEnd"/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 xml:space="preserve">, </w:t>
      </w:r>
      <w:r w:rsidR="00CC793E">
        <w:rPr>
          <w:rFonts w:asciiTheme="majorBidi" w:hAnsiTheme="majorBidi" w:cstheme="majorBidi" w:hint="cs"/>
          <w:b/>
          <w:bCs/>
          <w:sz w:val="16"/>
          <w:szCs w:val="16"/>
          <w:rtl/>
        </w:rPr>
        <w:t>פסקה 30 לפסד ברק</w:t>
      </w:r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>.</w:t>
      </w:r>
    </w:p>
  </w:footnote>
  <w:footnote w:id="12">
    <w:p w:rsidR="00CC793E" w:rsidRDefault="00CC793E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>בג"צ 142/89,</w:t>
      </w:r>
      <w:r w:rsidR="00E45B5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לאור,</w:t>
      </w:r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 xml:space="preserve"> ע"מ 555 </w:t>
      </w:r>
      <w:proofErr w:type="spellStart"/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>פד"י</w:t>
      </w:r>
      <w:proofErr w:type="spellEnd"/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 xml:space="preserve">, פסקה </w:t>
      </w:r>
      <w:r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</w:t>
      </w:r>
      <w:r w:rsidRPr="005F2FFB">
        <w:rPr>
          <w:rFonts w:asciiTheme="majorBidi" w:hAnsiTheme="majorBidi" w:cstheme="majorBidi"/>
          <w:b/>
          <w:bCs/>
          <w:sz w:val="16"/>
          <w:szCs w:val="16"/>
          <w:rtl/>
        </w:rPr>
        <w:t>2</w:t>
      </w:r>
      <w:r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לפסד אלון.</w:t>
      </w:r>
    </w:p>
  </w:footnote>
  <w:footnote w:id="13">
    <w:p w:rsidR="00E34D70" w:rsidRDefault="00E34D70" w:rsidP="00B900A4">
      <w:pPr>
        <w:pStyle w:val="a4"/>
      </w:pPr>
      <w:r>
        <w:rPr>
          <w:rStyle w:val="a6"/>
        </w:rPr>
        <w:footnoteRef/>
      </w:r>
      <w:r>
        <w:rPr>
          <w:rtl/>
        </w:rPr>
        <w:t xml:space="preserve"> </w:t>
      </w:r>
      <w:r w:rsidR="002E0C10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1/49, </w:t>
      </w:r>
      <w:proofErr w:type="spellStart"/>
      <w:r w:rsidR="002E0C10">
        <w:rPr>
          <w:rFonts w:asciiTheme="majorBidi" w:hAnsiTheme="majorBidi" w:cstheme="majorBidi" w:hint="cs"/>
          <w:b/>
          <w:bCs/>
          <w:sz w:val="16"/>
          <w:szCs w:val="16"/>
          <w:rtl/>
        </w:rPr>
        <w:t>בג'רנו</w:t>
      </w:r>
      <w:proofErr w:type="spellEnd"/>
      <w:r w:rsidR="00E45B5E">
        <w:rPr>
          <w:rFonts w:asciiTheme="majorBidi" w:hAnsiTheme="majorBidi" w:cstheme="majorBidi" w:hint="cs"/>
          <w:b/>
          <w:bCs/>
          <w:sz w:val="16"/>
          <w:szCs w:val="16"/>
          <w:rtl/>
        </w:rPr>
        <w:t>,</w:t>
      </w:r>
      <w:r w:rsidR="002E0C10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ע"מ 82 </w:t>
      </w:r>
      <w:proofErr w:type="spellStart"/>
      <w:r w:rsidR="002E0C10">
        <w:rPr>
          <w:rFonts w:asciiTheme="majorBidi" w:hAnsiTheme="majorBidi" w:cstheme="majorBidi" w:hint="cs"/>
          <w:b/>
          <w:bCs/>
          <w:sz w:val="16"/>
          <w:szCs w:val="16"/>
          <w:rtl/>
        </w:rPr>
        <w:t>פד</w:t>
      </w:r>
      <w:r w:rsidR="00B900A4">
        <w:rPr>
          <w:rFonts w:asciiTheme="majorBidi" w:hAnsiTheme="majorBidi" w:cstheme="majorBidi" w:hint="cs"/>
          <w:b/>
          <w:bCs/>
          <w:sz w:val="16"/>
          <w:szCs w:val="16"/>
          <w:rtl/>
        </w:rPr>
        <w:t>"</w:t>
      </w:r>
      <w:r w:rsidR="002E0C10">
        <w:rPr>
          <w:rFonts w:asciiTheme="majorBidi" w:hAnsiTheme="majorBidi" w:cstheme="majorBidi" w:hint="cs"/>
          <w:b/>
          <w:bCs/>
          <w:sz w:val="16"/>
          <w:szCs w:val="16"/>
          <w:rtl/>
        </w:rPr>
        <w:t>י</w:t>
      </w:r>
      <w:proofErr w:type="spellEnd"/>
      <w:r w:rsidR="002E0C10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. פסקה 5-6 לפסד חשין. </w:t>
      </w:r>
      <w:r w:rsidRPr="005F2FFB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יש לחדד כי במקרה זה לא מדובר </w:t>
      </w:r>
      <w:r w:rsidRPr="00B603EC">
        <w:rPr>
          <w:rFonts w:asciiTheme="majorBidi" w:hAnsiTheme="majorBidi" w:cstheme="majorBidi" w:hint="cs"/>
          <w:b/>
          <w:bCs/>
          <w:sz w:val="16"/>
          <w:szCs w:val="16"/>
          <w:u w:val="single"/>
          <w:rtl/>
        </w:rPr>
        <w:t>בחוק</w:t>
      </w:r>
      <w:r w:rsidRPr="005F2FFB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הסותר עקרון של שיטה אלא </w:t>
      </w:r>
      <w:r w:rsidRPr="00B603EC">
        <w:rPr>
          <w:rFonts w:asciiTheme="majorBidi" w:hAnsiTheme="majorBidi" w:cstheme="majorBidi" w:hint="cs"/>
          <w:b/>
          <w:bCs/>
          <w:sz w:val="16"/>
          <w:szCs w:val="16"/>
          <w:u w:val="single"/>
          <w:rtl/>
        </w:rPr>
        <w:t>בהוראת שר</w:t>
      </w:r>
      <w:r w:rsidRPr="005F2FFB">
        <w:rPr>
          <w:rFonts w:asciiTheme="majorBidi" w:hAnsiTheme="majorBidi" w:cstheme="majorBidi" w:hint="cs"/>
          <w:b/>
          <w:bCs/>
          <w:sz w:val="16"/>
          <w:szCs w:val="16"/>
          <w:rtl/>
        </w:rPr>
        <w:t>.</w:t>
      </w:r>
      <w:r>
        <w:rPr>
          <w:rFonts w:hint="cs"/>
          <w:rtl/>
        </w:rPr>
        <w:t xml:space="preserve"> </w:t>
      </w:r>
    </w:p>
  </w:footnote>
  <w:footnote w:id="14">
    <w:p w:rsidR="00171623" w:rsidRPr="007A01C9" w:rsidRDefault="00171623" w:rsidP="002E6A41">
      <w:pPr>
        <w:pStyle w:val="a4"/>
        <w:rPr>
          <w:rFonts w:asciiTheme="majorBidi" w:hAnsiTheme="majorBidi" w:cstheme="majorBidi"/>
          <w:b/>
          <w:bCs/>
          <w:sz w:val="16"/>
          <w:szCs w:val="16"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7A01C9">
        <w:rPr>
          <w:rFonts w:asciiTheme="majorBidi" w:hAnsiTheme="majorBidi" w:cstheme="majorBidi" w:hint="cs"/>
          <w:b/>
          <w:bCs/>
          <w:sz w:val="16"/>
          <w:szCs w:val="16"/>
          <w:rtl/>
        </w:rPr>
        <w:t>בג"צ 243/62, אולפני הסרטה</w:t>
      </w:r>
      <w:r w:rsidR="00E45B5E">
        <w:rPr>
          <w:rFonts w:asciiTheme="majorBidi" w:hAnsiTheme="majorBidi" w:cstheme="majorBidi" w:hint="cs"/>
          <w:b/>
          <w:bCs/>
          <w:sz w:val="16"/>
          <w:szCs w:val="16"/>
          <w:rtl/>
        </w:rPr>
        <w:t>,</w:t>
      </w:r>
      <w:r w:rsidRPr="007A01C9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</w:t>
      </w:r>
      <w:r w:rsidR="00E45B5E" w:rsidRPr="007A01C9">
        <w:rPr>
          <w:rFonts w:asciiTheme="majorBidi" w:hAnsiTheme="majorBidi" w:cstheme="majorBidi" w:hint="cs"/>
          <w:b/>
          <w:bCs/>
          <w:sz w:val="16"/>
          <w:szCs w:val="16"/>
          <w:rtl/>
        </w:rPr>
        <w:t>ע"מ</w:t>
      </w:r>
      <w:r w:rsidR="00E45B5E">
        <w:rPr>
          <w:rFonts w:hint="cs"/>
          <w:rtl/>
        </w:rPr>
        <w:t xml:space="preserve"> </w:t>
      </w:r>
      <w:r w:rsidR="00E45B5E" w:rsidRPr="007A01C9">
        <w:rPr>
          <w:rFonts w:asciiTheme="majorBidi" w:hAnsiTheme="majorBidi" w:cstheme="majorBidi" w:hint="cs"/>
          <w:b/>
          <w:bCs/>
          <w:sz w:val="16"/>
          <w:szCs w:val="16"/>
          <w:rtl/>
        </w:rPr>
        <w:t>2415</w:t>
      </w:r>
      <w:r w:rsidR="00E45B5E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, </w:t>
      </w:r>
      <w:proofErr w:type="spellStart"/>
      <w:r w:rsidRPr="007A01C9"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 w:rsidR="00E45B5E">
        <w:rPr>
          <w:rFonts w:asciiTheme="majorBidi" w:hAnsiTheme="majorBidi" w:cstheme="majorBidi" w:hint="cs"/>
          <w:b/>
          <w:bCs/>
          <w:sz w:val="16"/>
          <w:szCs w:val="16"/>
          <w:rtl/>
        </w:rPr>
        <w:t>.</w:t>
      </w:r>
      <w:r w:rsidR="002E6A41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</w:t>
      </w:r>
      <w:r w:rsidR="00C04F8A">
        <w:rPr>
          <w:rFonts w:asciiTheme="majorBidi" w:hAnsiTheme="majorBidi" w:cstheme="majorBidi" w:hint="cs"/>
          <w:b/>
          <w:bCs/>
          <w:sz w:val="16"/>
          <w:szCs w:val="16"/>
          <w:rtl/>
        </w:rPr>
        <w:t>גם במקרה זה לא מדובר בחוק הסותר עקרון של שיטה אלא הוראה.</w:t>
      </w:r>
    </w:p>
  </w:footnote>
  <w:footnote w:id="15">
    <w:p w:rsidR="00B900A4" w:rsidRDefault="00B900A4">
      <w:pPr>
        <w:pStyle w:val="a4"/>
      </w:pPr>
      <w:r>
        <w:rPr>
          <w:rStyle w:val="a6"/>
        </w:rPr>
        <w:footnoteRef/>
      </w:r>
      <w:r>
        <w:rPr>
          <w:rtl/>
        </w:rPr>
        <w:t xml:space="preserve"> </w:t>
      </w:r>
      <w:r w:rsidRPr="00B900A4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</w:t>
      </w:r>
      <w:r w:rsidRPr="00B900A4">
        <w:rPr>
          <w:rFonts w:asciiTheme="majorBidi" w:hAnsiTheme="majorBidi" w:cstheme="majorBidi"/>
          <w:b/>
          <w:bCs/>
          <w:sz w:val="16"/>
          <w:szCs w:val="16"/>
          <w:rtl/>
        </w:rPr>
        <w:t>6821/93</w:t>
      </w:r>
      <w:r w:rsidRPr="00B900A4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, מזרחי, </w:t>
      </w:r>
      <w:proofErr w:type="spellStart"/>
      <w:r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, </w:t>
      </w:r>
      <w:r w:rsidRPr="00B900A4">
        <w:rPr>
          <w:rFonts w:asciiTheme="majorBidi" w:hAnsiTheme="majorBidi" w:cstheme="majorBidi" w:hint="cs"/>
          <w:b/>
          <w:bCs/>
          <w:sz w:val="16"/>
          <w:szCs w:val="16"/>
          <w:rtl/>
        </w:rPr>
        <w:t>פסקה 65 לפסד ברק.</w:t>
      </w:r>
    </w:p>
  </w:footnote>
  <w:footnote w:id="16">
    <w:p w:rsidR="00830308" w:rsidRPr="00830308" w:rsidRDefault="00830308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830308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6821/93, מזרחי, </w:t>
      </w:r>
      <w:proofErr w:type="spellStart"/>
      <w:r w:rsidRPr="00830308"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 w:rsidRPr="00830308">
        <w:rPr>
          <w:rFonts w:asciiTheme="majorBidi" w:hAnsiTheme="majorBidi" w:cstheme="majorBidi" w:hint="cs"/>
          <w:b/>
          <w:bCs/>
          <w:sz w:val="16"/>
          <w:szCs w:val="16"/>
          <w:rtl/>
        </w:rPr>
        <w:t>, פסקה 65 לפסד שמגר.</w:t>
      </w:r>
    </w:p>
  </w:footnote>
  <w:footnote w:id="17">
    <w:p w:rsidR="00C6542A" w:rsidRDefault="00C6542A" w:rsidP="00B900A4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="00B900A4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6821/93, מזרחי, </w:t>
      </w:r>
      <w:proofErr w:type="spellStart"/>
      <w:r w:rsidR="00B900A4">
        <w:rPr>
          <w:rFonts w:asciiTheme="majorBidi" w:hAnsiTheme="majorBidi" w:cstheme="majorBidi" w:hint="cs"/>
          <w:b/>
          <w:bCs/>
          <w:sz w:val="16"/>
          <w:szCs w:val="16"/>
          <w:rtl/>
        </w:rPr>
        <w:t>פ"די</w:t>
      </w:r>
      <w:proofErr w:type="spellEnd"/>
      <w:r w:rsidR="00B900A4">
        <w:rPr>
          <w:rFonts w:asciiTheme="majorBidi" w:hAnsiTheme="majorBidi" w:cstheme="majorBidi" w:hint="cs"/>
          <w:b/>
          <w:bCs/>
          <w:sz w:val="16"/>
          <w:szCs w:val="16"/>
          <w:rtl/>
        </w:rPr>
        <w:t>, פסקאות 127-128 לפסד חשין.</w:t>
      </w:r>
    </w:p>
  </w:footnote>
  <w:footnote w:id="18">
    <w:p w:rsidR="0053008A" w:rsidRDefault="0053008A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53008A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בג"צ 212/03, חרות, ע"מ 755 </w:t>
      </w:r>
      <w:proofErr w:type="spellStart"/>
      <w:r w:rsidRPr="0053008A"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 w:rsidRPr="0053008A">
        <w:rPr>
          <w:rFonts w:asciiTheme="majorBidi" w:hAnsiTheme="majorBidi" w:cstheme="majorBidi" w:hint="cs"/>
          <w:b/>
          <w:bCs/>
          <w:sz w:val="16"/>
          <w:szCs w:val="16"/>
          <w:rtl/>
        </w:rPr>
        <w:t>, פסקה 4 לפסד ברק.</w:t>
      </w:r>
    </w:p>
  </w:footnote>
  <w:footnote w:id="19">
    <w:p w:rsidR="00C64062" w:rsidRDefault="00C64062">
      <w:pPr>
        <w:pStyle w:val="a4"/>
      </w:pPr>
      <w:r>
        <w:rPr>
          <w:rStyle w:val="a6"/>
        </w:rPr>
        <w:footnoteRef/>
      </w:r>
      <w:r>
        <w:rPr>
          <w:rtl/>
        </w:rPr>
        <w:t xml:space="preserve"> </w:t>
      </w:r>
      <w:r w:rsidRPr="00C64062">
        <w:rPr>
          <w:rFonts w:asciiTheme="majorBidi" w:hAnsiTheme="majorBidi" w:cstheme="majorBidi" w:hint="cs"/>
          <w:b/>
          <w:bCs/>
          <w:sz w:val="16"/>
          <w:szCs w:val="16"/>
          <w:rtl/>
        </w:rPr>
        <w:t>בג"צ 92/03</w:t>
      </w:r>
      <w:r w:rsidR="00F50FD6" w:rsidRPr="00AD5A4A">
        <w:rPr>
          <w:rFonts w:asciiTheme="majorBidi" w:hAnsiTheme="majorBidi" w:cstheme="majorBidi" w:hint="cs"/>
          <w:b/>
          <w:bCs/>
          <w:sz w:val="16"/>
          <w:szCs w:val="16"/>
          <w:rtl/>
        </w:rPr>
        <w:t>,</w:t>
      </w:r>
      <w:r w:rsidR="00F50FD6">
        <w:rPr>
          <w:rFonts w:hint="cs"/>
          <w:rtl/>
        </w:rPr>
        <w:t xml:space="preserve"> </w:t>
      </w:r>
      <w:r w:rsidR="00F50FD6" w:rsidRPr="00F50FD6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מופז, ע"מ 811 </w:t>
      </w:r>
      <w:proofErr w:type="spellStart"/>
      <w:r w:rsidR="00F50FD6" w:rsidRPr="00F50FD6">
        <w:rPr>
          <w:rFonts w:asciiTheme="majorBidi" w:hAnsiTheme="majorBidi" w:cstheme="majorBidi" w:hint="cs"/>
          <w:b/>
          <w:bCs/>
          <w:sz w:val="16"/>
          <w:szCs w:val="16"/>
          <w:rtl/>
        </w:rPr>
        <w:t>פד"י</w:t>
      </w:r>
      <w:proofErr w:type="spellEnd"/>
      <w:r w:rsidR="00F50FD6" w:rsidRPr="00F50FD6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פסקה 17.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690"/>
    <w:multiLevelType w:val="hybridMultilevel"/>
    <w:tmpl w:val="8522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7F6"/>
    <w:multiLevelType w:val="hybridMultilevel"/>
    <w:tmpl w:val="CFC696AA"/>
    <w:lvl w:ilvl="0" w:tplc="41247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905C9"/>
    <w:multiLevelType w:val="hybridMultilevel"/>
    <w:tmpl w:val="6C42962C"/>
    <w:lvl w:ilvl="0" w:tplc="39EC8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923DD"/>
    <w:multiLevelType w:val="hybridMultilevel"/>
    <w:tmpl w:val="E252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E4817"/>
    <w:multiLevelType w:val="multilevel"/>
    <w:tmpl w:val="078832E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int="default"/>
      </w:r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int="default"/>
      </w:rPr>
    </w:lvl>
    <w:lvl w:ilvl="2">
      <w:start w:val="1"/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int="default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int="default"/>
      </w:rPr>
    </w:lvl>
    <w:lvl w:ilvl="4">
      <w:start w:val="1"/>
      <w:numFmt w:val="bullet"/>
      <w:lvlText w:val="o"/>
      <w:lvlJc w:val="right"/>
      <w:pPr>
        <w:tabs>
          <w:tab w:val="num" w:pos="3600"/>
        </w:tabs>
        <w:ind w:left="3600" w:hanging="360"/>
      </w:pPr>
      <w:rPr>
        <w:rFonts w:ascii="Courier New" w:hint="default"/>
      </w:rPr>
    </w:lvl>
    <w:lvl w:ilvl="5">
      <w:start w:val="1"/>
      <w:numFmt w:val="bullet"/>
      <w:lvlText w:val=""/>
      <w:lvlJc w:val="right"/>
      <w:pPr>
        <w:tabs>
          <w:tab w:val="num" w:pos="4320"/>
        </w:tabs>
        <w:ind w:left="4320" w:hanging="360"/>
      </w:pPr>
      <w:rPr>
        <w:rFonts w:ascii="Wingdings" w:hint="default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int="default"/>
      </w:rPr>
    </w:lvl>
    <w:lvl w:ilvl="7">
      <w:start w:val="1"/>
      <w:numFmt w:val="bullet"/>
      <w:lvlText w:val="o"/>
      <w:lvlJc w:val="right"/>
      <w:pPr>
        <w:tabs>
          <w:tab w:val="num" w:pos="5760"/>
        </w:tabs>
        <w:ind w:left="5760" w:hanging="360"/>
      </w:pPr>
      <w:rPr>
        <w:rFonts w:ascii="Courier New" w:hint="default"/>
      </w:rPr>
    </w:lvl>
    <w:lvl w:ilvl="8">
      <w:start w:val="1"/>
      <w:numFmt w:val="bullet"/>
      <w:lvlText w:val=""/>
      <w:lvlJc w:val="right"/>
      <w:pPr>
        <w:tabs>
          <w:tab w:val="num" w:pos="6480"/>
        </w:tabs>
        <w:ind w:left="6480" w:hanging="360"/>
      </w:pPr>
      <w:rPr>
        <w:rFonts w:ascii="Wingdings" w:hint="default"/>
      </w:rPr>
    </w:lvl>
  </w:abstractNum>
  <w:abstractNum w:abstractNumId="5">
    <w:nsid w:val="0CD15F5F"/>
    <w:multiLevelType w:val="hybridMultilevel"/>
    <w:tmpl w:val="6720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F00CA"/>
    <w:multiLevelType w:val="hybridMultilevel"/>
    <w:tmpl w:val="302A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5418B"/>
    <w:multiLevelType w:val="hybridMultilevel"/>
    <w:tmpl w:val="CCD0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70F6B"/>
    <w:multiLevelType w:val="hybridMultilevel"/>
    <w:tmpl w:val="A00E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F5264"/>
    <w:multiLevelType w:val="hybridMultilevel"/>
    <w:tmpl w:val="96E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A7747"/>
    <w:multiLevelType w:val="hybridMultilevel"/>
    <w:tmpl w:val="674E76D2"/>
    <w:lvl w:ilvl="0" w:tplc="4A2AC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34C82"/>
    <w:multiLevelType w:val="hybridMultilevel"/>
    <w:tmpl w:val="D892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E6C70"/>
    <w:multiLevelType w:val="hybridMultilevel"/>
    <w:tmpl w:val="932A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53812"/>
    <w:multiLevelType w:val="hybridMultilevel"/>
    <w:tmpl w:val="F64A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62886"/>
    <w:multiLevelType w:val="hybridMultilevel"/>
    <w:tmpl w:val="F322F8C8"/>
    <w:lvl w:ilvl="0" w:tplc="5B728A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8F4"/>
    <w:multiLevelType w:val="hybridMultilevel"/>
    <w:tmpl w:val="F0021190"/>
    <w:lvl w:ilvl="0" w:tplc="2A66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E71A9"/>
    <w:multiLevelType w:val="hybridMultilevel"/>
    <w:tmpl w:val="F672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93C0D"/>
    <w:multiLevelType w:val="hybridMultilevel"/>
    <w:tmpl w:val="054A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45EFC"/>
    <w:multiLevelType w:val="hybridMultilevel"/>
    <w:tmpl w:val="96D0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90C27"/>
    <w:multiLevelType w:val="hybridMultilevel"/>
    <w:tmpl w:val="B3A4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101C8"/>
    <w:multiLevelType w:val="hybridMultilevel"/>
    <w:tmpl w:val="C454707C"/>
    <w:lvl w:ilvl="0" w:tplc="C4300BD8">
      <w:start w:val="1"/>
      <w:numFmt w:val="hebrew1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1">
    <w:nsid w:val="55AC7CD7"/>
    <w:multiLevelType w:val="hybridMultilevel"/>
    <w:tmpl w:val="326A7ED0"/>
    <w:lvl w:ilvl="0" w:tplc="493AC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3555A8"/>
    <w:multiLevelType w:val="hybridMultilevel"/>
    <w:tmpl w:val="B2002098"/>
    <w:lvl w:ilvl="0" w:tplc="40AC6DE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9501F1D"/>
    <w:multiLevelType w:val="hybridMultilevel"/>
    <w:tmpl w:val="DBEA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30F73"/>
    <w:multiLevelType w:val="hybridMultilevel"/>
    <w:tmpl w:val="95A4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614E7"/>
    <w:multiLevelType w:val="hybridMultilevel"/>
    <w:tmpl w:val="94FE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E52D8"/>
    <w:multiLevelType w:val="hybridMultilevel"/>
    <w:tmpl w:val="25A0C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613A1"/>
    <w:multiLevelType w:val="hybridMultilevel"/>
    <w:tmpl w:val="3F18DD18"/>
    <w:lvl w:ilvl="0" w:tplc="5DEA3106">
      <w:start w:val="1"/>
      <w:numFmt w:val="hebrew1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8">
    <w:nsid w:val="6985630A"/>
    <w:multiLevelType w:val="hybridMultilevel"/>
    <w:tmpl w:val="71EC0650"/>
    <w:lvl w:ilvl="0" w:tplc="AFC2247E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ADC5471"/>
    <w:multiLevelType w:val="hybridMultilevel"/>
    <w:tmpl w:val="7EF6082C"/>
    <w:lvl w:ilvl="0" w:tplc="A424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16095D"/>
    <w:multiLevelType w:val="hybridMultilevel"/>
    <w:tmpl w:val="9576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E62073"/>
    <w:multiLevelType w:val="hybridMultilevel"/>
    <w:tmpl w:val="045210C4"/>
    <w:lvl w:ilvl="0" w:tplc="1CA8B8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7"/>
  </w:num>
  <w:num w:numId="3">
    <w:abstractNumId w:val="2"/>
  </w:num>
  <w:num w:numId="4">
    <w:abstractNumId w:val="10"/>
  </w:num>
  <w:num w:numId="5">
    <w:abstractNumId w:val="1"/>
  </w:num>
  <w:num w:numId="6">
    <w:abstractNumId w:val="29"/>
  </w:num>
  <w:num w:numId="7">
    <w:abstractNumId w:val="13"/>
  </w:num>
  <w:num w:numId="8">
    <w:abstractNumId w:val="9"/>
  </w:num>
  <w:num w:numId="9">
    <w:abstractNumId w:val="5"/>
  </w:num>
  <w:num w:numId="10">
    <w:abstractNumId w:val="19"/>
  </w:num>
  <w:num w:numId="11">
    <w:abstractNumId w:val="12"/>
  </w:num>
  <w:num w:numId="12">
    <w:abstractNumId w:val="6"/>
  </w:num>
  <w:num w:numId="13">
    <w:abstractNumId w:val="0"/>
  </w:num>
  <w:num w:numId="14">
    <w:abstractNumId w:val="11"/>
  </w:num>
  <w:num w:numId="15">
    <w:abstractNumId w:val="18"/>
  </w:num>
  <w:num w:numId="16">
    <w:abstractNumId w:val="20"/>
  </w:num>
  <w:num w:numId="17">
    <w:abstractNumId w:val="21"/>
  </w:num>
  <w:num w:numId="18">
    <w:abstractNumId w:val="8"/>
  </w:num>
  <w:num w:numId="19">
    <w:abstractNumId w:val="16"/>
  </w:num>
  <w:num w:numId="20">
    <w:abstractNumId w:val="31"/>
  </w:num>
  <w:num w:numId="21">
    <w:abstractNumId w:val="25"/>
  </w:num>
  <w:num w:numId="22">
    <w:abstractNumId w:val="26"/>
  </w:num>
  <w:num w:numId="23">
    <w:abstractNumId w:val="30"/>
  </w:num>
  <w:num w:numId="24">
    <w:abstractNumId w:val="24"/>
  </w:num>
  <w:num w:numId="25">
    <w:abstractNumId w:val="15"/>
  </w:num>
  <w:num w:numId="26">
    <w:abstractNumId w:val="23"/>
  </w:num>
  <w:num w:numId="27">
    <w:abstractNumId w:val="28"/>
  </w:num>
  <w:num w:numId="28">
    <w:abstractNumId w:val="22"/>
  </w:num>
  <w:num w:numId="29">
    <w:abstractNumId w:val="14"/>
  </w:num>
  <w:num w:numId="30">
    <w:abstractNumId w:val="3"/>
  </w:num>
  <w:num w:numId="31">
    <w:abstractNumId w:val="4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CFB"/>
    <w:rsid w:val="0000256E"/>
    <w:rsid w:val="000055E7"/>
    <w:rsid w:val="00005B01"/>
    <w:rsid w:val="00005FDF"/>
    <w:rsid w:val="00011C71"/>
    <w:rsid w:val="00020030"/>
    <w:rsid w:val="00024CD3"/>
    <w:rsid w:val="00024CF4"/>
    <w:rsid w:val="000302BE"/>
    <w:rsid w:val="000310BD"/>
    <w:rsid w:val="000313AA"/>
    <w:rsid w:val="00031614"/>
    <w:rsid w:val="00033C1D"/>
    <w:rsid w:val="00041162"/>
    <w:rsid w:val="00042EB1"/>
    <w:rsid w:val="0004376D"/>
    <w:rsid w:val="00044C04"/>
    <w:rsid w:val="00046036"/>
    <w:rsid w:val="0004731D"/>
    <w:rsid w:val="000567CE"/>
    <w:rsid w:val="00067A63"/>
    <w:rsid w:val="0007491D"/>
    <w:rsid w:val="000749AC"/>
    <w:rsid w:val="00074E86"/>
    <w:rsid w:val="00076B38"/>
    <w:rsid w:val="00081042"/>
    <w:rsid w:val="000829C6"/>
    <w:rsid w:val="000903AB"/>
    <w:rsid w:val="000946F0"/>
    <w:rsid w:val="00097BB9"/>
    <w:rsid w:val="000A04C2"/>
    <w:rsid w:val="000A06EF"/>
    <w:rsid w:val="000A306E"/>
    <w:rsid w:val="000C64B0"/>
    <w:rsid w:val="000C6A54"/>
    <w:rsid w:val="000D1414"/>
    <w:rsid w:val="000D2B15"/>
    <w:rsid w:val="000D44A3"/>
    <w:rsid w:val="000E1FC2"/>
    <w:rsid w:val="000E77BB"/>
    <w:rsid w:val="000F3DCB"/>
    <w:rsid w:val="00101C8A"/>
    <w:rsid w:val="001056CB"/>
    <w:rsid w:val="00107EF6"/>
    <w:rsid w:val="0011131A"/>
    <w:rsid w:val="00112B8D"/>
    <w:rsid w:val="00114771"/>
    <w:rsid w:val="00115477"/>
    <w:rsid w:val="00116507"/>
    <w:rsid w:val="001221F3"/>
    <w:rsid w:val="001236E2"/>
    <w:rsid w:val="00130F9A"/>
    <w:rsid w:val="00132F5E"/>
    <w:rsid w:val="00133BFC"/>
    <w:rsid w:val="00137FC6"/>
    <w:rsid w:val="00145550"/>
    <w:rsid w:val="00150EF8"/>
    <w:rsid w:val="0015266D"/>
    <w:rsid w:val="00154C08"/>
    <w:rsid w:val="0015564B"/>
    <w:rsid w:val="00161000"/>
    <w:rsid w:val="0016389E"/>
    <w:rsid w:val="00167DDD"/>
    <w:rsid w:val="00171623"/>
    <w:rsid w:val="00180376"/>
    <w:rsid w:val="001817E3"/>
    <w:rsid w:val="00182124"/>
    <w:rsid w:val="00182C4A"/>
    <w:rsid w:val="00182DB8"/>
    <w:rsid w:val="00183953"/>
    <w:rsid w:val="001842A2"/>
    <w:rsid w:val="0019103D"/>
    <w:rsid w:val="001924D3"/>
    <w:rsid w:val="00194193"/>
    <w:rsid w:val="001A719F"/>
    <w:rsid w:val="001B068B"/>
    <w:rsid w:val="001B0AD2"/>
    <w:rsid w:val="001B1187"/>
    <w:rsid w:val="001B2285"/>
    <w:rsid w:val="001B2332"/>
    <w:rsid w:val="001B4092"/>
    <w:rsid w:val="001C0CB5"/>
    <w:rsid w:val="001C2BAE"/>
    <w:rsid w:val="001C39CA"/>
    <w:rsid w:val="001C4376"/>
    <w:rsid w:val="001D0BE9"/>
    <w:rsid w:val="001D120C"/>
    <w:rsid w:val="001D3599"/>
    <w:rsid w:val="001D4E9B"/>
    <w:rsid w:val="001D5F7C"/>
    <w:rsid w:val="001D6201"/>
    <w:rsid w:val="001E1880"/>
    <w:rsid w:val="001E58B7"/>
    <w:rsid w:val="001E596F"/>
    <w:rsid w:val="001E7BEF"/>
    <w:rsid w:val="002035E0"/>
    <w:rsid w:val="002044DB"/>
    <w:rsid w:val="00214A6D"/>
    <w:rsid w:val="002150C1"/>
    <w:rsid w:val="0021724A"/>
    <w:rsid w:val="00220070"/>
    <w:rsid w:val="00234C64"/>
    <w:rsid w:val="00235658"/>
    <w:rsid w:val="00236AA7"/>
    <w:rsid w:val="00237D49"/>
    <w:rsid w:val="00240DD8"/>
    <w:rsid w:val="00243139"/>
    <w:rsid w:val="002479DB"/>
    <w:rsid w:val="00247F11"/>
    <w:rsid w:val="00266E5B"/>
    <w:rsid w:val="00273972"/>
    <w:rsid w:val="002743DF"/>
    <w:rsid w:val="00277717"/>
    <w:rsid w:val="00290D60"/>
    <w:rsid w:val="00291CF4"/>
    <w:rsid w:val="00293A52"/>
    <w:rsid w:val="00296749"/>
    <w:rsid w:val="002A0D1D"/>
    <w:rsid w:val="002A478F"/>
    <w:rsid w:val="002B22DD"/>
    <w:rsid w:val="002C05B9"/>
    <w:rsid w:val="002D343C"/>
    <w:rsid w:val="002E0C10"/>
    <w:rsid w:val="002E1749"/>
    <w:rsid w:val="002E3FB3"/>
    <w:rsid w:val="002E6A41"/>
    <w:rsid w:val="002F131D"/>
    <w:rsid w:val="002F2BCD"/>
    <w:rsid w:val="002F6621"/>
    <w:rsid w:val="003027F9"/>
    <w:rsid w:val="00303BAE"/>
    <w:rsid w:val="00303EE0"/>
    <w:rsid w:val="00311FA1"/>
    <w:rsid w:val="00315959"/>
    <w:rsid w:val="00315E44"/>
    <w:rsid w:val="00316713"/>
    <w:rsid w:val="00320173"/>
    <w:rsid w:val="00322735"/>
    <w:rsid w:val="00335C53"/>
    <w:rsid w:val="0034006B"/>
    <w:rsid w:val="0034385C"/>
    <w:rsid w:val="00344B79"/>
    <w:rsid w:val="00355C64"/>
    <w:rsid w:val="00360A6D"/>
    <w:rsid w:val="003635D9"/>
    <w:rsid w:val="003654A8"/>
    <w:rsid w:val="0036566A"/>
    <w:rsid w:val="0036667E"/>
    <w:rsid w:val="00375555"/>
    <w:rsid w:val="00380415"/>
    <w:rsid w:val="003856B3"/>
    <w:rsid w:val="003900AD"/>
    <w:rsid w:val="00395489"/>
    <w:rsid w:val="0039631A"/>
    <w:rsid w:val="003A4FE3"/>
    <w:rsid w:val="003A5D26"/>
    <w:rsid w:val="003B2316"/>
    <w:rsid w:val="003B3FB3"/>
    <w:rsid w:val="003C68A6"/>
    <w:rsid w:val="003C75C7"/>
    <w:rsid w:val="003D1947"/>
    <w:rsid w:val="003D33CB"/>
    <w:rsid w:val="003D342B"/>
    <w:rsid w:val="003E2808"/>
    <w:rsid w:val="003E6356"/>
    <w:rsid w:val="003E6A3B"/>
    <w:rsid w:val="003F7EA6"/>
    <w:rsid w:val="004000A6"/>
    <w:rsid w:val="00401193"/>
    <w:rsid w:val="004018E2"/>
    <w:rsid w:val="00404007"/>
    <w:rsid w:val="00407469"/>
    <w:rsid w:val="004204FC"/>
    <w:rsid w:val="00420992"/>
    <w:rsid w:val="00422165"/>
    <w:rsid w:val="00425616"/>
    <w:rsid w:val="00425AF5"/>
    <w:rsid w:val="004336E9"/>
    <w:rsid w:val="00440FA9"/>
    <w:rsid w:val="004708ED"/>
    <w:rsid w:val="00473232"/>
    <w:rsid w:val="0047463C"/>
    <w:rsid w:val="00475DC5"/>
    <w:rsid w:val="004809D4"/>
    <w:rsid w:val="00483058"/>
    <w:rsid w:val="0048469E"/>
    <w:rsid w:val="00490FA6"/>
    <w:rsid w:val="004A04A6"/>
    <w:rsid w:val="004A32B3"/>
    <w:rsid w:val="004B7EDD"/>
    <w:rsid w:val="004C0074"/>
    <w:rsid w:val="004C56CA"/>
    <w:rsid w:val="004D1E47"/>
    <w:rsid w:val="004D23E6"/>
    <w:rsid w:val="004D4C85"/>
    <w:rsid w:val="004D4F41"/>
    <w:rsid w:val="004D6A58"/>
    <w:rsid w:val="004D7D1E"/>
    <w:rsid w:val="004E7DE1"/>
    <w:rsid w:val="00502BE9"/>
    <w:rsid w:val="00511DC8"/>
    <w:rsid w:val="005121EB"/>
    <w:rsid w:val="005154B1"/>
    <w:rsid w:val="00524DF0"/>
    <w:rsid w:val="005256F1"/>
    <w:rsid w:val="0053008A"/>
    <w:rsid w:val="00530D07"/>
    <w:rsid w:val="00531D50"/>
    <w:rsid w:val="00532866"/>
    <w:rsid w:val="005338CE"/>
    <w:rsid w:val="00541313"/>
    <w:rsid w:val="005423C2"/>
    <w:rsid w:val="00542E1F"/>
    <w:rsid w:val="00547541"/>
    <w:rsid w:val="00552B51"/>
    <w:rsid w:val="00560AA2"/>
    <w:rsid w:val="00562EED"/>
    <w:rsid w:val="00567B48"/>
    <w:rsid w:val="00567B4D"/>
    <w:rsid w:val="005704E8"/>
    <w:rsid w:val="00577432"/>
    <w:rsid w:val="005826DF"/>
    <w:rsid w:val="005862BD"/>
    <w:rsid w:val="00590663"/>
    <w:rsid w:val="00596732"/>
    <w:rsid w:val="005A2BB7"/>
    <w:rsid w:val="005B0256"/>
    <w:rsid w:val="005B1054"/>
    <w:rsid w:val="005B4587"/>
    <w:rsid w:val="005C6E4D"/>
    <w:rsid w:val="005C7547"/>
    <w:rsid w:val="005D68E8"/>
    <w:rsid w:val="005E430E"/>
    <w:rsid w:val="005E4FDD"/>
    <w:rsid w:val="005E71C8"/>
    <w:rsid w:val="005F1FD4"/>
    <w:rsid w:val="005F2FFB"/>
    <w:rsid w:val="005F7C03"/>
    <w:rsid w:val="00602A1E"/>
    <w:rsid w:val="006056CE"/>
    <w:rsid w:val="00607B89"/>
    <w:rsid w:val="00613CE2"/>
    <w:rsid w:val="00622420"/>
    <w:rsid w:val="00623A8A"/>
    <w:rsid w:val="00634AE4"/>
    <w:rsid w:val="006422B4"/>
    <w:rsid w:val="00642D49"/>
    <w:rsid w:val="006560A7"/>
    <w:rsid w:val="00660950"/>
    <w:rsid w:val="00661C74"/>
    <w:rsid w:val="0066678E"/>
    <w:rsid w:val="00667187"/>
    <w:rsid w:val="00667595"/>
    <w:rsid w:val="00670A85"/>
    <w:rsid w:val="006722DF"/>
    <w:rsid w:val="0067548F"/>
    <w:rsid w:val="00677A0C"/>
    <w:rsid w:val="0068296E"/>
    <w:rsid w:val="00685284"/>
    <w:rsid w:val="006901B8"/>
    <w:rsid w:val="0069238C"/>
    <w:rsid w:val="0069478A"/>
    <w:rsid w:val="0069528D"/>
    <w:rsid w:val="006A4906"/>
    <w:rsid w:val="006B54EA"/>
    <w:rsid w:val="006B78C2"/>
    <w:rsid w:val="006C2B0A"/>
    <w:rsid w:val="006C4AFF"/>
    <w:rsid w:val="006C6C66"/>
    <w:rsid w:val="006C7D65"/>
    <w:rsid w:val="006D37B9"/>
    <w:rsid w:val="006D3EE9"/>
    <w:rsid w:val="006E76F0"/>
    <w:rsid w:val="006E7D9E"/>
    <w:rsid w:val="006F516F"/>
    <w:rsid w:val="006F5978"/>
    <w:rsid w:val="006F68E9"/>
    <w:rsid w:val="006F79D1"/>
    <w:rsid w:val="00711C20"/>
    <w:rsid w:val="00723DA2"/>
    <w:rsid w:val="00724FE7"/>
    <w:rsid w:val="007253ED"/>
    <w:rsid w:val="007302EF"/>
    <w:rsid w:val="0073195E"/>
    <w:rsid w:val="00732589"/>
    <w:rsid w:val="00734A45"/>
    <w:rsid w:val="0073740E"/>
    <w:rsid w:val="00741549"/>
    <w:rsid w:val="0074182F"/>
    <w:rsid w:val="00747AF7"/>
    <w:rsid w:val="00755099"/>
    <w:rsid w:val="00756214"/>
    <w:rsid w:val="0075700F"/>
    <w:rsid w:val="0076283A"/>
    <w:rsid w:val="007653DB"/>
    <w:rsid w:val="00776CFB"/>
    <w:rsid w:val="00777A31"/>
    <w:rsid w:val="00777F53"/>
    <w:rsid w:val="00780568"/>
    <w:rsid w:val="007806C2"/>
    <w:rsid w:val="00782FEB"/>
    <w:rsid w:val="00785496"/>
    <w:rsid w:val="00797DDF"/>
    <w:rsid w:val="007A01C9"/>
    <w:rsid w:val="007A1278"/>
    <w:rsid w:val="007A18F9"/>
    <w:rsid w:val="007A4094"/>
    <w:rsid w:val="007B0CBD"/>
    <w:rsid w:val="007B4833"/>
    <w:rsid w:val="007B4B31"/>
    <w:rsid w:val="007C09CC"/>
    <w:rsid w:val="007C1856"/>
    <w:rsid w:val="007C3C5E"/>
    <w:rsid w:val="007D0C8D"/>
    <w:rsid w:val="007D477B"/>
    <w:rsid w:val="007E29EE"/>
    <w:rsid w:val="007E5EDE"/>
    <w:rsid w:val="007E624C"/>
    <w:rsid w:val="007E722D"/>
    <w:rsid w:val="007E7C5C"/>
    <w:rsid w:val="007F0D94"/>
    <w:rsid w:val="007F2798"/>
    <w:rsid w:val="007F5EE1"/>
    <w:rsid w:val="00801552"/>
    <w:rsid w:val="00802C43"/>
    <w:rsid w:val="008033FF"/>
    <w:rsid w:val="0080375E"/>
    <w:rsid w:val="00807D85"/>
    <w:rsid w:val="00817AAB"/>
    <w:rsid w:val="00821174"/>
    <w:rsid w:val="00830308"/>
    <w:rsid w:val="00830652"/>
    <w:rsid w:val="0083148C"/>
    <w:rsid w:val="008355F2"/>
    <w:rsid w:val="00844820"/>
    <w:rsid w:val="00844911"/>
    <w:rsid w:val="00850D2C"/>
    <w:rsid w:val="00853186"/>
    <w:rsid w:val="00854427"/>
    <w:rsid w:val="00856E07"/>
    <w:rsid w:val="008577AE"/>
    <w:rsid w:val="00865062"/>
    <w:rsid w:val="0087094E"/>
    <w:rsid w:val="008714E3"/>
    <w:rsid w:val="0087307A"/>
    <w:rsid w:val="00873A59"/>
    <w:rsid w:val="00877556"/>
    <w:rsid w:val="00877B48"/>
    <w:rsid w:val="0088019F"/>
    <w:rsid w:val="00885A9F"/>
    <w:rsid w:val="00897297"/>
    <w:rsid w:val="00897DAD"/>
    <w:rsid w:val="008A0580"/>
    <w:rsid w:val="008A3A0C"/>
    <w:rsid w:val="008A5B5C"/>
    <w:rsid w:val="008B44B6"/>
    <w:rsid w:val="008C1158"/>
    <w:rsid w:val="008C3217"/>
    <w:rsid w:val="008C3B63"/>
    <w:rsid w:val="008C5225"/>
    <w:rsid w:val="008C6B8E"/>
    <w:rsid w:val="008C6B91"/>
    <w:rsid w:val="008C6D38"/>
    <w:rsid w:val="008C72F3"/>
    <w:rsid w:val="008E2A57"/>
    <w:rsid w:val="008E3AD3"/>
    <w:rsid w:val="008E3D15"/>
    <w:rsid w:val="008F245F"/>
    <w:rsid w:val="00901086"/>
    <w:rsid w:val="009041D4"/>
    <w:rsid w:val="00912341"/>
    <w:rsid w:val="0091291A"/>
    <w:rsid w:val="0091758F"/>
    <w:rsid w:val="00917F24"/>
    <w:rsid w:val="009202D1"/>
    <w:rsid w:val="00924678"/>
    <w:rsid w:val="009304EB"/>
    <w:rsid w:val="0093160B"/>
    <w:rsid w:val="00937EEB"/>
    <w:rsid w:val="00943ADC"/>
    <w:rsid w:val="009445D8"/>
    <w:rsid w:val="00946E7C"/>
    <w:rsid w:val="00950EE8"/>
    <w:rsid w:val="009528A4"/>
    <w:rsid w:val="00953A1C"/>
    <w:rsid w:val="00956CD6"/>
    <w:rsid w:val="00972227"/>
    <w:rsid w:val="00974CD6"/>
    <w:rsid w:val="00977491"/>
    <w:rsid w:val="00982C89"/>
    <w:rsid w:val="0098411D"/>
    <w:rsid w:val="009904FD"/>
    <w:rsid w:val="00991B43"/>
    <w:rsid w:val="0099278B"/>
    <w:rsid w:val="00993761"/>
    <w:rsid w:val="009949CA"/>
    <w:rsid w:val="00995EFD"/>
    <w:rsid w:val="009A0D72"/>
    <w:rsid w:val="009A0F49"/>
    <w:rsid w:val="009A3957"/>
    <w:rsid w:val="009A3F5B"/>
    <w:rsid w:val="009A43C9"/>
    <w:rsid w:val="009A5439"/>
    <w:rsid w:val="009A64AA"/>
    <w:rsid w:val="009B5C88"/>
    <w:rsid w:val="009B6C41"/>
    <w:rsid w:val="009C0B24"/>
    <w:rsid w:val="009C14BC"/>
    <w:rsid w:val="009C5825"/>
    <w:rsid w:val="009C7AFD"/>
    <w:rsid w:val="009E2766"/>
    <w:rsid w:val="009E3EDB"/>
    <w:rsid w:val="009E469F"/>
    <w:rsid w:val="009E579E"/>
    <w:rsid w:val="009E6F78"/>
    <w:rsid w:val="009E7591"/>
    <w:rsid w:val="009F4869"/>
    <w:rsid w:val="009F51FA"/>
    <w:rsid w:val="009F5B19"/>
    <w:rsid w:val="00A01381"/>
    <w:rsid w:val="00A03979"/>
    <w:rsid w:val="00A045C6"/>
    <w:rsid w:val="00A06A4A"/>
    <w:rsid w:val="00A12F1F"/>
    <w:rsid w:val="00A15A90"/>
    <w:rsid w:val="00A250A8"/>
    <w:rsid w:val="00A34589"/>
    <w:rsid w:val="00A35764"/>
    <w:rsid w:val="00A42EBA"/>
    <w:rsid w:val="00A446FA"/>
    <w:rsid w:val="00A5241E"/>
    <w:rsid w:val="00A55045"/>
    <w:rsid w:val="00A552AE"/>
    <w:rsid w:val="00A63955"/>
    <w:rsid w:val="00A6533B"/>
    <w:rsid w:val="00A65F90"/>
    <w:rsid w:val="00A678DA"/>
    <w:rsid w:val="00A7454F"/>
    <w:rsid w:val="00A74B59"/>
    <w:rsid w:val="00A8357F"/>
    <w:rsid w:val="00A838CD"/>
    <w:rsid w:val="00A86DFA"/>
    <w:rsid w:val="00A97CC6"/>
    <w:rsid w:val="00AA0D34"/>
    <w:rsid w:val="00AA66D0"/>
    <w:rsid w:val="00AB28AF"/>
    <w:rsid w:val="00AB3CC5"/>
    <w:rsid w:val="00AB3FA0"/>
    <w:rsid w:val="00AC0EBD"/>
    <w:rsid w:val="00AC1B0C"/>
    <w:rsid w:val="00AC3CED"/>
    <w:rsid w:val="00AC3FA8"/>
    <w:rsid w:val="00AC494A"/>
    <w:rsid w:val="00AC7F92"/>
    <w:rsid w:val="00AD5A4A"/>
    <w:rsid w:val="00AE2201"/>
    <w:rsid w:val="00AF571A"/>
    <w:rsid w:val="00B04127"/>
    <w:rsid w:val="00B04595"/>
    <w:rsid w:val="00B046B2"/>
    <w:rsid w:val="00B122D0"/>
    <w:rsid w:val="00B12442"/>
    <w:rsid w:val="00B13EE2"/>
    <w:rsid w:val="00B15B10"/>
    <w:rsid w:val="00B2096A"/>
    <w:rsid w:val="00B23C1C"/>
    <w:rsid w:val="00B25B39"/>
    <w:rsid w:val="00B302D6"/>
    <w:rsid w:val="00B5535D"/>
    <w:rsid w:val="00B602DF"/>
    <w:rsid w:val="00B603EC"/>
    <w:rsid w:val="00B62797"/>
    <w:rsid w:val="00B63F2C"/>
    <w:rsid w:val="00B64F0F"/>
    <w:rsid w:val="00B66B61"/>
    <w:rsid w:val="00B6728B"/>
    <w:rsid w:val="00B7401F"/>
    <w:rsid w:val="00B807EC"/>
    <w:rsid w:val="00B84049"/>
    <w:rsid w:val="00B84236"/>
    <w:rsid w:val="00B86F32"/>
    <w:rsid w:val="00B900A4"/>
    <w:rsid w:val="00B90476"/>
    <w:rsid w:val="00B91E90"/>
    <w:rsid w:val="00B94278"/>
    <w:rsid w:val="00BA1B8A"/>
    <w:rsid w:val="00BA30AF"/>
    <w:rsid w:val="00BA6AF5"/>
    <w:rsid w:val="00BA7135"/>
    <w:rsid w:val="00BB002E"/>
    <w:rsid w:val="00BB0EDC"/>
    <w:rsid w:val="00BC057F"/>
    <w:rsid w:val="00BD0036"/>
    <w:rsid w:val="00BD3776"/>
    <w:rsid w:val="00BD3C4B"/>
    <w:rsid w:val="00BD4D6B"/>
    <w:rsid w:val="00BE0BE2"/>
    <w:rsid w:val="00BE187F"/>
    <w:rsid w:val="00BE2225"/>
    <w:rsid w:val="00BE60C6"/>
    <w:rsid w:val="00BF48E8"/>
    <w:rsid w:val="00BF5FA3"/>
    <w:rsid w:val="00BF6F49"/>
    <w:rsid w:val="00C03A0A"/>
    <w:rsid w:val="00C04F8A"/>
    <w:rsid w:val="00C077CB"/>
    <w:rsid w:val="00C07FE8"/>
    <w:rsid w:val="00C11109"/>
    <w:rsid w:val="00C12722"/>
    <w:rsid w:val="00C156DB"/>
    <w:rsid w:val="00C1647C"/>
    <w:rsid w:val="00C205D2"/>
    <w:rsid w:val="00C24062"/>
    <w:rsid w:val="00C31AEA"/>
    <w:rsid w:val="00C369E7"/>
    <w:rsid w:val="00C374C7"/>
    <w:rsid w:val="00C47AFB"/>
    <w:rsid w:val="00C50785"/>
    <w:rsid w:val="00C5546E"/>
    <w:rsid w:val="00C57B22"/>
    <w:rsid w:val="00C61801"/>
    <w:rsid w:val="00C64062"/>
    <w:rsid w:val="00C64929"/>
    <w:rsid w:val="00C64FCB"/>
    <w:rsid w:val="00C6542A"/>
    <w:rsid w:val="00C65B29"/>
    <w:rsid w:val="00C70A83"/>
    <w:rsid w:val="00C70E7E"/>
    <w:rsid w:val="00C77255"/>
    <w:rsid w:val="00C81CF5"/>
    <w:rsid w:val="00C81D39"/>
    <w:rsid w:val="00C8358D"/>
    <w:rsid w:val="00C83A29"/>
    <w:rsid w:val="00C851A5"/>
    <w:rsid w:val="00C85365"/>
    <w:rsid w:val="00C86DD5"/>
    <w:rsid w:val="00C87D6B"/>
    <w:rsid w:val="00CA6CDC"/>
    <w:rsid w:val="00CA7AD9"/>
    <w:rsid w:val="00CB13C2"/>
    <w:rsid w:val="00CB390B"/>
    <w:rsid w:val="00CB4A56"/>
    <w:rsid w:val="00CB6615"/>
    <w:rsid w:val="00CB7532"/>
    <w:rsid w:val="00CC3278"/>
    <w:rsid w:val="00CC5D75"/>
    <w:rsid w:val="00CC793E"/>
    <w:rsid w:val="00CD0293"/>
    <w:rsid w:val="00CD274C"/>
    <w:rsid w:val="00CD3125"/>
    <w:rsid w:val="00CD33FF"/>
    <w:rsid w:val="00CD482A"/>
    <w:rsid w:val="00CD682F"/>
    <w:rsid w:val="00CF157D"/>
    <w:rsid w:val="00CF71CF"/>
    <w:rsid w:val="00D079EB"/>
    <w:rsid w:val="00D120D8"/>
    <w:rsid w:val="00D142E2"/>
    <w:rsid w:val="00D16370"/>
    <w:rsid w:val="00D16B7B"/>
    <w:rsid w:val="00D17B46"/>
    <w:rsid w:val="00D2226A"/>
    <w:rsid w:val="00D228EF"/>
    <w:rsid w:val="00D2731B"/>
    <w:rsid w:val="00D325DA"/>
    <w:rsid w:val="00D3487D"/>
    <w:rsid w:val="00D3597D"/>
    <w:rsid w:val="00D35B07"/>
    <w:rsid w:val="00D375A6"/>
    <w:rsid w:val="00D475B2"/>
    <w:rsid w:val="00D52B0B"/>
    <w:rsid w:val="00D56FB7"/>
    <w:rsid w:val="00D6066D"/>
    <w:rsid w:val="00D71D4A"/>
    <w:rsid w:val="00D77F75"/>
    <w:rsid w:val="00D857A3"/>
    <w:rsid w:val="00D87146"/>
    <w:rsid w:val="00D91059"/>
    <w:rsid w:val="00D91CC4"/>
    <w:rsid w:val="00D937D6"/>
    <w:rsid w:val="00D94D37"/>
    <w:rsid w:val="00D97A14"/>
    <w:rsid w:val="00DA1D12"/>
    <w:rsid w:val="00DB0CA9"/>
    <w:rsid w:val="00DB14DD"/>
    <w:rsid w:val="00DB5E6B"/>
    <w:rsid w:val="00DB7F3D"/>
    <w:rsid w:val="00DC2639"/>
    <w:rsid w:val="00DC30C5"/>
    <w:rsid w:val="00DC337D"/>
    <w:rsid w:val="00DC4EC5"/>
    <w:rsid w:val="00DD4675"/>
    <w:rsid w:val="00DE0C8E"/>
    <w:rsid w:val="00DE4107"/>
    <w:rsid w:val="00DE477D"/>
    <w:rsid w:val="00DE6C6F"/>
    <w:rsid w:val="00DE7F01"/>
    <w:rsid w:val="00DF0535"/>
    <w:rsid w:val="00DF2085"/>
    <w:rsid w:val="00DF5219"/>
    <w:rsid w:val="00DF5BD6"/>
    <w:rsid w:val="00DF7EF4"/>
    <w:rsid w:val="00E012EC"/>
    <w:rsid w:val="00E0200C"/>
    <w:rsid w:val="00E1228D"/>
    <w:rsid w:val="00E12FC6"/>
    <w:rsid w:val="00E15CB5"/>
    <w:rsid w:val="00E1728F"/>
    <w:rsid w:val="00E17E94"/>
    <w:rsid w:val="00E216A5"/>
    <w:rsid w:val="00E21951"/>
    <w:rsid w:val="00E221E8"/>
    <w:rsid w:val="00E223C9"/>
    <w:rsid w:val="00E26B01"/>
    <w:rsid w:val="00E27415"/>
    <w:rsid w:val="00E34D70"/>
    <w:rsid w:val="00E35D0B"/>
    <w:rsid w:val="00E35E4E"/>
    <w:rsid w:val="00E360B1"/>
    <w:rsid w:val="00E429B6"/>
    <w:rsid w:val="00E42BF1"/>
    <w:rsid w:val="00E45B5E"/>
    <w:rsid w:val="00E559F0"/>
    <w:rsid w:val="00E56188"/>
    <w:rsid w:val="00E56270"/>
    <w:rsid w:val="00E60ABF"/>
    <w:rsid w:val="00E63892"/>
    <w:rsid w:val="00E73A8A"/>
    <w:rsid w:val="00E74F69"/>
    <w:rsid w:val="00E829C8"/>
    <w:rsid w:val="00E833B8"/>
    <w:rsid w:val="00E84D22"/>
    <w:rsid w:val="00E86850"/>
    <w:rsid w:val="00E92226"/>
    <w:rsid w:val="00EA2618"/>
    <w:rsid w:val="00EB0C79"/>
    <w:rsid w:val="00EB27DF"/>
    <w:rsid w:val="00EB2F1A"/>
    <w:rsid w:val="00EB4E18"/>
    <w:rsid w:val="00EC1494"/>
    <w:rsid w:val="00EC2DC5"/>
    <w:rsid w:val="00EC3E4A"/>
    <w:rsid w:val="00ED215F"/>
    <w:rsid w:val="00ED37BB"/>
    <w:rsid w:val="00ED46AC"/>
    <w:rsid w:val="00ED797B"/>
    <w:rsid w:val="00EE28E8"/>
    <w:rsid w:val="00EE5208"/>
    <w:rsid w:val="00EF0723"/>
    <w:rsid w:val="00EF2D6B"/>
    <w:rsid w:val="00EF4294"/>
    <w:rsid w:val="00EF5044"/>
    <w:rsid w:val="00EF7256"/>
    <w:rsid w:val="00F031B2"/>
    <w:rsid w:val="00F0380C"/>
    <w:rsid w:val="00F05450"/>
    <w:rsid w:val="00F11ECA"/>
    <w:rsid w:val="00F16BF7"/>
    <w:rsid w:val="00F21FC4"/>
    <w:rsid w:val="00F23523"/>
    <w:rsid w:val="00F30BE9"/>
    <w:rsid w:val="00F33F71"/>
    <w:rsid w:val="00F46758"/>
    <w:rsid w:val="00F50FD6"/>
    <w:rsid w:val="00F60539"/>
    <w:rsid w:val="00F60C23"/>
    <w:rsid w:val="00F62886"/>
    <w:rsid w:val="00F63113"/>
    <w:rsid w:val="00F67538"/>
    <w:rsid w:val="00F77F0D"/>
    <w:rsid w:val="00F77FA2"/>
    <w:rsid w:val="00F813EA"/>
    <w:rsid w:val="00F824E5"/>
    <w:rsid w:val="00F84612"/>
    <w:rsid w:val="00F902D1"/>
    <w:rsid w:val="00F91067"/>
    <w:rsid w:val="00FA4EA6"/>
    <w:rsid w:val="00FA7109"/>
    <w:rsid w:val="00FB1A88"/>
    <w:rsid w:val="00FB3067"/>
    <w:rsid w:val="00FB5FAB"/>
    <w:rsid w:val="00FD3BCF"/>
    <w:rsid w:val="00FE2351"/>
    <w:rsid w:val="00FE3755"/>
    <w:rsid w:val="00FE5A49"/>
    <w:rsid w:val="00FF02EA"/>
    <w:rsid w:val="00FF05C3"/>
    <w:rsid w:val="00FF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9D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CF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77255"/>
    <w:rPr>
      <w:color w:val="0000FF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9304EB"/>
    <w:pPr>
      <w:spacing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9304E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304E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69EBF-C8E7-48CB-90B9-77327F5B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shahaf galili</dc:creator>
  <cp:lastModifiedBy>shahaf galili</cp:lastModifiedBy>
  <cp:revision>2</cp:revision>
  <dcterms:created xsi:type="dcterms:W3CDTF">2011-12-25T19:58:00Z</dcterms:created>
  <dcterms:modified xsi:type="dcterms:W3CDTF">2011-12-25T19:58:00Z</dcterms:modified>
</cp:coreProperties>
</file>