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BE2" w:rsidRPr="00BA5C1A" w:rsidRDefault="00441FA0" w:rsidP="00F45E9E">
      <w:pPr>
        <w:rPr>
          <w:sz w:val="20"/>
          <w:szCs w:val="20"/>
          <w:rtl/>
        </w:rPr>
      </w:pPr>
      <w:r w:rsidRPr="00BA5C1A">
        <w:rPr>
          <w:rFonts w:hint="cs"/>
          <w:sz w:val="20"/>
          <w:szCs w:val="20"/>
          <w:rtl/>
        </w:rPr>
        <w:t>שם: ע</w:t>
      </w:r>
      <w:r w:rsidR="00FB5BE2" w:rsidRPr="00BA5C1A">
        <w:rPr>
          <w:rFonts w:hint="cs"/>
          <w:sz w:val="20"/>
          <w:szCs w:val="20"/>
          <w:rtl/>
        </w:rPr>
        <w:t>ו</w:t>
      </w:r>
      <w:r w:rsidRPr="00BA5C1A">
        <w:rPr>
          <w:rFonts w:hint="cs"/>
          <w:sz w:val="20"/>
          <w:szCs w:val="20"/>
          <w:rtl/>
        </w:rPr>
        <w:t>מרי שגב</w:t>
      </w:r>
    </w:p>
    <w:p w:rsidR="00441FA0" w:rsidRPr="00BA5C1A" w:rsidRDefault="00FB5BE2" w:rsidP="00441FA0">
      <w:pPr>
        <w:rPr>
          <w:sz w:val="20"/>
          <w:szCs w:val="20"/>
          <w:rtl/>
        </w:rPr>
      </w:pPr>
      <w:r w:rsidRPr="00BA5C1A">
        <w:rPr>
          <w:rFonts w:hint="cs"/>
          <w:sz w:val="20"/>
          <w:szCs w:val="20"/>
          <w:rtl/>
        </w:rPr>
        <w:t>מספר-זהות:</w:t>
      </w:r>
      <w:r w:rsidR="00441FA0" w:rsidRPr="00BA5C1A">
        <w:rPr>
          <w:rFonts w:hint="cs"/>
          <w:sz w:val="20"/>
          <w:szCs w:val="20"/>
          <w:rtl/>
        </w:rPr>
        <w:t xml:space="preserve"> 300338902</w:t>
      </w:r>
    </w:p>
    <w:p w:rsidR="00441FA0" w:rsidRPr="00BA5C1A" w:rsidRDefault="00F45E9E" w:rsidP="00441FA0">
      <w:pPr>
        <w:jc w:val="center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משפט חוקתי עבודה מס' 1</w:t>
      </w:r>
      <w:r w:rsidR="00441FA0" w:rsidRPr="00BA5C1A">
        <w:rPr>
          <w:sz w:val="28"/>
          <w:szCs w:val="28"/>
          <w:u w:val="single"/>
          <w:rtl/>
        </w:rPr>
        <w:t>–</w:t>
      </w:r>
      <w:r w:rsidR="00441FA0" w:rsidRPr="00BA5C1A">
        <w:rPr>
          <w:rFonts w:hint="cs"/>
          <w:sz w:val="28"/>
          <w:szCs w:val="28"/>
          <w:u w:val="single"/>
          <w:rtl/>
        </w:rPr>
        <w:t xml:space="preserve"> זכויות חברתיות</w:t>
      </w:r>
    </w:p>
    <w:p w:rsidR="00441FA0" w:rsidRPr="00BA5C1A" w:rsidRDefault="00441FA0" w:rsidP="00441FA0">
      <w:pPr>
        <w:jc w:val="center"/>
        <w:rPr>
          <w:rtl/>
        </w:rPr>
      </w:pPr>
      <w:r w:rsidRPr="00BA5C1A">
        <w:rPr>
          <w:rFonts w:hint="cs"/>
          <w:rtl/>
        </w:rPr>
        <w:t>פרופ' גדעון ספיר</w:t>
      </w:r>
    </w:p>
    <w:p w:rsidR="00441FA0" w:rsidRPr="00BA5C1A" w:rsidRDefault="00441FA0" w:rsidP="00441FA0">
      <w:pPr>
        <w:spacing w:line="360" w:lineRule="auto"/>
        <w:jc w:val="center"/>
        <w:rPr>
          <w:u w:val="single"/>
          <w:rtl/>
        </w:rPr>
      </w:pPr>
    </w:p>
    <w:p w:rsidR="00FB5BE2" w:rsidRPr="00926627" w:rsidRDefault="00441FA0" w:rsidP="00D71842">
      <w:pPr>
        <w:spacing w:line="360" w:lineRule="auto"/>
        <w:jc w:val="both"/>
        <w:rPr>
          <w:b/>
          <w:bCs/>
          <w:rtl/>
        </w:rPr>
      </w:pPr>
      <w:r w:rsidRPr="00926627">
        <w:rPr>
          <w:rFonts w:hint="cs"/>
          <w:b/>
          <w:bCs/>
          <w:u w:val="single"/>
          <w:rtl/>
        </w:rPr>
        <w:t>שאלה א'</w:t>
      </w:r>
    </w:p>
    <w:p w:rsidR="00F44164" w:rsidRDefault="00441FA0" w:rsidP="00376609">
      <w:pPr>
        <w:spacing w:line="360" w:lineRule="auto"/>
        <w:jc w:val="both"/>
        <w:rPr>
          <w:rtl/>
        </w:rPr>
      </w:pPr>
      <w:r w:rsidRPr="00BA5C1A">
        <w:rPr>
          <w:rFonts w:hint="cs"/>
          <w:rtl/>
        </w:rPr>
        <w:t xml:space="preserve">ראשית </w:t>
      </w:r>
      <w:r w:rsidR="002E6938">
        <w:rPr>
          <w:rFonts w:hint="cs"/>
          <w:rtl/>
        </w:rPr>
        <w:t>נדון</w:t>
      </w:r>
      <w:r w:rsidRPr="00BA5C1A">
        <w:rPr>
          <w:rFonts w:hint="cs"/>
          <w:rtl/>
        </w:rPr>
        <w:t xml:space="preserve"> </w:t>
      </w:r>
      <w:r w:rsidRPr="008B7963">
        <w:rPr>
          <w:rFonts w:hint="cs"/>
          <w:u w:val="single"/>
          <w:rtl/>
        </w:rPr>
        <w:t>בעצם העתירה</w:t>
      </w:r>
      <w:r w:rsidR="00870235">
        <w:rPr>
          <w:rFonts w:hint="cs"/>
          <w:rtl/>
        </w:rPr>
        <w:t xml:space="preserve"> להורות לכנסת לחוקק חוק.</w:t>
      </w:r>
      <w:r w:rsidRPr="00BA5C1A">
        <w:rPr>
          <w:rFonts w:hint="cs"/>
          <w:rtl/>
        </w:rPr>
        <w:t xml:space="preserve"> העותרים יוכלו לטעון כי החלת </w:t>
      </w:r>
      <w:r w:rsidR="00AB73A9" w:rsidRPr="00BA5C1A">
        <w:rPr>
          <w:rFonts w:hint="cs"/>
          <w:rtl/>
        </w:rPr>
        <w:t>עמדת</w:t>
      </w:r>
      <w:r w:rsidRPr="00BA5C1A">
        <w:rPr>
          <w:rFonts w:hint="cs"/>
          <w:rtl/>
        </w:rPr>
        <w:t xml:space="preserve"> ביהמ"ש על הכנסת </w:t>
      </w:r>
      <w:r w:rsidR="00870235">
        <w:rPr>
          <w:rFonts w:hint="cs"/>
          <w:rtl/>
        </w:rPr>
        <w:t>הינה</w:t>
      </w:r>
      <w:r w:rsidRPr="00BA5C1A">
        <w:rPr>
          <w:rFonts w:hint="cs"/>
          <w:rtl/>
        </w:rPr>
        <w:t xml:space="preserve"> דבר אשר כבר בוצע בעבר</w:t>
      </w:r>
      <w:r w:rsidRPr="00BA5C1A">
        <w:rPr>
          <w:rStyle w:val="a6"/>
          <w:rtl/>
        </w:rPr>
        <w:footnoteReference w:id="2"/>
      </w:r>
      <w:r w:rsidRPr="00BA5C1A">
        <w:rPr>
          <w:rFonts w:hint="cs"/>
          <w:rtl/>
        </w:rPr>
        <w:t xml:space="preserve"> </w:t>
      </w:r>
      <w:r w:rsidR="00AB73A9" w:rsidRPr="00BA5C1A">
        <w:rPr>
          <w:rFonts w:hint="cs"/>
          <w:rtl/>
        </w:rPr>
        <w:t>ולכן ביהמ"ש יכול לנהוג כך גם במקרה זה.</w:t>
      </w:r>
      <w:r w:rsidR="004C3F72" w:rsidRPr="00BA5C1A">
        <w:rPr>
          <w:rFonts w:hint="cs"/>
          <w:rtl/>
        </w:rPr>
        <w:t xml:space="preserve"> ביהמ"ש יוכל להתמודד עם קשיי ההתערבות בענייני חברה ולתת את הסעד</w:t>
      </w:r>
      <w:r w:rsidR="004872CF">
        <w:rPr>
          <w:rFonts w:hint="cs"/>
          <w:rtl/>
        </w:rPr>
        <w:t xml:space="preserve"> הנדרש על-אף קושי מימושן בהיותן</w:t>
      </w:r>
      <w:r w:rsidR="004C3F72" w:rsidRPr="00BA5C1A">
        <w:rPr>
          <w:rFonts w:hint="cs"/>
          <w:rtl/>
        </w:rPr>
        <w:t>(לטענת רבים) זכויות חיוביות, בהיותן עמומות ואף פורצות את גבולות הפרדת-הרשויות</w:t>
      </w:r>
      <w:r w:rsidR="004C3F72" w:rsidRPr="00BA5C1A">
        <w:rPr>
          <w:rStyle w:val="a6"/>
          <w:rtl/>
        </w:rPr>
        <w:footnoteReference w:id="3"/>
      </w:r>
      <w:r w:rsidR="004872CF">
        <w:rPr>
          <w:rFonts w:hint="cs"/>
          <w:rtl/>
        </w:rPr>
        <w:t>.</w:t>
      </w:r>
      <w:r w:rsidR="003458EC" w:rsidRPr="00BA5C1A">
        <w:rPr>
          <w:rFonts w:hint="cs"/>
          <w:rtl/>
        </w:rPr>
        <w:t>המשיבים יטענו</w:t>
      </w:r>
      <w:r w:rsidR="00847FB5" w:rsidRPr="00BA5C1A">
        <w:rPr>
          <w:rFonts w:hint="cs"/>
          <w:rtl/>
        </w:rPr>
        <w:t xml:space="preserve"> </w:t>
      </w:r>
      <w:r w:rsidR="00BB09C8">
        <w:rPr>
          <w:rFonts w:hint="cs"/>
          <w:rtl/>
        </w:rPr>
        <w:t>שלא על</w:t>
      </w:r>
      <w:r w:rsidR="00376609">
        <w:rPr>
          <w:rFonts w:hint="cs"/>
          <w:rtl/>
        </w:rPr>
        <w:t>-</w:t>
      </w:r>
      <w:r w:rsidR="00BB09C8">
        <w:rPr>
          <w:rFonts w:hint="cs"/>
          <w:rtl/>
        </w:rPr>
        <w:t>נקלה יפסול ביהמ"ש חקיקה ראשית שכן שכשהוא עושה זאת הוא מסכל את רצון המחוקק</w:t>
      </w:r>
      <w:r w:rsidR="003C27E9">
        <w:rPr>
          <w:rStyle w:val="a6"/>
          <w:rtl/>
        </w:rPr>
        <w:footnoteReference w:id="4"/>
      </w:r>
      <w:r w:rsidR="004872CF">
        <w:rPr>
          <w:rFonts w:hint="cs"/>
          <w:rtl/>
        </w:rPr>
        <w:t>,</w:t>
      </w:r>
      <w:r w:rsidR="00BB09C8">
        <w:rPr>
          <w:rFonts w:hint="cs"/>
          <w:rtl/>
        </w:rPr>
        <w:t xml:space="preserve">קל וחומר כאשר הוא מטיל עליו </w:t>
      </w:r>
      <w:r w:rsidR="00BB09C8" w:rsidRPr="008B7963">
        <w:rPr>
          <w:rFonts w:hint="cs"/>
          <w:b/>
          <w:bCs/>
          <w:rtl/>
        </w:rPr>
        <w:t>לחוקק חוק</w:t>
      </w:r>
      <w:r w:rsidR="003C27E9">
        <w:rPr>
          <w:rFonts w:hint="cs"/>
          <w:rtl/>
        </w:rPr>
        <w:t>.</w:t>
      </w:r>
      <w:r w:rsidR="00BB09C8">
        <w:rPr>
          <w:rFonts w:hint="cs"/>
          <w:rtl/>
        </w:rPr>
        <w:t xml:space="preserve"> </w:t>
      </w:r>
      <w:r w:rsidR="00847FB5" w:rsidRPr="00BA5C1A">
        <w:rPr>
          <w:rFonts w:hint="cs"/>
          <w:rtl/>
        </w:rPr>
        <w:t xml:space="preserve">לביהמ"ש אין את הכלים והיכולת המוסדית </w:t>
      </w:r>
      <w:r w:rsidR="00847FB5" w:rsidRPr="008B7963">
        <w:rPr>
          <w:rFonts w:hint="cs"/>
          <w:rtl/>
        </w:rPr>
        <w:t>לקבוע</w:t>
      </w:r>
      <w:r w:rsidR="00847FB5" w:rsidRPr="008B7963">
        <w:rPr>
          <w:rFonts w:hint="cs"/>
          <w:b/>
          <w:bCs/>
          <w:rtl/>
        </w:rPr>
        <w:t xml:space="preserve"> מדיניות ציבורית.</w:t>
      </w:r>
      <w:r w:rsidR="00847FB5" w:rsidRPr="00BA5C1A">
        <w:rPr>
          <w:rFonts w:hint="cs"/>
          <w:rtl/>
        </w:rPr>
        <w:t>קביעה כזאת תחרוג מגבולות הביקורת השיפוטית במערכת של הפרדת</w:t>
      </w:r>
      <w:r w:rsidR="00376609">
        <w:rPr>
          <w:rFonts w:hint="cs"/>
          <w:rtl/>
        </w:rPr>
        <w:t>-</w:t>
      </w:r>
      <w:r w:rsidR="00847FB5" w:rsidRPr="00BA5C1A">
        <w:rPr>
          <w:rFonts w:hint="cs"/>
          <w:rtl/>
        </w:rPr>
        <w:t>רשויות</w:t>
      </w:r>
      <w:r w:rsidR="003458EC" w:rsidRPr="00BA5C1A">
        <w:rPr>
          <w:rFonts w:hint="cs"/>
          <w:rtl/>
        </w:rPr>
        <w:t>,</w:t>
      </w:r>
      <w:r w:rsidR="00EA28D3" w:rsidRPr="00BA5C1A">
        <w:rPr>
          <w:rFonts w:hint="cs"/>
          <w:rtl/>
        </w:rPr>
        <w:t xml:space="preserve"> ובמיוחד </w:t>
      </w:r>
      <w:r w:rsidR="00576DB0">
        <w:rPr>
          <w:rFonts w:hint="cs"/>
          <w:rtl/>
        </w:rPr>
        <w:t>כ</w:t>
      </w:r>
      <w:r w:rsidR="00EA28D3" w:rsidRPr="00BA5C1A">
        <w:rPr>
          <w:rFonts w:hint="cs"/>
          <w:rtl/>
        </w:rPr>
        <w:t>שמדובר</w:t>
      </w:r>
      <w:r w:rsidR="001C27AF" w:rsidRPr="00BA5C1A">
        <w:rPr>
          <w:rFonts w:hint="cs"/>
          <w:rtl/>
        </w:rPr>
        <w:t xml:space="preserve"> בנושאים בעלי אופי תקציבי</w:t>
      </w:r>
      <w:r w:rsidR="00EA28D3" w:rsidRPr="00BA5C1A">
        <w:rPr>
          <w:rFonts w:hint="cs"/>
          <w:rtl/>
        </w:rPr>
        <w:t>.</w:t>
      </w:r>
      <w:r w:rsidR="003C27E9">
        <w:rPr>
          <w:rFonts w:hint="cs"/>
          <w:rtl/>
        </w:rPr>
        <w:t xml:space="preserve"> חלוקת התקציב הינה </w:t>
      </w:r>
      <w:r w:rsidR="0070545C" w:rsidRPr="00BA5C1A">
        <w:rPr>
          <w:rFonts w:hint="cs"/>
          <w:rtl/>
        </w:rPr>
        <w:t>סוגיה בעלת חשיבות לאומית על-כן על הכנסת לקבל החלטות בנושא זה בהיותם נבחרי העם להבדיל מהשופטים. כאשר מחליט ביהמ"ש להתערב בסוגיות חברתיות כפי שעושה בסוגיות אזרחיות יש הבדל</w:t>
      </w:r>
      <w:r w:rsidR="00EF26E4" w:rsidRPr="00BA5C1A">
        <w:rPr>
          <w:rFonts w:hint="cs"/>
          <w:rtl/>
        </w:rPr>
        <w:t xml:space="preserve"> רב</w:t>
      </w:r>
      <w:r w:rsidR="0070545C" w:rsidRPr="00BA5C1A">
        <w:rPr>
          <w:rFonts w:hint="cs"/>
          <w:rtl/>
        </w:rPr>
        <w:t xml:space="preserve"> </w:t>
      </w:r>
      <w:r w:rsidR="0070545C" w:rsidRPr="008B7963">
        <w:rPr>
          <w:rFonts w:hint="cs"/>
          <w:b/>
          <w:bCs/>
          <w:rtl/>
        </w:rPr>
        <w:t>במידת</w:t>
      </w:r>
      <w:r w:rsidR="00376609">
        <w:rPr>
          <w:rFonts w:hint="cs"/>
          <w:b/>
          <w:bCs/>
          <w:rtl/>
        </w:rPr>
        <w:t>-</w:t>
      </w:r>
      <w:r w:rsidR="0070545C" w:rsidRPr="008B7963">
        <w:rPr>
          <w:rFonts w:hint="cs"/>
          <w:b/>
          <w:bCs/>
          <w:rtl/>
        </w:rPr>
        <w:t>היקפן</w:t>
      </w:r>
      <w:r w:rsidR="0070545C" w:rsidRPr="00BA5C1A">
        <w:rPr>
          <w:rFonts w:hint="cs"/>
          <w:rtl/>
        </w:rPr>
        <w:t>.</w:t>
      </w:r>
      <w:r w:rsidR="001C27AF" w:rsidRPr="00BA5C1A">
        <w:rPr>
          <w:rFonts w:hint="cs"/>
          <w:rtl/>
        </w:rPr>
        <w:t xml:space="preserve"> במקרה כזה ישנה בעיה בלגיטימציה הדמוקרטית של ביהמ"ש</w:t>
      </w:r>
      <w:r w:rsidR="001C27AF" w:rsidRPr="00BA5C1A">
        <w:rPr>
          <w:rStyle w:val="a6"/>
          <w:rtl/>
        </w:rPr>
        <w:footnoteReference w:id="5"/>
      </w:r>
      <w:r w:rsidR="00BB09C8">
        <w:rPr>
          <w:rFonts w:hint="cs"/>
          <w:rtl/>
        </w:rPr>
        <w:t>,</w:t>
      </w:r>
      <w:r w:rsidR="00467DF4" w:rsidRPr="00BA5C1A">
        <w:rPr>
          <w:rFonts w:hint="cs"/>
          <w:rtl/>
        </w:rPr>
        <w:t xml:space="preserve">לכן </w:t>
      </w:r>
      <w:r w:rsidR="00467DF4" w:rsidRPr="00BA5C1A">
        <w:rPr>
          <w:rFonts w:hint="cs"/>
          <w:b/>
          <w:bCs/>
          <w:u w:val="single"/>
          <w:rtl/>
        </w:rPr>
        <w:t>לא צפוי</w:t>
      </w:r>
      <w:r w:rsidR="00467DF4" w:rsidRPr="00BA5C1A">
        <w:rPr>
          <w:rFonts w:hint="cs"/>
          <w:rtl/>
        </w:rPr>
        <w:t xml:space="preserve"> שביהמ"ש יקבל על עצמו סמכות זאת</w:t>
      </w:r>
      <w:r w:rsidR="00D71842" w:rsidRPr="00BA5C1A">
        <w:rPr>
          <w:rFonts w:hint="cs"/>
          <w:rtl/>
        </w:rPr>
        <w:t>.</w:t>
      </w:r>
      <w:r w:rsidR="00F44164" w:rsidRPr="00F44164">
        <w:rPr>
          <w:rFonts w:hint="cs"/>
          <w:rtl/>
        </w:rPr>
        <w:t xml:space="preserve"> </w:t>
      </w:r>
    </w:p>
    <w:p w:rsidR="008B7963" w:rsidRDefault="00F44164" w:rsidP="004872CF">
      <w:pPr>
        <w:spacing w:line="360" w:lineRule="auto"/>
        <w:jc w:val="both"/>
        <w:rPr>
          <w:rtl/>
        </w:rPr>
      </w:pPr>
      <w:r w:rsidRPr="008B7963">
        <w:rPr>
          <w:rFonts w:hint="cs"/>
          <w:u w:val="single"/>
          <w:rtl/>
        </w:rPr>
        <w:t>האם מחויבת המדינה להעניק "רשת</w:t>
      </w:r>
      <w:r w:rsidR="004872CF">
        <w:rPr>
          <w:rFonts w:hint="cs"/>
          <w:u w:val="single"/>
          <w:rtl/>
        </w:rPr>
        <w:t>-</w:t>
      </w:r>
      <w:r w:rsidRPr="008B7963">
        <w:rPr>
          <w:rFonts w:hint="cs"/>
          <w:u w:val="single"/>
          <w:rtl/>
        </w:rPr>
        <w:t xml:space="preserve">מגן" </w:t>
      </w:r>
      <w:r w:rsidRPr="008B7963">
        <w:rPr>
          <w:rFonts w:hint="cs"/>
          <w:b/>
          <w:bCs/>
          <w:u w:val="single"/>
          <w:rtl/>
        </w:rPr>
        <w:t>חברתית</w:t>
      </w:r>
      <w:r w:rsidRPr="008B7963">
        <w:rPr>
          <w:rFonts w:hint="cs"/>
          <w:u w:val="single"/>
          <w:rtl/>
        </w:rPr>
        <w:t xml:space="preserve"> לאזרחיה מכוח חוק-היסוד</w:t>
      </w:r>
      <w:r w:rsidR="00FF66E3" w:rsidRPr="008B7963">
        <w:rPr>
          <w:rFonts w:hint="cs"/>
          <w:u w:val="single"/>
          <w:rtl/>
        </w:rPr>
        <w:t>?</w:t>
      </w:r>
      <w:r w:rsidRPr="00BA5C1A">
        <w:rPr>
          <w:rFonts w:hint="cs"/>
          <w:rtl/>
        </w:rPr>
        <w:t xml:space="preserve"> </w:t>
      </w:r>
    </w:p>
    <w:p w:rsidR="00156156" w:rsidRPr="00BA5C1A" w:rsidRDefault="00156156" w:rsidP="004872CF">
      <w:pPr>
        <w:spacing w:line="360" w:lineRule="auto"/>
        <w:jc w:val="both"/>
        <w:rPr>
          <w:rtl/>
        </w:rPr>
      </w:pPr>
      <w:r>
        <w:rPr>
          <w:rFonts w:hint="cs"/>
          <w:rtl/>
        </w:rPr>
        <w:t>העותרים יביאו את דבריו של השופט לוי</w:t>
      </w:r>
      <w:r>
        <w:rPr>
          <w:rStyle w:val="a6"/>
          <w:rtl/>
        </w:rPr>
        <w:footnoteReference w:id="6"/>
      </w:r>
      <w:r w:rsidRPr="00BA5C1A">
        <w:rPr>
          <w:rFonts w:hint="cs"/>
          <w:rtl/>
        </w:rPr>
        <w:t xml:space="preserve"> שפירש את חוק-היסוד על דרך </w:t>
      </w:r>
      <w:r w:rsidRPr="008B7963">
        <w:rPr>
          <w:rFonts w:hint="cs"/>
          <w:b/>
          <w:bCs/>
          <w:rtl/>
        </w:rPr>
        <w:t>ההרחבה</w:t>
      </w:r>
      <w:r w:rsidRPr="00BA5C1A">
        <w:rPr>
          <w:rFonts w:hint="cs"/>
          <w:rtl/>
        </w:rPr>
        <w:t xml:space="preserve"> וטען שעל המדינה לדאוג לחיי מחיה נאותים לרבות </w:t>
      </w:r>
      <w:r w:rsidRPr="00BA5C1A">
        <w:rPr>
          <w:rFonts w:hint="cs"/>
          <w:sz w:val="28"/>
          <w:rtl/>
        </w:rPr>
        <w:t xml:space="preserve">צרכים </w:t>
      </w:r>
      <w:r w:rsidRPr="008B7963">
        <w:rPr>
          <w:rFonts w:hint="cs"/>
          <w:b/>
          <w:bCs/>
          <w:sz w:val="28"/>
          <w:rtl/>
        </w:rPr>
        <w:t>רוחניים וחברתיים</w:t>
      </w:r>
      <w:r w:rsidRPr="00BA5C1A">
        <w:rPr>
          <w:rFonts w:hint="cs"/>
          <w:rtl/>
        </w:rPr>
        <w:t xml:space="preserve"> וכי הקיצוץ שנעשה פגע </w:t>
      </w:r>
      <w:r w:rsidRPr="003E090E">
        <w:rPr>
          <w:rFonts w:hint="cs"/>
          <w:rtl/>
        </w:rPr>
        <w:t xml:space="preserve">בזכות לכבוד ועל-כן על המדינה לכלכל שינויים בחוק האמור. טענה נוספת בדבר הזכות לשויון חברתי תמצא </w:t>
      </w:r>
      <w:r w:rsidRPr="003E090E">
        <w:rPr>
          <w:rFonts w:hint="cs"/>
          <w:b/>
          <w:bCs/>
          <w:rtl/>
        </w:rPr>
        <w:t>במגילת</w:t>
      </w:r>
      <w:r w:rsidRPr="004872CF">
        <w:rPr>
          <w:rFonts w:hint="cs"/>
          <w:b/>
          <w:bCs/>
          <w:rtl/>
        </w:rPr>
        <w:t>-העצמאות</w:t>
      </w:r>
      <w:r w:rsidRPr="00BA5C1A">
        <w:rPr>
          <w:rFonts w:hint="cs"/>
          <w:rtl/>
        </w:rPr>
        <w:t xml:space="preserve"> בה מצוינת מחויבותה של המדינה ל</w:t>
      </w:r>
      <w:r w:rsidRPr="00BA5C1A">
        <w:rPr>
          <w:rtl/>
        </w:rPr>
        <w:t>שויון זכויות חברתי</w:t>
      </w:r>
      <w:r w:rsidRPr="00BA5C1A">
        <w:rPr>
          <w:rFonts w:hint="cs"/>
          <w:rtl/>
        </w:rPr>
        <w:t xml:space="preserve"> והוראה זו אף נכללה בס'1 לחו</w:t>
      </w:r>
      <w:r>
        <w:rPr>
          <w:rFonts w:hint="cs"/>
          <w:rtl/>
        </w:rPr>
        <w:t>ק-היסוד</w:t>
      </w:r>
      <w:r w:rsidRPr="00BA5C1A">
        <w:rPr>
          <w:rStyle w:val="a6"/>
          <w:rtl/>
        </w:rPr>
        <w:footnoteReference w:id="7"/>
      </w:r>
      <w:r>
        <w:rPr>
          <w:rFonts w:hint="cs"/>
          <w:rtl/>
        </w:rPr>
        <w:t xml:space="preserve">. </w:t>
      </w:r>
      <w:r w:rsidRPr="00BA5C1A">
        <w:rPr>
          <w:rFonts w:hint="cs"/>
          <w:rtl/>
        </w:rPr>
        <w:t>נ</w:t>
      </w:r>
      <w:r>
        <w:rPr>
          <w:rFonts w:hint="cs"/>
          <w:rtl/>
        </w:rPr>
        <w:t xml:space="preserve">ושא תוקפה של מגילת-העצמאות הובא </w:t>
      </w:r>
      <w:r w:rsidRPr="00BA5C1A">
        <w:rPr>
          <w:rFonts w:hint="cs"/>
          <w:rtl/>
        </w:rPr>
        <w:t>בפס"ד בעניין שוחרי גיל"ת</w:t>
      </w:r>
      <w:r w:rsidRPr="00BA5C1A">
        <w:rPr>
          <w:rStyle w:val="a6"/>
          <w:rtl/>
        </w:rPr>
        <w:footnoteReference w:id="8"/>
      </w:r>
      <w:r w:rsidRPr="00BA5C1A">
        <w:rPr>
          <w:rFonts w:hint="cs"/>
          <w:rtl/>
        </w:rPr>
        <w:t xml:space="preserve">. </w:t>
      </w:r>
      <w:r w:rsidR="004872CF">
        <w:rPr>
          <w:rFonts w:hint="cs"/>
          <w:rtl/>
        </w:rPr>
        <w:t>אציין</w:t>
      </w:r>
      <w:r w:rsidRPr="00BA5C1A">
        <w:rPr>
          <w:rFonts w:hint="cs"/>
          <w:rtl/>
        </w:rPr>
        <w:t xml:space="preserve"> כי השופט אור בחר שלא להכריע בסוגית תוקפה של מגילת-העצמאות.</w:t>
      </w:r>
    </w:p>
    <w:p w:rsidR="00C034EE" w:rsidRPr="004872CF" w:rsidRDefault="008B7963" w:rsidP="004872CF">
      <w:pPr>
        <w:spacing w:line="360" w:lineRule="auto"/>
        <w:jc w:val="both"/>
        <w:rPr>
          <w:rtl/>
        </w:rPr>
      </w:pPr>
      <w:r>
        <w:rPr>
          <w:rFonts w:hint="cs"/>
          <w:rtl/>
        </w:rPr>
        <w:t>המשיבים יאמרו ש</w:t>
      </w:r>
      <w:r w:rsidR="00F44164" w:rsidRPr="00BA5C1A">
        <w:rPr>
          <w:rFonts w:hint="cs"/>
          <w:rtl/>
        </w:rPr>
        <w:t>בסוגיה זו הכריע ביהמ"ש</w:t>
      </w:r>
      <w:r w:rsidR="00F45E9E">
        <w:rPr>
          <w:rStyle w:val="a6"/>
          <w:rtl/>
        </w:rPr>
        <w:footnoteReference w:id="9"/>
      </w:r>
      <w:r w:rsidR="00F44164" w:rsidRPr="00BA5C1A">
        <w:rPr>
          <w:rFonts w:hint="cs"/>
          <w:rtl/>
        </w:rPr>
        <w:t xml:space="preserve"> כי המדינה נדרשת לספק </w:t>
      </w:r>
      <w:r w:rsidR="00F44164" w:rsidRPr="008B7963">
        <w:rPr>
          <w:rFonts w:hint="cs"/>
          <w:b/>
          <w:bCs/>
          <w:rtl/>
        </w:rPr>
        <w:t>קיום חומרי</w:t>
      </w:r>
      <w:r w:rsidR="00F44164" w:rsidRPr="00BA5C1A">
        <w:rPr>
          <w:rFonts w:hint="cs"/>
          <w:rtl/>
        </w:rPr>
        <w:t xml:space="preserve"> בלבד וכי אין לקרוא את חוק-היסוד יותר ממה שיש בכוחו לשאת. חוק-היסוד כולל </w:t>
      </w:r>
      <w:r w:rsidR="00F44164" w:rsidRPr="00FF66E3">
        <w:rPr>
          <w:rFonts w:hint="cs"/>
          <w:b/>
          <w:bCs/>
          <w:rtl/>
        </w:rPr>
        <w:t>מדיניות ואידיאל</w:t>
      </w:r>
      <w:r w:rsidR="00F44164" w:rsidRPr="00BA5C1A">
        <w:rPr>
          <w:rFonts w:hint="cs"/>
          <w:rtl/>
        </w:rPr>
        <w:t xml:space="preserve"> אך לא תכנית פעולה או מטרה לרשויות השלטון. ניתן להגדיר את חוק היסוד כ"</w:t>
      </w:r>
      <w:r w:rsidR="00F44164" w:rsidRPr="008B7963">
        <w:rPr>
          <w:rFonts w:hint="cs"/>
          <w:b/>
          <w:bCs/>
          <w:rtl/>
        </w:rPr>
        <w:t>מושג</w:t>
      </w:r>
      <w:r w:rsidR="004872CF">
        <w:rPr>
          <w:rFonts w:hint="cs"/>
          <w:b/>
          <w:bCs/>
          <w:rtl/>
        </w:rPr>
        <w:t>-</w:t>
      </w:r>
      <w:r w:rsidR="00F44164" w:rsidRPr="008B7963">
        <w:rPr>
          <w:rFonts w:hint="cs"/>
          <w:b/>
          <w:bCs/>
          <w:rtl/>
        </w:rPr>
        <w:t>גג".</w:t>
      </w:r>
      <w:r w:rsidR="00F44164" w:rsidRPr="00BA5C1A">
        <w:rPr>
          <w:rFonts w:hint="cs"/>
          <w:rtl/>
        </w:rPr>
        <w:t xml:space="preserve">מתן קצבה היא רק </w:t>
      </w:r>
      <w:r w:rsidR="00F44164" w:rsidRPr="008B7963">
        <w:rPr>
          <w:rFonts w:hint="cs"/>
          <w:b/>
          <w:bCs/>
          <w:rtl/>
        </w:rPr>
        <w:t xml:space="preserve">דרך אחת </w:t>
      </w:r>
      <w:r w:rsidR="00F44164" w:rsidRPr="00BA5C1A">
        <w:rPr>
          <w:rFonts w:hint="cs"/>
          <w:rtl/>
        </w:rPr>
        <w:t xml:space="preserve">של המדינה לשמירה על כבוד-האדם. </w:t>
      </w:r>
      <w:r w:rsidR="00156156" w:rsidRPr="00376609">
        <w:rPr>
          <w:rFonts w:hint="cs"/>
          <w:b/>
          <w:bCs/>
          <w:rtl/>
        </w:rPr>
        <w:t>לדידי</w:t>
      </w:r>
      <w:r w:rsidR="00156156">
        <w:rPr>
          <w:rFonts w:hint="cs"/>
          <w:rtl/>
        </w:rPr>
        <w:t xml:space="preserve">, ביהמ"ש </w:t>
      </w:r>
      <w:r w:rsidR="00156156" w:rsidRPr="00156156">
        <w:rPr>
          <w:rFonts w:hint="cs"/>
          <w:b/>
          <w:bCs/>
          <w:rtl/>
        </w:rPr>
        <w:t>יקבל</w:t>
      </w:r>
      <w:r w:rsidR="00156156">
        <w:rPr>
          <w:rFonts w:hint="cs"/>
          <w:rtl/>
        </w:rPr>
        <w:t xml:space="preserve"> את טענת המשיבים.</w:t>
      </w:r>
    </w:p>
    <w:p w:rsidR="00B91A7E" w:rsidRPr="00BA5C1A" w:rsidRDefault="00660A18" w:rsidP="004872CF">
      <w:pPr>
        <w:spacing w:line="360" w:lineRule="auto"/>
        <w:jc w:val="both"/>
        <w:rPr>
          <w:rtl/>
        </w:rPr>
      </w:pPr>
      <w:r w:rsidRPr="008B7963">
        <w:rPr>
          <w:rFonts w:hint="cs"/>
          <w:u w:val="single"/>
          <w:rtl/>
        </w:rPr>
        <w:t>זכות חיובית לעומת שלילית</w:t>
      </w:r>
      <w:r w:rsidRPr="00BA5C1A">
        <w:rPr>
          <w:rFonts w:hint="cs"/>
          <w:rtl/>
        </w:rPr>
        <w:t>:</w:t>
      </w:r>
      <w:r w:rsidR="00031AE1" w:rsidRPr="00BA5C1A">
        <w:rPr>
          <w:rFonts w:hint="cs"/>
          <w:rtl/>
        </w:rPr>
        <w:t>העותרים יאמרו שאם מכירים בעובדה שמדינת-ישראל</w:t>
      </w:r>
      <w:r w:rsidR="00F45E9E">
        <w:rPr>
          <w:rFonts w:hint="cs"/>
          <w:rtl/>
        </w:rPr>
        <w:t xml:space="preserve"> </w:t>
      </w:r>
      <w:r w:rsidR="00031AE1" w:rsidRPr="00BA5C1A">
        <w:rPr>
          <w:rFonts w:hint="cs"/>
          <w:rtl/>
        </w:rPr>
        <w:t>דוגלת בשו</w:t>
      </w:r>
      <w:r w:rsidR="00173146" w:rsidRPr="00BA5C1A">
        <w:rPr>
          <w:rFonts w:hint="cs"/>
          <w:rtl/>
        </w:rPr>
        <w:t>ו</w:t>
      </w:r>
      <w:r w:rsidR="00031AE1" w:rsidRPr="00BA5C1A">
        <w:rPr>
          <w:rFonts w:hint="cs"/>
          <w:rtl/>
        </w:rPr>
        <w:t>יון ו</w:t>
      </w:r>
      <w:r w:rsidR="00031AE1" w:rsidRPr="00DA06DC">
        <w:rPr>
          <w:rFonts w:hint="cs"/>
          <w:rtl/>
        </w:rPr>
        <w:t>בטחון</w:t>
      </w:r>
      <w:r w:rsidR="00F45E9E">
        <w:rPr>
          <w:rFonts w:hint="cs"/>
          <w:rtl/>
        </w:rPr>
        <w:t>-</w:t>
      </w:r>
      <w:r w:rsidR="00031AE1" w:rsidRPr="00DA06DC">
        <w:rPr>
          <w:rFonts w:hint="cs"/>
          <w:rtl/>
        </w:rPr>
        <w:t xml:space="preserve">סוציאלי הרי שהשארת </w:t>
      </w:r>
      <w:r w:rsidR="006E2A11" w:rsidRPr="00DA06DC">
        <w:rPr>
          <w:rFonts w:hint="cs"/>
          <w:rtl/>
        </w:rPr>
        <w:t>המצב כפי שהוא יש בו</w:t>
      </w:r>
      <w:r w:rsidR="009F4F92" w:rsidRPr="00DA06DC">
        <w:rPr>
          <w:rFonts w:hint="cs"/>
          <w:rtl/>
        </w:rPr>
        <w:t xml:space="preserve"> משום</w:t>
      </w:r>
      <w:r w:rsidR="00031AE1" w:rsidRPr="00DA06DC">
        <w:rPr>
          <w:rFonts w:hint="cs"/>
          <w:rtl/>
        </w:rPr>
        <w:t xml:space="preserve"> </w:t>
      </w:r>
      <w:r w:rsidR="00031AE1" w:rsidRPr="00DA06DC">
        <w:rPr>
          <w:rFonts w:hint="cs"/>
          <w:u w:val="single"/>
          <w:rtl/>
        </w:rPr>
        <w:t>פגיעה</w:t>
      </w:r>
      <w:r w:rsidR="009F4F92" w:rsidRPr="00DA06DC">
        <w:rPr>
          <w:rStyle w:val="a6"/>
          <w:u w:val="single"/>
          <w:rtl/>
        </w:rPr>
        <w:footnoteReference w:id="10"/>
      </w:r>
      <w:r w:rsidR="009F4F92" w:rsidRPr="00DA06DC">
        <w:rPr>
          <w:rFonts w:hint="cs"/>
          <w:rtl/>
        </w:rPr>
        <w:t xml:space="preserve"> בכבוד-האדם</w:t>
      </w:r>
      <w:r w:rsidR="00031AE1" w:rsidRPr="00DA06DC">
        <w:rPr>
          <w:rFonts w:hint="cs"/>
          <w:rtl/>
        </w:rPr>
        <w:t>,</w:t>
      </w:r>
      <w:r w:rsidR="004872CF">
        <w:rPr>
          <w:rFonts w:hint="cs"/>
          <w:rtl/>
        </w:rPr>
        <w:t xml:space="preserve"> זאת בניגוד לס'2</w:t>
      </w:r>
      <w:r w:rsidR="009F4F92" w:rsidRPr="00DA06DC">
        <w:rPr>
          <w:rFonts w:hint="cs"/>
          <w:rtl/>
        </w:rPr>
        <w:t>(זכות שלילית)לחוק-היסוד.</w:t>
      </w:r>
      <w:r w:rsidR="004872CF">
        <w:rPr>
          <w:rFonts w:hint="cs"/>
          <w:rtl/>
        </w:rPr>
        <w:t xml:space="preserve"> </w:t>
      </w:r>
      <w:r w:rsidR="00376609">
        <w:rPr>
          <w:rFonts w:hint="cs"/>
          <w:rtl/>
        </w:rPr>
        <w:t>ט</w:t>
      </w:r>
      <w:r w:rsidR="00031AE1" w:rsidRPr="00DA06DC">
        <w:rPr>
          <w:rFonts w:hint="cs"/>
          <w:rtl/>
        </w:rPr>
        <w:t xml:space="preserve">ענה זו היא חלשה כיוון שיאמרו המשיבים שלא מדובר בפגיעה אלא שמירה על סטטוס-קוו, טענה טובה </w:t>
      </w:r>
      <w:r w:rsidR="00031AE1" w:rsidRPr="00BA5C1A">
        <w:rPr>
          <w:rFonts w:hint="cs"/>
          <w:rtl/>
        </w:rPr>
        <w:lastRenderedPageBreak/>
        <w:t xml:space="preserve">מזאת תהיה </w:t>
      </w:r>
      <w:r w:rsidRPr="00BA5C1A">
        <w:rPr>
          <w:rFonts w:hint="cs"/>
          <w:rtl/>
        </w:rPr>
        <w:t xml:space="preserve">כי על המדינה </w:t>
      </w:r>
      <w:r w:rsidR="00B91A7E" w:rsidRPr="00BA5C1A">
        <w:rPr>
          <w:rFonts w:hint="cs"/>
          <w:b/>
          <w:bCs/>
          <w:rtl/>
        </w:rPr>
        <w:t>להגן</w:t>
      </w:r>
      <w:r w:rsidR="00DA06DC">
        <w:rPr>
          <w:rStyle w:val="a6"/>
          <w:rtl/>
        </w:rPr>
        <w:footnoteReference w:id="11"/>
      </w:r>
      <w:r w:rsidR="00B91A7E" w:rsidRPr="00BA5C1A">
        <w:rPr>
          <w:rFonts w:hint="cs"/>
          <w:rtl/>
        </w:rPr>
        <w:t xml:space="preserve"> על כבוד-האדם</w:t>
      </w:r>
      <w:r w:rsidR="00304C00" w:rsidRPr="00BA5C1A">
        <w:rPr>
          <w:rFonts w:hint="cs"/>
          <w:rtl/>
        </w:rPr>
        <w:t xml:space="preserve"> </w:t>
      </w:r>
      <w:r w:rsidR="00B91A7E" w:rsidRPr="00BA5C1A">
        <w:rPr>
          <w:rFonts w:hint="cs"/>
          <w:rtl/>
        </w:rPr>
        <w:t>כפי שהיא מחויבת</w:t>
      </w:r>
      <w:r w:rsidR="00DA06DC" w:rsidRPr="00BA5C1A">
        <w:rPr>
          <w:rFonts w:hint="cs"/>
          <w:rtl/>
        </w:rPr>
        <w:t>(כדברי השופט לוי בעניין עמותת מחויבות לשלום)</w:t>
      </w:r>
      <w:r w:rsidR="00DA06DC">
        <w:rPr>
          <w:rFonts w:hint="cs"/>
          <w:rtl/>
        </w:rPr>
        <w:t>וזאת</w:t>
      </w:r>
      <w:r w:rsidR="00B91A7E" w:rsidRPr="00BA5C1A">
        <w:rPr>
          <w:rFonts w:hint="cs"/>
          <w:rtl/>
        </w:rPr>
        <w:t xml:space="preserve"> מכח ס'1א</w:t>
      </w:r>
      <w:r w:rsidR="00DA06DC">
        <w:rPr>
          <w:rFonts w:hint="cs"/>
          <w:rtl/>
        </w:rPr>
        <w:t xml:space="preserve"> ומכח ס'4</w:t>
      </w:r>
      <w:r w:rsidR="00B91A7E" w:rsidRPr="00BA5C1A">
        <w:rPr>
          <w:rStyle w:val="a6"/>
          <w:rtl/>
        </w:rPr>
        <w:footnoteReference w:id="12"/>
      </w:r>
      <w:r w:rsidR="00B91A7E" w:rsidRPr="00BA5C1A">
        <w:rPr>
          <w:rFonts w:hint="cs"/>
          <w:rtl/>
        </w:rPr>
        <w:t xml:space="preserve"> </w:t>
      </w:r>
      <w:r w:rsidR="00815040" w:rsidRPr="00BA5C1A">
        <w:rPr>
          <w:rFonts w:hint="cs"/>
          <w:rtl/>
        </w:rPr>
        <w:t xml:space="preserve">וכי על המדינה להתעלם מההשלכות התקציביות שנוגעות בכך כפי שעשתה בעניין </w:t>
      </w:r>
      <w:r w:rsidR="0075668D" w:rsidRPr="00BA5C1A">
        <w:rPr>
          <w:rFonts w:hint="cs"/>
          <w:rtl/>
        </w:rPr>
        <w:t>ית"ד</w:t>
      </w:r>
      <w:r w:rsidR="0075668D" w:rsidRPr="00BA5C1A">
        <w:rPr>
          <w:rStyle w:val="a6"/>
          <w:rtl/>
        </w:rPr>
        <w:footnoteReference w:id="13"/>
      </w:r>
      <w:r w:rsidR="004872CF">
        <w:rPr>
          <w:rFonts w:hint="cs"/>
          <w:rtl/>
        </w:rPr>
        <w:t>.</w:t>
      </w:r>
      <w:r w:rsidR="00CB4A8B" w:rsidRPr="00CB4A8B">
        <w:rPr>
          <w:rFonts w:hint="cs"/>
          <w:rtl/>
        </w:rPr>
        <w:t>המשיבים יטענו</w:t>
      </w:r>
      <w:r w:rsidR="00156156">
        <w:rPr>
          <w:rFonts w:hint="cs"/>
          <w:rtl/>
        </w:rPr>
        <w:t>,</w:t>
      </w:r>
      <w:r w:rsidR="00156156" w:rsidRPr="00156156">
        <w:rPr>
          <w:rFonts w:hint="cs"/>
          <w:b/>
          <w:bCs/>
          <w:rtl/>
        </w:rPr>
        <w:t>לדעת ביהמ"ש</w:t>
      </w:r>
      <w:r w:rsidR="00156156">
        <w:rPr>
          <w:rFonts w:hint="cs"/>
          <w:rtl/>
        </w:rPr>
        <w:t>,</w:t>
      </w:r>
      <w:r w:rsidR="00CB4A8B" w:rsidRPr="00CB4A8B">
        <w:rPr>
          <w:rFonts w:hint="cs"/>
          <w:rtl/>
        </w:rPr>
        <w:t xml:space="preserve"> שלא ניתן לתת מלוא ההגנה</w:t>
      </w:r>
      <w:r w:rsidR="00CB4A8B">
        <w:rPr>
          <w:rFonts w:hint="cs"/>
          <w:rtl/>
        </w:rPr>
        <w:t xml:space="preserve"> על זכות-היסוד שכן דבר זה סתור ביסודו</w:t>
      </w:r>
      <w:r w:rsidR="00CB4A8B">
        <w:rPr>
          <w:rStyle w:val="a6"/>
          <w:rtl/>
        </w:rPr>
        <w:footnoteReference w:id="14"/>
      </w:r>
      <w:r w:rsidR="00CB4A8B">
        <w:rPr>
          <w:rFonts w:hint="cs"/>
          <w:rtl/>
        </w:rPr>
        <w:t>. עוד אמר</w:t>
      </w:r>
      <w:r w:rsidR="00C23181" w:rsidRPr="00BA5C1A">
        <w:rPr>
          <w:rFonts w:hint="cs"/>
          <w:rtl/>
        </w:rPr>
        <w:t xml:space="preserve"> הנשיא ברק בעניין זה ניתנה כאשר ציין שהשופט נדרש להתייחס למתן זכות חיובית </w:t>
      </w:r>
      <w:r w:rsidR="00CB4A8B">
        <w:rPr>
          <w:rFonts w:hint="cs"/>
          <w:b/>
          <w:bCs/>
          <w:rtl/>
        </w:rPr>
        <w:t>בנסיבות השונות</w:t>
      </w:r>
      <w:r w:rsidR="00C23181" w:rsidRPr="00BA5C1A">
        <w:rPr>
          <w:rStyle w:val="a6"/>
          <w:rtl/>
        </w:rPr>
        <w:footnoteReference w:id="15"/>
      </w:r>
      <w:r w:rsidR="004872CF">
        <w:rPr>
          <w:rFonts w:hint="cs"/>
          <w:rtl/>
        </w:rPr>
        <w:t>.</w:t>
      </w:r>
      <w:r w:rsidR="00C23181" w:rsidRPr="00BA5C1A">
        <w:rPr>
          <w:rFonts w:hint="cs"/>
          <w:rtl/>
        </w:rPr>
        <w:t xml:space="preserve">לאור </w:t>
      </w:r>
      <w:r w:rsidR="00CB4A8B">
        <w:rPr>
          <w:rFonts w:hint="cs"/>
          <w:rtl/>
        </w:rPr>
        <w:t>דברי ברק מצבה</w:t>
      </w:r>
      <w:r w:rsidR="00C23181" w:rsidRPr="00BA5C1A">
        <w:rPr>
          <w:rFonts w:hint="cs"/>
          <w:rtl/>
        </w:rPr>
        <w:t xml:space="preserve"> הכלכלי הצפוי של המדינה לא </w:t>
      </w:r>
      <w:r w:rsidR="004872CF">
        <w:rPr>
          <w:rFonts w:hint="cs"/>
          <w:rtl/>
        </w:rPr>
        <w:t>תת</w:t>
      </w:r>
      <w:r w:rsidR="00C23181" w:rsidRPr="00BA5C1A">
        <w:rPr>
          <w:rFonts w:hint="cs"/>
          <w:rtl/>
        </w:rPr>
        <w:t xml:space="preserve">אפשר מתן </w:t>
      </w:r>
      <w:r w:rsidR="00376609">
        <w:rPr>
          <w:rFonts w:hint="cs"/>
          <w:rtl/>
        </w:rPr>
        <w:t>ה</w:t>
      </w:r>
      <w:r w:rsidR="00C23181" w:rsidRPr="00BA5C1A">
        <w:rPr>
          <w:rFonts w:hint="cs"/>
          <w:rtl/>
        </w:rPr>
        <w:t>זכות.</w:t>
      </w:r>
      <w:r w:rsidR="00304C00" w:rsidRPr="00BA5C1A">
        <w:rPr>
          <w:rFonts w:hint="cs"/>
          <w:rtl/>
        </w:rPr>
        <w:t xml:space="preserve"> </w:t>
      </w:r>
    </w:p>
    <w:p w:rsidR="008D010B" w:rsidRPr="00180994" w:rsidRDefault="00180994" w:rsidP="00F45E9E">
      <w:pPr>
        <w:spacing w:line="360" w:lineRule="auto"/>
        <w:jc w:val="both"/>
        <w:rPr>
          <w:u w:val="single"/>
          <w:rtl/>
        </w:rPr>
      </w:pPr>
      <w:r>
        <w:rPr>
          <w:rFonts w:hint="cs"/>
          <w:u w:val="single"/>
          <w:rtl/>
        </w:rPr>
        <w:t>איזון</w:t>
      </w:r>
      <w:r w:rsidR="00F45E9E">
        <w:rPr>
          <w:rFonts w:hint="cs"/>
          <w:u w:val="single"/>
          <w:rtl/>
        </w:rPr>
        <w:t>-</w:t>
      </w:r>
      <w:r>
        <w:rPr>
          <w:rFonts w:hint="cs"/>
          <w:u w:val="single"/>
          <w:rtl/>
        </w:rPr>
        <w:t>עקרוני:</w:t>
      </w:r>
    </w:p>
    <w:p w:rsidR="0014505F" w:rsidRDefault="0014505F" w:rsidP="004872CF">
      <w:pPr>
        <w:spacing w:line="360" w:lineRule="auto"/>
        <w:jc w:val="both"/>
        <w:rPr>
          <w:rtl/>
        </w:rPr>
      </w:pPr>
      <w:r>
        <w:rPr>
          <w:rFonts w:hint="cs"/>
          <w:rtl/>
        </w:rPr>
        <w:t>המשיבים יפנו לנוסחת</w:t>
      </w:r>
      <w:r w:rsidR="00A0791F">
        <w:rPr>
          <w:rFonts w:hint="cs"/>
          <w:rtl/>
        </w:rPr>
        <w:t xml:space="preserve"> האיזון האנכית</w:t>
      </w:r>
      <w:r w:rsidR="00A0791F">
        <w:rPr>
          <w:rStyle w:val="a6"/>
          <w:rtl/>
        </w:rPr>
        <w:footnoteReference w:id="16"/>
      </w:r>
      <w:r w:rsidR="004872CF">
        <w:rPr>
          <w:rFonts w:hint="cs"/>
          <w:rtl/>
        </w:rPr>
        <w:t>-</w:t>
      </w:r>
      <w:r w:rsidR="00A0791F">
        <w:rPr>
          <w:rFonts w:hint="cs"/>
          <w:rtl/>
        </w:rPr>
        <w:t>האינטרס הציבורי הינו שמירה על חוסנה</w:t>
      </w:r>
      <w:r w:rsidR="00376609">
        <w:rPr>
          <w:rFonts w:hint="cs"/>
          <w:rtl/>
        </w:rPr>
        <w:t xml:space="preserve"> </w:t>
      </w:r>
      <w:r w:rsidR="00A0791F">
        <w:rPr>
          <w:rFonts w:hint="cs"/>
          <w:rtl/>
        </w:rPr>
        <w:t>הכלכלי של המ</w:t>
      </w:r>
      <w:r w:rsidR="00376609">
        <w:rPr>
          <w:rFonts w:hint="cs"/>
          <w:rtl/>
        </w:rPr>
        <w:t>דינה לעומת ההגנה על זכות-היסוד.</w:t>
      </w:r>
      <w:r w:rsidR="00A0791F">
        <w:rPr>
          <w:rFonts w:hint="cs"/>
          <w:rtl/>
        </w:rPr>
        <w:t xml:space="preserve">על ביהמ"ש בעניין זה לבחון את </w:t>
      </w:r>
      <w:r w:rsidR="00A74341">
        <w:rPr>
          <w:rFonts w:hint="cs"/>
          <w:rtl/>
        </w:rPr>
        <w:t>ההיקף וההסתברות של הפגיעה באינטרס הציבורי במידה ויתקבל חו</w:t>
      </w:r>
      <w:r w:rsidR="00376609">
        <w:rPr>
          <w:rFonts w:hint="cs"/>
          <w:rtl/>
        </w:rPr>
        <w:t xml:space="preserve">ק זה. נראה שמבחינת ההסתברות אין </w:t>
      </w:r>
      <w:r w:rsidR="00A74341">
        <w:rPr>
          <w:rFonts w:hint="cs"/>
          <w:rtl/>
        </w:rPr>
        <w:t>ספק שתהיה פגיעה באינטרס שכן משאבים רבים על-חשבון הציבור יופנו לקצבאות. היקף הפגיעה- לדעת המומחים צפויה האטה במשק ולכן נראה שההיקף יהיה רב.</w:t>
      </w:r>
      <w:r w:rsidR="006829F9">
        <w:rPr>
          <w:rFonts w:hint="cs"/>
          <w:rtl/>
        </w:rPr>
        <w:t xml:space="preserve"> </w:t>
      </w:r>
      <w:r w:rsidR="00671125">
        <w:rPr>
          <w:rFonts w:hint="cs"/>
          <w:rtl/>
        </w:rPr>
        <w:t>העותרים יפנו את ביהמ"ש למאמרו של פרופ' ספיר</w:t>
      </w:r>
      <w:r w:rsidR="00A01D81">
        <w:rPr>
          <w:rStyle w:val="a6"/>
          <w:rtl/>
        </w:rPr>
        <w:footnoteReference w:id="17"/>
      </w:r>
      <w:r w:rsidR="00671125">
        <w:rPr>
          <w:rFonts w:hint="cs"/>
          <w:rtl/>
        </w:rPr>
        <w:t xml:space="preserve"> בו הוא מבקר את השימוש במבחן האיזון האנכי ומציע שימוש בנוסחת </w:t>
      </w:r>
      <w:r w:rsidR="00671125" w:rsidRPr="00D94FF2">
        <w:rPr>
          <w:rFonts w:hint="cs"/>
          <w:b/>
          <w:bCs/>
          <w:rtl/>
        </w:rPr>
        <w:t>מידתיות</w:t>
      </w:r>
      <w:r w:rsidR="00671125">
        <w:rPr>
          <w:rFonts w:hint="cs"/>
          <w:rtl/>
        </w:rPr>
        <w:t xml:space="preserve"> ע"מ להגיע לפשרה בין הזכות</w:t>
      </w:r>
      <w:r w:rsidR="00376609">
        <w:rPr>
          <w:rFonts w:hint="cs"/>
          <w:rtl/>
        </w:rPr>
        <w:t xml:space="preserve"> </w:t>
      </w:r>
      <w:r w:rsidR="00671125">
        <w:rPr>
          <w:rFonts w:hint="cs"/>
          <w:rtl/>
        </w:rPr>
        <w:t>לאינטרס.</w:t>
      </w:r>
      <w:r w:rsidR="006829F9">
        <w:rPr>
          <w:rFonts w:hint="cs"/>
          <w:rtl/>
        </w:rPr>
        <w:t>נראה שביהמ"ש יקבל את טענת המשיבים שכן</w:t>
      </w:r>
      <w:r w:rsidR="006829F9" w:rsidRPr="006829F9">
        <w:rPr>
          <w:rFonts w:hint="cs"/>
          <w:rtl/>
        </w:rPr>
        <w:t xml:space="preserve"> </w:t>
      </w:r>
      <w:r w:rsidR="006829F9">
        <w:rPr>
          <w:rFonts w:hint="cs"/>
          <w:rtl/>
        </w:rPr>
        <w:t>לדעת פרופ' ספיר על-אף קיומה של פסקת ההגבלה לעיתים ביהמ"ש יעדיף להשתמש באיזון-האנכי כאשר מעוניין הוא בהעדפת אינטרס</w:t>
      </w:r>
      <w:r w:rsidR="00376609">
        <w:rPr>
          <w:rFonts w:hint="cs"/>
          <w:rtl/>
        </w:rPr>
        <w:t>-</w:t>
      </w:r>
      <w:r w:rsidR="006829F9">
        <w:rPr>
          <w:rFonts w:hint="cs"/>
          <w:rtl/>
        </w:rPr>
        <w:t>ציבורי.</w:t>
      </w:r>
    </w:p>
    <w:p w:rsidR="007E5A5C" w:rsidRPr="00926627" w:rsidRDefault="00304C00" w:rsidP="0057707A">
      <w:pPr>
        <w:spacing w:line="360" w:lineRule="auto"/>
        <w:jc w:val="both"/>
        <w:rPr>
          <w:b/>
          <w:bCs/>
          <w:rtl/>
        </w:rPr>
      </w:pPr>
      <w:r w:rsidRPr="00926627">
        <w:rPr>
          <w:rFonts w:hint="cs"/>
          <w:b/>
          <w:bCs/>
          <w:u w:val="single"/>
          <w:rtl/>
        </w:rPr>
        <w:t>שאלה ב'</w:t>
      </w:r>
      <w:r w:rsidR="004872CF">
        <w:rPr>
          <w:rFonts w:hint="cs"/>
          <w:b/>
          <w:bCs/>
          <w:rtl/>
        </w:rPr>
        <w:t>:</w:t>
      </w:r>
    </w:p>
    <w:p w:rsidR="00671125" w:rsidRPr="004F1866" w:rsidRDefault="00495645" w:rsidP="00627963">
      <w:pPr>
        <w:spacing w:line="360" w:lineRule="auto"/>
        <w:jc w:val="both"/>
        <w:rPr>
          <w:b/>
          <w:bCs/>
          <w:rtl/>
        </w:rPr>
      </w:pPr>
      <w:r w:rsidRPr="004F1866">
        <w:rPr>
          <w:rFonts w:hint="cs"/>
          <w:b/>
          <w:bCs/>
          <w:u w:val="single"/>
          <w:rtl/>
        </w:rPr>
        <w:t>האם החוק פוגע בזכות-יסוד?</w:t>
      </w:r>
      <w:r w:rsidRPr="004F1866">
        <w:rPr>
          <w:rFonts w:hint="cs"/>
          <w:b/>
          <w:bCs/>
          <w:rtl/>
        </w:rPr>
        <w:t xml:space="preserve"> </w:t>
      </w:r>
    </w:p>
    <w:p w:rsidR="00495645" w:rsidRDefault="00797086" w:rsidP="00376609">
      <w:pPr>
        <w:spacing w:line="360" w:lineRule="auto"/>
        <w:jc w:val="both"/>
        <w:rPr>
          <w:rtl/>
        </w:rPr>
      </w:pPr>
      <w:r w:rsidRPr="00BA5C1A">
        <w:rPr>
          <w:rFonts w:hint="cs"/>
          <w:rtl/>
        </w:rPr>
        <w:t>העותרים יטענו שאדם באשר הוא אדם זכאי לתנאים מינימלים בתוכם גם קורת גג</w:t>
      </w:r>
      <w:r w:rsidR="00783B54" w:rsidRPr="00BA5C1A">
        <w:rPr>
          <w:rFonts w:hint="cs"/>
          <w:rtl/>
        </w:rPr>
        <w:t xml:space="preserve"> מכח ס'2</w:t>
      </w:r>
      <w:r w:rsidRPr="00BA5C1A">
        <w:rPr>
          <w:rFonts w:hint="cs"/>
          <w:rtl/>
        </w:rPr>
        <w:t>.</w:t>
      </w:r>
      <w:r w:rsidR="008E2AC0" w:rsidRPr="00BA5C1A">
        <w:rPr>
          <w:rFonts w:hint="cs"/>
          <w:rtl/>
        </w:rPr>
        <w:t xml:space="preserve">אדם, </w:t>
      </w:r>
      <w:r w:rsidR="00783B54" w:rsidRPr="00BA5C1A">
        <w:rPr>
          <w:rFonts w:hint="cs"/>
          <w:rtl/>
        </w:rPr>
        <w:t xml:space="preserve">גם כאשר הוא </w:t>
      </w:r>
      <w:r w:rsidR="00E139AB">
        <w:rPr>
          <w:rFonts w:hint="cs"/>
          <w:rtl/>
        </w:rPr>
        <w:t>פושט-רגל</w:t>
      </w:r>
      <w:r w:rsidR="00847F0E" w:rsidRPr="00BA5C1A">
        <w:rPr>
          <w:rFonts w:hint="cs"/>
          <w:rtl/>
        </w:rPr>
        <w:t>,</w:t>
      </w:r>
      <w:r w:rsidR="00057FBE" w:rsidRPr="00BA5C1A">
        <w:rPr>
          <w:rFonts w:hint="cs"/>
          <w:rtl/>
        </w:rPr>
        <w:t xml:space="preserve">עדיין זכאי </w:t>
      </w:r>
      <w:r w:rsidR="00E139AB">
        <w:rPr>
          <w:rFonts w:hint="cs"/>
          <w:rtl/>
        </w:rPr>
        <w:t>לתנאים אלו</w:t>
      </w:r>
      <w:r w:rsidR="00783B54" w:rsidRPr="00BA5C1A">
        <w:rPr>
          <w:rFonts w:hint="cs"/>
          <w:rtl/>
        </w:rPr>
        <w:t>.</w:t>
      </w:r>
      <w:r w:rsidRPr="00BA5C1A">
        <w:rPr>
          <w:rFonts w:hint="cs"/>
          <w:rtl/>
        </w:rPr>
        <w:t xml:space="preserve">כאשר </w:t>
      </w:r>
      <w:r w:rsidR="00783B54" w:rsidRPr="00BA5C1A">
        <w:rPr>
          <w:rFonts w:hint="cs"/>
          <w:rtl/>
        </w:rPr>
        <w:t>נחקק חוק המתיר פגיעה זו</w:t>
      </w:r>
      <w:r w:rsidR="00E139AB">
        <w:rPr>
          <w:rFonts w:hint="cs"/>
          <w:rtl/>
        </w:rPr>
        <w:t xml:space="preserve">, </w:t>
      </w:r>
      <w:r w:rsidR="00783B54" w:rsidRPr="00BA5C1A">
        <w:rPr>
          <w:rFonts w:hint="cs"/>
          <w:rtl/>
        </w:rPr>
        <w:t>הרי הוא חוק אשר פוגע בחוק-היסוד</w:t>
      </w:r>
      <w:r w:rsidR="00300189" w:rsidRPr="00BA5C1A">
        <w:rPr>
          <w:rStyle w:val="a6"/>
          <w:rtl/>
        </w:rPr>
        <w:footnoteReference w:id="18"/>
      </w:r>
      <w:r w:rsidR="00627963">
        <w:rPr>
          <w:rFonts w:hint="cs"/>
          <w:rtl/>
        </w:rPr>
        <w:t>.</w:t>
      </w:r>
      <w:r w:rsidR="00FB5BE2" w:rsidRPr="00BA5C1A">
        <w:rPr>
          <w:rFonts w:hint="cs"/>
          <w:rtl/>
        </w:rPr>
        <w:t xml:space="preserve">עפ"י </w:t>
      </w:r>
      <w:r w:rsidR="00AF50E1">
        <w:rPr>
          <w:rFonts w:hint="cs"/>
          <w:rtl/>
        </w:rPr>
        <w:t>ס'2</w:t>
      </w:r>
      <w:r w:rsidR="00FB5BE2" w:rsidRPr="00BA5C1A">
        <w:rPr>
          <w:rFonts w:hint="cs"/>
          <w:rtl/>
        </w:rPr>
        <w:t xml:space="preserve"> לחוק-היסוד </w:t>
      </w:r>
      <w:r w:rsidR="00AF50E1" w:rsidRPr="00BA5C1A">
        <w:rPr>
          <w:rFonts w:hint="cs"/>
          <w:rtl/>
        </w:rPr>
        <w:t xml:space="preserve">אין לפגוע </w:t>
      </w:r>
      <w:r w:rsidR="00AF50E1">
        <w:rPr>
          <w:rFonts w:hint="cs"/>
          <w:rtl/>
        </w:rPr>
        <w:t>ב</w:t>
      </w:r>
      <w:r w:rsidR="00AF50E1" w:rsidRPr="00BA5C1A">
        <w:rPr>
          <w:rFonts w:hint="cs"/>
          <w:rtl/>
        </w:rPr>
        <w:t>זכות</w:t>
      </w:r>
      <w:r w:rsidR="00AF50E1">
        <w:rPr>
          <w:rFonts w:hint="cs"/>
          <w:rtl/>
        </w:rPr>
        <w:t xml:space="preserve"> זו כלומר,</w:t>
      </w:r>
      <w:r w:rsidR="00627963" w:rsidRPr="00627963">
        <w:rPr>
          <w:rFonts w:hint="cs"/>
          <w:rtl/>
        </w:rPr>
        <w:t>יש</w:t>
      </w:r>
      <w:r w:rsidR="00AF50E1" w:rsidRPr="00627963">
        <w:rPr>
          <w:rFonts w:hint="cs"/>
          <w:rtl/>
        </w:rPr>
        <w:t xml:space="preserve"> </w:t>
      </w:r>
      <w:r w:rsidR="00FB5BE2" w:rsidRPr="00627963">
        <w:rPr>
          <w:rFonts w:hint="cs"/>
          <w:u w:val="single"/>
          <w:rtl/>
        </w:rPr>
        <w:t>לכבד</w:t>
      </w:r>
      <w:r w:rsidR="00FB5BE2" w:rsidRPr="00627963">
        <w:rPr>
          <w:rFonts w:hint="cs"/>
          <w:rtl/>
        </w:rPr>
        <w:t xml:space="preserve"> </w:t>
      </w:r>
      <w:r w:rsidR="00AF50E1" w:rsidRPr="00627963">
        <w:rPr>
          <w:rFonts w:hint="cs"/>
          <w:rtl/>
        </w:rPr>
        <w:t>אותה</w:t>
      </w:r>
      <w:r w:rsidR="00FB5BE2" w:rsidRPr="00627963">
        <w:rPr>
          <w:rStyle w:val="a6"/>
          <w:rtl/>
        </w:rPr>
        <w:footnoteReference w:id="19"/>
      </w:r>
      <w:r w:rsidR="004872CF">
        <w:rPr>
          <w:rFonts w:hint="cs"/>
          <w:rtl/>
        </w:rPr>
        <w:t>.זכות זו הינה זכות-שלילית, קרי-א</w:t>
      </w:r>
      <w:r w:rsidR="00627963" w:rsidRPr="00627963">
        <w:rPr>
          <w:rFonts w:hint="cs"/>
          <w:rtl/>
        </w:rPr>
        <w:t>זרח רשאי שהמדינה לא תשלול ממנו את כל נכסיו ותשאירו ללא כלום</w:t>
      </w:r>
      <w:r w:rsidR="00627963" w:rsidRPr="00AF50E1">
        <w:rPr>
          <w:rStyle w:val="a6"/>
          <w:rtl/>
        </w:rPr>
        <w:footnoteReference w:id="20"/>
      </w:r>
      <w:r w:rsidR="00627963">
        <w:rPr>
          <w:rFonts w:hint="cs"/>
          <w:rtl/>
        </w:rPr>
        <w:t>.</w:t>
      </w:r>
      <w:r w:rsidR="007E5A5C" w:rsidRPr="00BA5C1A">
        <w:rPr>
          <w:rFonts w:hint="cs"/>
          <w:rtl/>
        </w:rPr>
        <w:t xml:space="preserve">נראה </w:t>
      </w:r>
      <w:r w:rsidR="0055488E" w:rsidRPr="00BA5C1A">
        <w:rPr>
          <w:rFonts w:hint="cs"/>
          <w:rtl/>
        </w:rPr>
        <w:t>שבעניין הפגיעה</w:t>
      </w:r>
      <w:r w:rsidR="007E5A5C" w:rsidRPr="00BA5C1A">
        <w:rPr>
          <w:rFonts w:hint="cs"/>
          <w:rtl/>
        </w:rPr>
        <w:t xml:space="preserve"> לא תהיה מחלוקת בין הצדדים</w:t>
      </w:r>
      <w:r w:rsidR="00783B54" w:rsidRPr="00BA5C1A">
        <w:rPr>
          <w:rFonts w:hint="cs"/>
          <w:rtl/>
        </w:rPr>
        <w:t>.</w:t>
      </w:r>
      <w:r w:rsidR="00300189" w:rsidRPr="00BA5C1A">
        <w:rPr>
          <w:rFonts w:hint="cs"/>
          <w:rtl/>
        </w:rPr>
        <w:t xml:space="preserve"> </w:t>
      </w:r>
    </w:p>
    <w:p w:rsidR="00C034EE" w:rsidRPr="00BA5C1A" w:rsidRDefault="00C034EE" w:rsidP="004872CF">
      <w:pPr>
        <w:spacing w:line="360" w:lineRule="auto"/>
        <w:jc w:val="both"/>
        <w:rPr>
          <w:rtl/>
        </w:rPr>
      </w:pPr>
      <w:r w:rsidRPr="00C034EE">
        <w:rPr>
          <w:rFonts w:hint="cs"/>
          <w:b/>
          <w:bCs/>
          <w:u w:val="single"/>
          <w:rtl/>
        </w:rPr>
        <w:t>האם ביהמ"ש רשאי לדון בתוקפו של חוק שנחקק ערב תחילת חוק-היסוד?</w:t>
      </w:r>
      <w:r w:rsidRPr="00C034EE">
        <w:rPr>
          <w:rFonts w:hint="cs"/>
          <w:rtl/>
        </w:rPr>
        <w:t xml:space="preserve"> </w:t>
      </w:r>
      <w:r w:rsidR="00376609">
        <w:rPr>
          <w:rFonts w:hint="cs"/>
          <w:rtl/>
        </w:rPr>
        <w:t>המשיב</w:t>
      </w:r>
      <w:r w:rsidRPr="00C034EE">
        <w:rPr>
          <w:rFonts w:hint="cs"/>
          <w:rtl/>
        </w:rPr>
        <w:t xml:space="preserve"> יטען שאין לו לביהמ"ש לדון בתוקף חוקיותו של התיקון שכן החוק "ישן" וככזה מוגן מכח ס'10-</w:t>
      </w:r>
      <w:r w:rsidR="004872CF">
        <w:rPr>
          <w:rFonts w:hint="cs"/>
          <w:rtl/>
        </w:rPr>
        <w:t>שמירת הדינים.</w:t>
      </w:r>
      <w:r w:rsidRPr="00C034EE">
        <w:rPr>
          <w:rFonts w:hint="cs"/>
          <w:rtl/>
        </w:rPr>
        <w:t>העותרים</w:t>
      </w:r>
      <w:r w:rsidR="00376609">
        <w:rPr>
          <w:rFonts w:hint="cs"/>
          <w:rtl/>
        </w:rPr>
        <w:t>,</w:t>
      </w:r>
      <w:r w:rsidR="00376609" w:rsidRPr="00376609">
        <w:rPr>
          <w:rFonts w:hint="cs"/>
          <w:b/>
          <w:bCs/>
          <w:rtl/>
        </w:rPr>
        <w:t>לדעת ביהמ"ש</w:t>
      </w:r>
      <w:r w:rsidR="00376609">
        <w:rPr>
          <w:rFonts w:hint="cs"/>
          <w:rtl/>
        </w:rPr>
        <w:t>,</w:t>
      </w:r>
      <w:r w:rsidRPr="00C034EE">
        <w:rPr>
          <w:rFonts w:hint="cs"/>
          <w:rtl/>
        </w:rPr>
        <w:t xml:space="preserve"> יטענו שהיות</w:t>
      </w:r>
      <w:r w:rsidR="004872CF">
        <w:rPr>
          <w:rFonts w:hint="cs"/>
          <w:rtl/>
        </w:rPr>
        <w:t xml:space="preserve"> וחל תיקון "חדש" לחוק,</w:t>
      </w:r>
      <w:r w:rsidRPr="00C034EE">
        <w:rPr>
          <w:rFonts w:hint="cs"/>
          <w:rtl/>
        </w:rPr>
        <w:t>ביהמ"ש רשאי לדון בחוקיותו לאורה של פסקת ההגבלה כפי שעשה בעניין צמח</w:t>
      </w:r>
      <w:r w:rsidRPr="00C034EE">
        <w:rPr>
          <w:rStyle w:val="a6"/>
          <w:rtl/>
        </w:rPr>
        <w:footnoteReference w:id="21"/>
      </w:r>
      <w:r w:rsidRPr="00C034E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671125" w:rsidRPr="004F1866" w:rsidRDefault="00495645" w:rsidP="00627963">
      <w:pPr>
        <w:spacing w:line="360" w:lineRule="auto"/>
        <w:jc w:val="both"/>
        <w:rPr>
          <w:b/>
          <w:bCs/>
          <w:rtl/>
        </w:rPr>
      </w:pPr>
      <w:r w:rsidRPr="004F1866">
        <w:rPr>
          <w:rFonts w:hint="cs"/>
          <w:b/>
          <w:bCs/>
          <w:u w:val="single"/>
          <w:rtl/>
        </w:rPr>
        <w:lastRenderedPageBreak/>
        <w:t>האם הוא עומד בפסקת-ההגבלה?</w:t>
      </w:r>
    </w:p>
    <w:p w:rsidR="0057707A" w:rsidRPr="00BA5C1A" w:rsidRDefault="00300189" w:rsidP="0007359F">
      <w:pPr>
        <w:spacing w:line="360" w:lineRule="auto"/>
        <w:jc w:val="both"/>
        <w:rPr>
          <w:rtl/>
        </w:rPr>
      </w:pPr>
      <w:r w:rsidRPr="00BA5C1A">
        <w:rPr>
          <w:rFonts w:hint="cs"/>
          <w:rtl/>
        </w:rPr>
        <w:t xml:space="preserve">לטענת </w:t>
      </w:r>
      <w:r w:rsidR="007E5A5C" w:rsidRPr="00BA5C1A">
        <w:rPr>
          <w:rFonts w:hint="cs"/>
          <w:rtl/>
        </w:rPr>
        <w:t>העותרים</w:t>
      </w:r>
      <w:r w:rsidRPr="00BA5C1A">
        <w:rPr>
          <w:rFonts w:hint="cs"/>
          <w:rtl/>
        </w:rPr>
        <w:t xml:space="preserve"> החוק </w:t>
      </w:r>
      <w:r w:rsidR="003066C9" w:rsidRPr="00BA5C1A">
        <w:rPr>
          <w:rFonts w:hint="cs"/>
          <w:rtl/>
        </w:rPr>
        <w:t>שנקבע אינו ע</w:t>
      </w:r>
      <w:r w:rsidR="004872CF">
        <w:rPr>
          <w:rFonts w:hint="cs"/>
          <w:rtl/>
        </w:rPr>
        <w:t>ומד בס'8 לחוק-היסוד משני טעמים:</w:t>
      </w:r>
      <w:r w:rsidR="003066C9" w:rsidRPr="00BA5C1A">
        <w:rPr>
          <w:rFonts w:hint="cs"/>
          <w:rtl/>
        </w:rPr>
        <w:t>הוא אינו מידתי ונוגד את ערכי המדינה</w:t>
      </w:r>
      <w:r w:rsidR="0057707A" w:rsidRPr="00BA5C1A">
        <w:rPr>
          <w:rStyle w:val="a6"/>
          <w:rtl/>
        </w:rPr>
        <w:footnoteReference w:id="22"/>
      </w:r>
      <w:r w:rsidR="003066C9" w:rsidRPr="00BA5C1A">
        <w:rPr>
          <w:rFonts w:hint="cs"/>
          <w:rtl/>
        </w:rPr>
        <w:t>.</w:t>
      </w:r>
      <w:r w:rsidR="00793B7A" w:rsidRPr="00BA5C1A">
        <w:rPr>
          <w:rFonts w:hint="cs"/>
          <w:rtl/>
        </w:rPr>
        <w:t xml:space="preserve"> </w:t>
      </w:r>
      <w:r w:rsidR="009F5995" w:rsidRPr="00AF50E1">
        <w:rPr>
          <w:rFonts w:hint="cs"/>
          <w:u w:val="single"/>
          <w:rtl/>
        </w:rPr>
        <w:t>נוגד את ערכי המדינה</w:t>
      </w:r>
      <w:r w:rsidR="009F5995" w:rsidRPr="00AF50E1">
        <w:rPr>
          <w:rFonts w:hint="cs"/>
          <w:rtl/>
        </w:rPr>
        <w:t>-</w:t>
      </w:r>
      <w:r w:rsidR="00163E2B">
        <w:rPr>
          <w:rFonts w:hint="cs"/>
          <w:rtl/>
        </w:rPr>
        <w:t>טרם התיקון לחוק ביהמ"ש היה מוסמך להתחשב במצבו הכספי של פושט הרגל</w:t>
      </w:r>
      <w:r w:rsidR="0007359F">
        <w:rPr>
          <w:rFonts w:hint="cs"/>
          <w:rtl/>
        </w:rPr>
        <w:t xml:space="preserve"> כאשר היה עליו לפסוק בעניין מכירת הבית, </w:t>
      </w:r>
      <w:r w:rsidR="009F5995" w:rsidRPr="00AF50E1">
        <w:rPr>
          <w:rFonts w:hint="cs"/>
          <w:rtl/>
        </w:rPr>
        <w:t xml:space="preserve">כפי שעשה בעניין גמזו. עפ"י תיקון זה ביהמ"ש לא רשאי עוד לבחון זאת, </w:t>
      </w:r>
      <w:r w:rsidR="009F5995" w:rsidRPr="00671125">
        <w:rPr>
          <w:rFonts w:hint="cs"/>
          <w:rtl/>
        </w:rPr>
        <w:t>דבר אשר יגרום לפגיעה בזכות (שלילית) ע"י המדינה</w:t>
      </w:r>
      <w:r w:rsidR="00B44632">
        <w:rPr>
          <w:rStyle w:val="a6"/>
          <w:rtl/>
        </w:rPr>
        <w:footnoteReference w:id="23"/>
      </w:r>
      <w:r w:rsidR="009F5995" w:rsidRPr="00AF50E1">
        <w:rPr>
          <w:rFonts w:hint="cs"/>
          <w:rtl/>
        </w:rPr>
        <w:t xml:space="preserve">. יצוין גם שבמקרה זה יווצר מצב בו אותו אדם יהווה נטל על המדינה </w:t>
      </w:r>
      <w:r w:rsidR="009F5995" w:rsidRPr="00B44632">
        <w:rPr>
          <w:rFonts w:hint="cs"/>
          <w:rtl/>
        </w:rPr>
        <w:t>בהיותו חסר-בית</w:t>
      </w:r>
      <w:r w:rsidR="009F5995" w:rsidRPr="00B44632">
        <w:rPr>
          <w:rStyle w:val="a6"/>
          <w:rtl/>
        </w:rPr>
        <w:footnoteReference w:id="24"/>
      </w:r>
      <w:r w:rsidR="0057707A" w:rsidRPr="00B44632">
        <w:rPr>
          <w:rFonts w:hint="cs"/>
          <w:rtl/>
        </w:rPr>
        <w:t>.</w:t>
      </w:r>
      <w:r w:rsidR="00B44632">
        <w:rPr>
          <w:rFonts w:hint="cs"/>
          <w:rtl/>
        </w:rPr>
        <w:t xml:space="preserve"> </w:t>
      </w:r>
      <w:r w:rsidR="00B44632" w:rsidRPr="00B44632">
        <w:rPr>
          <w:rFonts w:hint="cs"/>
          <w:rtl/>
        </w:rPr>
        <w:t>מנגד יצוין</w:t>
      </w:r>
      <w:r w:rsidR="0057707A" w:rsidRPr="00B44632">
        <w:rPr>
          <w:rFonts w:hint="cs"/>
          <w:rtl/>
        </w:rPr>
        <w:t xml:space="preserve"> </w:t>
      </w:r>
      <w:r w:rsidR="00B44632" w:rsidRPr="00B44632">
        <w:rPr>
          <w:rFonts w:hint="cs"/>
          <w:rtl/>
        </w:rPr>
        <w:t>שעל ביהמ"ש לבחון זאת בזהירות רבה לאור אופיה של הכנסת בתור נציגתו של העם</w:t>
      </w:r>
      <w:r w:rsidR="00B44632" w:rsidRPr="00B44632">
        <w:rPr>
          <w:rStyle w:val="a6"/>
          <w:rtl/>
        </w:rPr>
        <w:footnoteReference w:id="25"/>
      </w:r>
      <w:r w:rsidR="00B44632" w:rsidRPr="00B44632">
        <w:rPr>
          <w:rFonts w:hint="cs"/>
          <w:rtl/>
        </w:rPr>
        <w:t xml:space="preserve"> שככזאת לא תפעל נגד ערכי המדינה.</w:t>
      </w:r>
    </w:p>
    <w:p w:rsidR="00926627" w:rsidRPr="004872CF" w:rsidRDefault="0057707A" w:rsidP="004872CF">
      <w:pPr>
        <w:spacing w:line="360" w:lineRule="auto"/>
        <w:jc w:val="both"/>
        <w:rPr>
          <w:rtl/>
        </w:rPr>
      </w:pPr>
      <w:r w:rsidRPr="00BA5C1A">
        <w:rPr>
          <w:rFonts w:hint="cs"/>
          <w:u w:val="single"/>
          <w:rtl/>
        </w:rPr>
        <w:t>אינו מידתי-</w:t>
      </w:r>
      <w:r w:rsidR="00BB09C8">
        <w:rPr>
          <w:rFonts w:hint="cs"/>
          <w:rtl/>
        </w:rPr>
        <w:t>ע"מ לבחון את מדתיות החוק,</w:t>
      </w:r>
      <w:r w:rsidR="00E665C4" w:rsidRPr="00BA5C1A">
        <w:rPr>
          <w:rFonts w:hint="cs"/>
          <w:rtl/>
        </w:rPr>
        <w:t xml:space="preserve"> </w:t>
      </w:r>
      <w:r w:rsidR="009F5995" w:rsidRPr="00BA5C1A">
        <w:rPr>
          <w:rFonts w:hint="cs"/>
          <w:rtl/>
        </w:rPr>
        <w:t>יפנה</w:t>
      </w:r>
      <w:r w:rsidR="00303B56" w:rsidRPr="00BA5C1A">
        <w:rPr>
          <w:rFonts w:hint="cs"/>
          <w:rtl/>
        </w:rPr>
        <w:t xml:space="preserve"> ביהמ"ש</w:t>
      </w:r>
      <w:r w:rsidR="009F5995" w:rsidRPr="00BA5C1A">
        <w:rPr>
          <w:rFonts w:hint="cs"/>
          <w:rtl/>
        </w:rPr>
        <w:t xml:space="preserve"> למבחני-המשנה</w:t>
      </w:r>
      <w:r w:rsidR="009F5995" w:rsidRPr="00BA5C1A">
        <w:rPr>
          <w:rStyle w:val="a6"/>
          <w:rtl/>
        </w:rPr>
        <w:footnoteReference w:id="26"/>
      </w:r>
      <w:r w:rsidR="009F5995" w:rsidRPr="00BA5C1A">
        <w:rPr>
          <w:rFonts w:hint="cs"/>
          <w:rtl/>
        </w:rPr>
        <w:t>:</w:t>
      </w:r>
      <w:r w:rsidR="001E7AB5" w:rsidRPr="00BA5C1A">
        <w:rPr>
          <w:rFonts w:hint="cs"/>
          <w:rtl/>
        </w:rPr>
        <w:t xml:space="preserve"> </w:t>
      </w:r>
    </w:p>
    <w:p w:rsidR="00926627" w:rsidRDefault="0007359F" w:rsidP="00926627">
      <w:pPr>
        <w:spacing w:line="360" w:lineRule="auto"/>
        <w:jc w:val="both"/>
        <w:rPr>
          <w:rtl/>
        </w:rPr>
      </w:pPr>
      <w:r>
        <w:rPr>
          <w:rFonts w:hint="cs"/>
          <w:u w:val="single"/>
          <w:rtl/>
        </w:rPr>
        <w:t>-</w:t>
      </w:r>
      <w:r w:rsidR="001E7AB5" w:rsidRPr="00BA5C1A">
        <w:rPr>
          <w:rFonts w:hint="cs"/>
          <w:u w:val="single"/>
          <w:rtl/>
        </w:rPr>
        <w:t>האם ישנו קשר רציונלי</w:t>
      </w:r>
      <w:r w:rsidR="00FE16E5" w:rsidRPr="00BA5C1A">
        <w:rPr>
          <w:rFonts w:hint="cs"/>
          <w:u w:val="single"/>
          <w:rtl/>
        </w:rPr>
        <w:t>?</w:t>
      </w:r>
      <w:r w:rsidR="00FE16E5" w:rsidRPr="00BA5C1A">
        <w:rPr>
          <w:rFonts w:hint="cs"/>
          <w:rtl/>
        </w:rPr>
        <w:t xml:space="preserve"> נראה שביהמ"ש ישיב על כך בחיוב שכן נושים מעתה יוכלו לפדות את חובם בלי שיהיה על ביהמ"ש להתחשב בחייבים. </w:t>
      </w:r>
    </w:p>
    <w:p w:rsidR="00926627" w:rsidRDefault="0007359F" w:rsidP="00926627">
      <w:pPr>
        <w:spacing w:line="360" w:lineRule="auto"/>
        <w:jc w:val="both"/>
        <w:rPr>
          <w:rtl/>
        </w:rPr>
      </w:pPr>
      <w:r>
        <w:rPr>
          <w:rFonts w:hint="cs"/>
          <w:u w:val="single"/>
          <w:rtl/>
        </w:rPr>
        <w:t>-</w:t>
      </w:r>
      <w:r w:rsidR="00FE16E5" w:rsidRPr="00BA5C1A">
        <w:rPr>
          <w:rFonts w:hint="cs"/>
          <w:u w:val="single"/>
          <w:rtl/>
        </w:rPr>
        <w:t>האם מדובר באמצעי שפגיעתו פחותה?</w:t>
      </w:r>
      <w:r w:rsidR="00FE16E5" w:rsidRPr="00BA5C1A">
        <w:rPr>
          <w:rFonts w:hint="cs"/>
          <w:rtl/>
        </w:rPr>
        <w:t xml:space="preserve"> כאשר הנכס היחיד בידי החייב הוא ביתו נראה שלא קיים אמצעי אחר</w:t>
      </w:r>
      <w:r w:rsidR="00720A93">
        <w:rPr>
          <w:rFonts w:hint="cs"/>
          <w:rtl/>
        </w:rPr>
        <w:t xml:space="preserve"> שיגשים את המטרה לפריעון</w:t>
      </w:r>
      <w:r w:rsidR="00FE16E5" w:rsidRPr="00BA5C1A">
        <w:rPr>
          <w:rFonts w:hint="cs"/>
          <w:rtl/>
        </w:rPr>
        <w:t xml:space="preserve"> החוב</w:t>
      </w:r>
      <w:r w:rsidR="00303B56" w:rsidRPr="00BA5C1A">
        <w:rPr>
          <w:rFonts w:hint="cs"/>
          <w:rtl/>
        </w:rPr>
        <w:t xml:space="preserve"> ישיב גם על זה ביהמ"ש בחיוב</w:t>
      </w:r>
      <w:r w:rsidR="00FE16E5" w:rsidRPr="00BA5C1A">
        <w:rPr>
          <w:rFonts w:hint="cs"/>
          <w:rtl/>
        </w:rPr>
        <w:t xml:space="preserve">. </w:t>
      </w:r>
    </w:p>
    <w:p w:rsidR="006E2A11" w:rsidRDefault="0007359F" w:rsidP="00F45E9E">
      <w:pPr>
        <w:spacing w:line="360" w:lineRule="auto"/>
        <w:jc w:val="both"/>
        <w:rPr>
          <w:rtl/>
        </w:rPr>
      </w:pPr>
      <w:r>
        <w:rPr>
          <w:rFonts w:hint="cs"/>
          <w:u w:val="single"/>
          <w:rtl/>
        </w:rPr>
        <w:t>-</w:t>
      </w:r>
      <w:r w:rsidR="00FE16E5" w:rsidRPr="00BA5C1A">
        <w:rPr>
          <w:rFonts w:hint="cs"/>
          <w:u w:val="single"/>
          <w:rtl/>
        </w:rPr>
        <w:t>האם הוא אמצעי מידתי(במובן הצר)?</w:t>
      </w:r>
      <w:r w:rsidR="004872CF">
        <w:rPr>
          <w:rFonts w:hint="cs"/>
          <w:rtl/>
        </w:rPr>
        <w:t xml:space="preserve"> </w:t>
      </w:r>
      <w:r w:rsidR="00926627" w:rsidRPr="00BA5C1A">
        <w:rPr>
          <w:rFonts w:hint="cs"/>
          <w:rtl/>
        </w:rPr>
        <w:t>האיזון בין טובת הכלל לטובת הפרט במקרה זה ימצא לא תקין שכן כל אותם חייבים שיסולקו מבתיהם- תפגע זכותם הבסיסית ביותר כפי שנקבע בעניין גמזו בעוד שזכות הציבור לקניינו היא במהותה כלכלית, חשובה היא, אך אינה זכות-על</w:t>
      </w:r>
      <w:r w:rsidR="00926627" w:rsidRPr="00BA5C1A">
        <w:rPr>
          <w:rStyle w:val="a6"/>
          <w:rtl/>
        </w:rPr>
        <w:footnoteReference w:id="27"/>
      </w:r>
      <w:r w:rsidR="00926627" w:rsidRPr="00BA5C1A">
        <w:rPr>
          <w:rFonts w:hint="cs"/>
          <w:rtl/>
        </w:rPr>
        <w:t xml:space="preserve">, על-כן על ביהמ"ש לראות בו אמצעי בלתי מידתי.  </w:t>
      </w:r>
    </w:p>
    <w:p w:rsidR="00DC0947" w:rsidRDefault="00376609" w:rsidP="00F45E9E">
      <w:pPr>
        <w:spacing w:line="360" w:lineRule="auto"/>
        <w:jc w:val="both"/>
        <w:rPr>
          <w:rtl/>
        </w:rPr>
      </w:pPr>
      <w:r>
        <w:rPr>
          <w:rFonts w:hint="cs"/>
          <w:rtl/>
        </w:rPr>
        <w:t>על ביהמ"ש</w:t>
      </w:r>
      <w:r w:rsidR="00B44632" w:rsidRPr="00B44632">
        <w:rPr>
          <w:rFonts w:hint="cs"/>
          <w:rtl/>
        </w:rPr>
        <w:t xml:space="preserve"> להכיר ב"מרחב</w:t>
      </w:r>
      <w:r w:rsidR="00F45E9E">
        <w:rPr>
          <w:rFonts w:hint="cs"/>
          <w:rtl/>
        </w:rPr>
        <w:t>-</w:t>
      </w:r>
      <w:r w:rsidR="00B44632" w:rsidRPr="00B44632">
        <w:rPr>
          <w:rFonts w:hint="cs"/>
          <w:rtl/>
        </w:rPr>
        <w:t>התמרון" של המחוקק ובשיקול-דעתו בעניין המידתיות</w:t>
      </w:r>
      <w:r>
        <w:rPr>
          <w:rStyle w:val="a6"/>
          <w:rtl/>
        </w:rPr>
        <w:footnoteReference w:id="28"/>
      </w:r>
      <w:r>
        <w:rPr>
          <w:rFonts w:hint="cs"/>
          <w:rtl/>
        </w:rPr>
        <w:t xml:space="preserve"> אף-על-פי-כן, נראה שיעלה בידו לקבל את עמדת העותרים בעניין המידתיות.</w:t>
      </w:r>
    </w:p>
    <w:p w:rsidR="007E5A5C" w:rsidRPr="0055488E" w:rsidRDefault="0055488E" w:rsidP="00A2050A">
      <w:pPr>
        <w:spacing w:line="360" w:lineRule="auto"/>
        <w:jc w:val="both"/>
        <w:rPr>
          <w:rtl/>
        </w:rPr>
      </w:pPr>
      <w:r w:rsidRPr="00926627">
        <w:rPr>
          <w:rFonts w:hint="cs"/>
          <w:b/>
          <w:bCs/>
          <w:u w:val="single"/>
          <w:rtl/>
        </w:rPr>
        <w:t>הסעדים:</w:t>
      </w:r>
      <w:r w:rsidRPr="00BA5C1A">
        <w:rPr>
          <w:rFonts w:hint="cs"/>
          <w:rtl/>
        </w:rPr>
        <w:t>העותרים</w:t>
      </w:r>
      <w:r w:rsidR="005036E9" w:rsidRPr="00BA5C1A">
        <w:rPr>
          <w:rFonts w:hint="cs"/>
          <w:rtl/>
        </w:rPr>
        <w:t xml:space="preserve"> יבקשו את ביטולו של התיקון לחוק שכן זה הסעד הראוי כאשר ישנה פגיעה בזכויות אדם כפי </w:t>
      </w:r>
      <w:r w:rsidR="00270BD4" w:rsidRPr="00BA5C1A">
        <w:rPr>
          <w:rFonts w:hint="cs"/>
          <w:rtl/>
        </w:rPr>
        <w:t>שציין</w:t>
      </w:r>
      <w:r w:rsidR="005036E9" w:rsidRPr="00BA5C1A">
        <w:rPr>
          <w:rFonts w:hint="cs"/>
          <w:rtl/>
        </w:rPr>
        <w:t xml:space="preserve"> ביהמ"ש בעניין ית"ד</w:t>
      </w:r>
      <w:r w:rsidR="00270BD4" w:rsidRPr="00BA5C1A">
        <w:rPr>
          <w:rStyle w:val="a6"/>
          <w:rtl/>
        </w:rPr>
        <w:footnoteReference w:id="29"/>
      </w:r>
      <w:r w:rsidR="00BD6A8F" w:rsidRPr="00BA5C1A">
        <w:rPr>
          <w:rFonts w:hint="cs"/>
          <w:rtl/>
        </w:rPr>
        <w:t xml:space="preserve"> וכפי שיצא מהכח אל הפועל בעניין מרציאנו</w:t>
      </w:r>
      <w:r w:rsidR="005036E9" w:rsidRPr="00BA5C1A">
        <w:rPr>
          <w:rFonts w:hint="cs"/>
          <w:rtl/>
        </w:rPr>
        <w:t>.</w:t>
      </w:r>
      <w:r w:rsidR="00270BD4" w:rsidRPr="00BA5C1A">
        <w:rPr>
          <w:rFonts w:hint="cs"/>
          <w:rtl/>
        </w:rPr>
        <w:t>עוד יציינו העותרים כי השופט לוי שהיה בדעת מיעוט בעניין עמותת מחויבות לשלום גרס כי על ביהמ"ש לבטל חקיקה ראשית שפוגעת בזכויות-יסוד.</w:t>
      </w:r>
      <w:r w:rsidR="00BD6A8F" w:rsidRPr="00BA5C1A">
        <w:rPr>
          <w:rFonts w:hint="cs"/>
          <w:rtl/>
        </w:rPr>
        <w:t xml:space="preserve"> לטענות אלו תשיב המדינה שבעניין ית"ד ומרציאנו נשוא הדיון היה </w:t>
      </w:r>
      <w:r w:rsidR="00BD6A8F" w:rsidRPr="00BA5C1A">
        <w:rPr>
          <w:rFonts w:hint="cs"/>
          <w:u w:val="single"/>
          <w:rtl/>
        </w:rPr>
        <w:t>הפירוש</w:t>
      </w:r>
      <w:r w:rsidR="00BD6A8F" w:rsidRPr="00BA5C1A">
        <w:rPr>
          <w:rFonts w:hint="cs"/>
          <w:rtl/>
        </w:rPr>
        <w:t xml:space="preserve"> לחוק ע"י </w:t>
      </w:r>
      <w:r w:rsidR="00BD6A8F" w:rsidRPr="00BA5C1A">
        <w:rPr>
          <w:rFonts w:hint="cs"/>
          <w:u w:val="single"/>
          <w:rtl/>
        </w:rPr>
        <w:t>הממשלה</w:t>
      </w:r>
      <w:r w:rsidR="00BD6A8F" w:rsidRPr="00BA5C1A">
        <w:rPr>
          <w:rFonts w:hint="cs"/>
          <w:rtl/>
        </w:rPr>
        <w:t xml:space="preserve"> וכי עניינו</w:t>
      </w:r>
      <w:r w:rsidR="00BD6A8F" w:rsidRPr="00BA5C1A">
        <w:rPr>
          <w:rtl/>
        </w:rPr>
        <w:t>–</w:t>
      </w:r>
      <w:r w:rsidR="00BD6A8F" w:rsidRPr="00BA5C1A">
        <w:rPr>
          <w:rFonts w:hint="cs"/>
          <w:rtl/>
        </w:rPr>
        <w:t xml:space="preserve">הוראת </w:t>
      </w:r>
      <w:r w:rsidR="00BD6A8F" w:rsidRPr="00BA5C1A">
        <w:rPr>
          <w:rFonts w:hint="cs"/>
          <w:u w:val="single"/>
          <w:rtl/>
        </w:rPr>
        <w:t>חקיקה</w:t>
      </w:r>
      <w:r w:rsidR="00F45E9E">
        <w:rPr>
          <w:rFonts w:hint="cs"/>
          <w:u w:val="single"/>
          <w:rtl/>
        </w:rPr>
        <w:t>-</w:t>
      </w:r>
      <w:r w:rsidR="00BD6A8F" w:rsidRPr="00BA5C1A">
        <w:rPr>
          <w:rFonts w:hint="cs"/>
          <w:u w:val="single"/>
          <w:rtl/>
        </w:rPr>
        <w:t>ראשית</w:t>
      </w:r>
      <w:r w:rsidR="00F45E9E">
        <w:rPr>
          <w:rFonts w:hint="cs"/>
          <w:u w:val="single"/>
          <w:rtl/>
        </w:rPr>
        <w:t>,</w:t>
      </w:r>
      <w:r w:rsidR="00793B7A" w:rsidRPr="00BA5C1A">
        <w:rPr>
          <w:rFonts w:hint="cs"/>
          <w:rtl/>
        </w:rPr>
        <w:t>על-כן, אם</w:t>
      </w:r>
      <w:r w:rsidR="004872CF">
        <w:rPr>
          <w:rFonts w:hint="cs"/>
          <w:rtl/>
        </w:rPr>
        <w:t xml:space="preserve"> אכן קבע ביהמ"ש שהחוק אינו תקף-</w:t>
      </w:r>
      <w:r w:rsidR="00793B7A" w:rsidRPr="00BA5C1A">
        <w:rPr>
          <w:rFonts w:hint="cs"/>
          <w:rtl/>
        </w:rPr>
        <w:t>עליו</w:t>
      </w:r>
      <w:r w:rsidR="00BD6A8F" w:rsidRPr="00BA5C1A">
        <w:rPr>
          <w:rFonts w:hint="cs"/>
          <w:rtl/>
        </w:rPr>
        <w:t xml:space="preserve"> </w:t>
      </w:r>
      <w:r w:rsidR="00793B7A" w:rsidRPr="00BA5C1A">
        <w:rPr>
          <w:rFonts w:hint="cs"/>
          <w:rtl/>
        </w:rPr>
        <w:t>להסתפק</w:t>
      </w:r>
      <w:r w:rsidR="00BD6A8F" w:rsidRPr="00BA5C1A">
        <w:rPr>
          <w:rFonts w:hint="cs"/>
          <w:rtl/>
        </w:rPr>
        <w:t xml:space="preserve"> </w:t>
      </w:r>
      <w:r w:rsidR="00793B7A" w:rsidRPr="00BA5C1A">
        <w:rPr>
          <w:rFonts w:hint="cs"/>
          <w:rtl/>
        </w:rPr>
        <w:t>ב</w:t>
      </w:r>
      <w:r w:rsidR="00BD6A8F" w:rsidRPr="00BA5C1A">
        <w:rPr>
          <w:rFonts w:hint="cs"/>
          <w:rtl/>
        </w:rPr>
        <w:t>סעד הצהרתי בלבד</w:t>
      </w:r>
      <w:r w:rsidR="00793B7A" w:rsidRPr="00BA5C1A">
        <w:rPr>
          <w:rFonts w:hint="cs"/>
          <w:rtl/>
        </w:rPr>
        <w:t>.</w:t>
      </w:r>
      <w:r w:rsidR="006829F9">
        <w:rPr>
          <w:rFonts w:hint="cs"/>
          <w:rtl/>
        </w:rPr>
        <w:t>נראה שאם נגיע לעניין הסעדים</w:t>
      </w:r>
      <w:r w:rsidR="00BD6A8F">
        <w:rPr>
          <w:rFonts w:hint="cs"/>
          <w:rtl/>
        </w:rPr>
        <w:t xml:space="preserve"> </w:t>
      </w:r>
      <w:r w:rsidR="006829F9">
        <w:rPr>
          <w:rFonts w:hint="cs"/>
          <w:rtl/>
        </w:rPr>
        <w:t>ביהמ"ש יעתר לבקשת העותרים ויפסול את תיקון החוק כפי שכבר עשה</w:t>
      </w:r>
      <w:r w:rsidR="006829F9">
        <w:rPr>
          <w:rStyle w:val="a6"/>
          <w:rtl/>
        </w:rPr>
        <w:footnoteReference w:id="30"/>
      </w:r>
      <w:r w:rsidR="006829F9">
        <w:rPr>
          <w:rFonts w:hint="cs"/>
          <w:rtl/>
        </w:rPr>
        <w:t>.</w:t>
      </w:r>
    </w:p>
    <w:p w:rsidR="00E665C4" w:rsidRPr="002C007C" w:rsidRDefault="00E665C4" w:rsidP="00E665C4">
      <w:pPr>
        <w:spacing w:line="360" w:lineRule="auto"/>
        <w:jc w:val="both"/>
        <w:rPr>
          <w:rtl/>
        </w:rPr>
      </w:pPr>
    </w:p>
    <w:p w:rsidR="00D71842" w:rsidRPr="00D71842" w:rsidRDefault="00D71842" w:rsidP="008E2AC0">
      <w:pPr>
        <w:bidi w:val="0"/>
      </w:pPr>
    </w:p>
    <w:sectPr w:rsidR="00D71842" w:rsidRPr="00D71842" w:rsidSect="00F90F65">
      <w:pgSz w:w="11906" w:h="16838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282" w:rsidRDefault="00FA4282" w:rsidP="00405AE6">
      <w:r>
        <w:separator/>
      </w:r>
    </w:p>
  </w:endnote>
  <w:endnote w:type="continuationSeparator" w:id="1">
    <w:p w:rsidR="00FA4282" w:rsidRDefault="00FA4282" w:rsidP="00405A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TUR">
    <w:altName w:val="Arial"/>
    <w:charset w:val="00"/>
    <w:family w:val="swiss"/>
    <w:pitch w:val="variable"/>
    <w:sig w:usb0="20007A87" w:usb1="80000000" w:usb2="00000008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282" w:rsidRDefault="00FA4282" w:rsidP="00405AE6">
      <w:r>
        <w:separator/>
      </w:r>
    </w:p>
  </w:footnote>
  <w:footnote w:type="continuationSeparator" w:id="1">
    <w:p w:rsidR="00FA4282" w:rsidRDefault="00FA4282" w:rsidP="00405AE6">
      <w:r>
        <w:continuationSeparator/>
      </w:r>
    </w:p>
  </w:footnote>
  <w:footnote w:id="2">
    <w:p w:rsidR="00E139AB" w:rsidRPr="00AB73A9" w:rsidRDefault="00E139AB" w:rsidP="00031AE1">
      <w:pPr>
        <w:pStyle w:val="a5"/>
        <w:rPr>
          <w:rtl/>
        </w:rPr>
      </w:pPr>
      <w:r w:rsidRPr="00AB73A9">
        <w:rPr>
          <w:rStyle w:val="a6"/>
        </w:rPr>
        <w:footnoteRef/>
      </w:r>
      <w:r w:rsidRPr="00AB73A9">
        <w:rPr>
          <w:rtl/>
        </w:rPr>
        <w:t xml:space="preserve"> </w:t>
      </w:r>
      <w:r w:rsidRPr="00AB73A9">
        <w:rPr>
          <w:rFonts w:hint="eastAsia"/>
          <w:rtl/>
        </w:rPr>
        <w:t>דנג</w:t>
      </w:r>
      <w:r w:rsidRPr="00AB73A9">
        <w:rPr>
          <w:rtl/>
        </w:rPr>
        <w:t>"ץ  247/04</w:t>
      </w:r>
      <w:r w:rsidRPr="00AB73A9">
        <w:rPr>
          <w:rFonts w:hint="cs"/>
          <w:rtl/>
        </w:rPr>
        <w:t xml:space="preserve"> </w:t>
      </w:r>
      <w:r w:rsidRPr="00051BAF">
        <w:rPr>
          <w:rFonts w:hint="cs"/>
          <w:b/>
          <w:bCs/>
          <w:rtl/>
        </w:rPr>
        <w:t>שר האוצר נ' מרציאנו</w:t>
      </w:r>
      <w:r w:rsidRPr="00AB73A9">
        <w:rPr>
          <w:rFonts w:hint="cs"/>
          <w:rtl/>
        </w:rPr>
        <w:t xml:space="preserve"> בדבריו של השופט</w:t>
      </w:r>
      <w:r>
        <w:rPr>
          <w:rFonts w:hint="cs"/>
          <w:rtl/>
        </w:rPr>
        <w:t xml:space="preserve"> מצא</w:t>
      </w:r>
      <w:r w:rsidRPr="00AB73A9">
        <w:rPr>
          <w:rFonts w:hint="cs"/>
          <w:rtl/>
        </w:rPr>
        <w:t xml:space="preserve"> </w:t>
      </w:r>
      <w:r>
        <w:rPr>
          <w:rFonts w:hint="cs"/>
          <w:rtl/>
        </w:rPr>
        <w:t xml:space="preserve">בפסקה 3 </w:t>
      </w:r>
      <w:r w:rsidRPr="00AB73A9">
        <w:rPr>
          <w:rFonts w:hint="cs"/>
          <w:rtl/>
        </w:rPr>
        <w:t xml:space="preserve">. </w:t>
      </w:r>
    </w:p>
  </w:footnote>
  <w:footnote w:id="3">
    <w:p w:rsidR="00E139AB" w:rsidRDefault="00E139AB" w:rsidP="004C3F72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בהתבסס על מאמרו של גיא מונדלק</w:t>
      </w:r>
      <w:r>
        <w:rPr>
          <w:rtl/>
        </w:rPr>
        <w:t>–</w:t>
      </w:r>
      <w:r>
        <w:rPr>
          <w:rFonts w:hint="cs"/>
          <w:rtl/>
        </w:rPr>
        <w:t xml:space="preserve"> עמ' 102 בו הוא טוען שבג"ץ כבר פסק סעדים בעלי אופי תקציבי .</w:t>
      </w:r>
    </w:p>
  </w:footnote>
  <w:footnote w:id="4">
    <w:p w:rsidR="00E139AB" w:rsidRDefault="00E139AB">
      <w:pPr>
        <w:pStyle w:val="a5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Pr="00051BAF">
        <w:rPr>
          <w:rFonts w:hint="cs"/>
          <w:rtl/>
        </w:rPr>
        <w:t>בג"צ</w:t>
      </w:r>
      <w:r w:rsidRPr="00503E2B">
        <w:rPr>
          <w:rFonts w:eastAsia="Times New Roman" w:hint="cs"/>
          <w:sz w:val="24"/>
          <w:szCs w:val="24"/>
          <w:rtl/>
        </w:rPr>
        <w:t xml:space="preserve"> </w:t>
      </w:r>
      <w:r w:rsidRPr="00051BAF">
        <w:rPr>
          <w:rFonts w:hint="cs"/>
          <w:rtl/>
        </w:rPr>
        <w:t>366/03</w:t>
      </w:r>
      <w:r w:rsidRPr="00503E2B">
        <w:rPr>
          <w:rFonts w:eastAsia="Times New Roman" w:hint="cs"/>
          <w:sz w:val="24"/>
          <w:szCs w:val="24"/>
          <w:rtl/>
        </w:rPr>
        <w:t xml:space="preserve"> </w:t>
      </w:r>
      <w:hyperlink r:id="rId1" w:history="1">
        <w:r w:rsidRPr="00051BAF">
          <w:rPr>
            <w:rFonts w:hint="cs"/>
            <w:b/>
            <w:bCs/>
            <w:rtl/>
          </w:rPr>
          <w:t>עמותת מחויבות לשלום וצדק חברתי נ' שר האוצר</w:t>
        </w:r>
      </w:hyperlink>
      <w:r>
        <w:t xml:space="preserve"> </w:t>
      </w:r>
      <w:r>
        <w:rPr>
          <w:rFonts w:hint="cs"/>
          <w:rtl/>
        </w:rPr>
        <w:t>(להלן:עניין עמותת מחויבות לשלום)</w:t>
      </w:r>
    </w:p>
  </w:footnote>
  <w:footnote w:id="5">
    <w:p w:rsidR="00E139AB" w:rsidRDefault="00E139AB" w:rsidP="0070545C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טענות המשיבים בפסקה זו מתבססות על מאמרו של גיא דוידוב </w:t>
      </w:r>
      <w:r>
        <w:rPr>
          <w:rtl/>
        </w:rPr>
        <w:t>–</w:t>
      </w:r>
      <w:r>
        <w:rPr>
          <w:rFonts w:hint="cs"/>
          <w:rtl/>
        </w:rPr>
        <w:t xml:space="preserve"> סעיף ב'.</w:t>
      </w:r>
    </w:p>
  </w:footnote>
  <w:footnote w:id="6">
    <w:p w:rsidR="00156156" w:rsidRDefault="00156156" w:rsidP="00156156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היה בדעת יחיד בעניין עמותת מחויבות לשלום.</w:t>
      </w:r>
    </w:p>
  </w:footnote>
  <w:footnote w:id="7">
    <w:p w:rsidR="00156156" w:rsidRDefault="00156156" w:rsidP="00156156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 w:rsidRPr="00751DB6">
        <w:t>"</w:t>
      </w:r>
      <w:r w:rsidRPr="00751DB6">
        <w:rPr>
          <w:rtl/>
        </w:rPr>
        <w:t xml:space="preserve">זכויות היסוד של האדם בישראל מושתתות על ההכרה בערך האדם, בקדושת חייו ובהיותו בן-חורין, והן יכובדו ברוח העקרונות </w:t>
      </w:r>
      <w:r>
        <w:rPr>
          <w:rFonts w:hint="cs"/>
          <w:rtl/>
        </w:rPr>
        <w:t xml:space="preserve">  </w:t>
      </w:r>
      <w:r w:rsidRPr="00751DB6">
        <w:rPr>
          <w:rtl/>
        </w:rPr>
        <w:t>שבהכרזה על הקמת מדינת ישראל".</w:t>
      </w:r>
    </w:p>
  </w:footnote>
  <w:footnote w:id="8">
    <w:p w:rsidR="00156156" w:rsidRDefault="00156156" w:rsidP="00156156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 w:rsidRPr="00751DB6">
        <w:rPr>
          <w:rFonts w:hint="cs"/>
          <w:rtl/>
        </w:rPr>
        <w:t xml:space="preserve">בג"צ 1554/95 </w:t>
      </w:r>
      <w:hyperlink r:id="rId2" w:history="1">
        <w:r w:rsidRPr="00EF26E4">
          <w:rPr>
            <w:rFonts w:hint="cs"/>
            <w:b/>
            <w:bCs/>
            <w:rtl/>
          </w:rPr>
          <w:t>עמותת שוחרי גיל"ת נ' שר החינוך</w:t>
        </w:r>
      </w:hyperlink>
      <w:r>
        <w:rPr>
          <w:rFonts w:hint="cs"/>
          <w:rtl/>
        </w:rPr>
        <w:t xml:space="preserve">, בה מובאים דבריו של השופט לוין בעניין זה.  </w:t>
      </w:r>
    </w:p>
  </w:footnote>
  <w:footnote w:id="9">
    <w:p w:rsidR="00E139AB" w:rsidRDefault="00E139AB">
      <w:pPr>
        <w:pStyle w:val="a5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Pr="00BA5C1A">
        <w:rPr>
          <w:rFonts w:hint="cs"/>
          <w:rtl/>
        </w:rPr>
        <w:t>עניין עמותת מחויבות לשלום</w:t>
      </w:r>
    </w:p>
  </w:footnote>
  <w:footnote w:id="10">
    <w:p w:rsidR="00E139AB" w:rsidRDefault="00E139AB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כיבוד החוק לפי מאמרו של דוידוב בסעיף 3 </w:t>
      </w:r>
      <w:r>
        <w:rPr>
          <w:rtl/>
        </w:rPr>
        <w:t>–</w:t>
      </w:r>
      <w:r>
        <w:rPr>
          <w:rFonts w:hint="cs"/>
          <w:rtl/>
        </w:rPr>
        <w:t xml:space="preserve"> המנעות של המדינה עצה </w:t>
      </w:r>
      <w:r w:rsidRPr="009F4F92">
        <w:rPr>
          <w:rFonts w:hint="cs"/>
          <w:b/>
          <w:bCs/>
          <w:rtl/>
        </w:rPr>
        <w:t>מפגיעה</w:t>
      </w:r>
      <w:r>
        <w:rPr>
          <w:rFonts w:hint="cs"/>
          <w:rtl/>
        </w:rPr>
        <w:t xml:space="preserve"> בזכות.</w:t>
      </w:r>
    </w:p>
  </w:footnote>
  <w:footnote w:id="11">
    <w:p w:rsidR="00E139AB" w:rsidRDefault="00E139AB">
      <w:pPr>
        <w:pStyle w:val="a5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Pr="00DA06DC">
        <w:rPr>
          <w:rFonts w:hint="cs"/>
          <w:b/>
          <w:bCs/>
          <w:rtl/>
        </w:rPr>
        <w:t>הגנה</w:t>
      </w:r>
      <w:r>
        <w:rPr>
          <w:rFonts w:hint="cs"/>
          <w:rtl/>
        </w:rPr>
        <w:t xml:space="preserve"> על הזכות לפי מאמרו של דוידוב בסעיף 4 הינה חיובית אשר לצידה משמעות תקציבית</w:t>
      </w:r>
    </w:p>
  </w:footnote>
  <w:footnote w:id="12">
    <w:p w:rsidR="00E139AB" w:rsidRDefault="00E139AB" w:rsidP="00DA06DC">
      <w:pPr>
        <w:pStyle w:val="a5"/>
        <w:rPr>
          <w:rtl/>
        </w:rPr>
      </w:pPr>
      <w:r w:rsidRPr="00BA5C1A">
        <w:rPr>
          <w:rStyle w:val="a6"/>
        </w:rPr>
        <w:footnoteRef/>
      </w:r>
      <w:r w:rsidRPr="00BA5C1A">
        <w:rPr>
          <w:rtl/>
        </w:rPr>
        <w:t xml:space="preserve"> </w:t>
      </w:r>
      <w:r>
        <w:rPr>
          <w:rFonts w:hint="cs"/>
          <w:rtl/>
        </w:rPr>
        <w:t xml:space="preserve">בסעיפים אלו נכלל יסוד </w:t>
      </w:r>
      <w:r w:rsidRPr="00DA06DC">
        <w:rPr>
          <w:rFonts w:hint="cs"/>
          <w:b/>
          <w:bCs/>
          <w:rtl/>
        </w:rPr>
        <w:t>ההגנה</w:t>
      </w:r>
      <w:r>
        <w:rPr>
          <w:rFonts w:hint="cs"/>
          <w:rtl/>
        </w:rPr>
        <w:t xml:space="preserve"> על זכויות היסוד בכללן הזכות לכבוד.</w:t>
      </w:r>
    </w:p>
  </w:footnote>
  <w:footnote w:id="13">
    <w:p w:rsidR="00E139AB" w:rsidRDefault="00E139AB" w:rsidP="00031AE1">
      <w:pPr>
        <w:pStyle w:val="a5"/>
      </w:pPr>
      <w:r w:rsidRPr="0075668D">
        <w:rPr>
          <w:rStyle w:val="a6"/>
        </w:rPr>
        <w:footnoteRef/>
      </w:r>
      <w:r>
        <w:rPr>
          <w:rtl/>
        </w:rPr>
        <w:t xml:space="preserve"> </w:t>
      </w:r>
      <w:r w:rsidRPr="0075668D">
        <w:rPr>
          <w:rFonts w:hint="cs"/>
          <w:rtl/>
        </w:rPr>
        <w:t xml:space="preserve">בג"צ 2599/00 </w:t>
      </w:r>
      <w:hyperlink r:id="rId3" w:history="1">
        <w:r w:rsidRPr="0075668D">
          <w:rPr>
            <w:rFonts w:hint="cs"/>
            <w:b/>
            <w:bCs/>
            <w:rtl/>
          </w:rPr>
          <w:t>ית"ד נ' משרד החינוך</w:t>
        </w:r>
      </w:hyperlink>
      <w:r w:rsidRPr="0075668D">
        <w:rPr>
          <w:rFonts w:hint="cs"/>
          <w:rtl/>
        </w:rPr>
        <w:t xml:space="preserve"> בו נקבע כי על אף ההשלכות התקציביות על המדינה לתת מענה לילדים בעלי מוגבלויות</w:t>
      </w:r>
      <w:r>
        <w:rPr>
          <w:rFonts w:hint="cs"/>
          <w:rtl/>
        </w:rPr>
        <w:t xml:space="preserve"> (להלן:עניין ית"ד)</w:t>
      </w:r>
      <w:r w:rsidRPr="0075668D">
        <w:rPr>
          <w:rFonts w:hint="cs"/>
          <w:rtl/>
        </w:rPr>
        <w:t xml:space="preserve">. </w:t>
      </w:r>
    </w:p>
  </w:footnote>
  <w:footnote w:id="14">
    <w:p w:rsidR="00E139AB" w:rsidRPr="00CB4A8B" w:rsidRDefault="00E139AB">
      <w:pPr>
        <w:pStyle w:val="a5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Pr="00CB4A8B">
        <w:rPr>
          <w:rFonts w:hint="cs"/>
          <w:rtl/>
        </w:rPr>
        <w:t xml:space="preserve">בג”צ 2481/93 </w:t>
      </w:r>
      <w:hyperlink r:id="rId4" w:history="1">
        <w:r w:rsidRPr="00CB4A8B">
          <w:rPr>
            <w:rFonts w:hint="cs"/>
            <w:b/>
            <w:bCs/>
            <w:rtl/>
          </w:rPr>
          <w:t>דיין נ' מפקד מחוז ירושלים</w:t>
        </w:r>
      </w:hyperlink>
      <w:r>
        <w:rPr>
          <w:rFonts w:hint="cs"/>
          <w:rtl/>
        </w:rPr>
        <w:t xml:space="preserve"> (להלן: עניין דיין).</w:t>
      </w:r>
    </w:p>
  </w:footnote>
  <w:footnote w:id="15">
    <w:p w:rsidR="00E139AB" w:rsidRDefault="00E139AB" w:rsidP="003C27E9">
      <w:pPr>
        <w:pStyle w:val="a5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עניין עמותת מחויבות לשלום בה קבע ביהמ"ש: "</w:t>
      </w:r>
      <w:r w:rsidRPr="00C23181">
        <w:rPr>
          <w:rFonts w:hint="cs"/>
          <w:rtl/>
        </w:rPr>
        <w:t>יידרש השופט להתחשב בנסיבות הזמן והמקום, בערכי היסוד של החברה ובאורחות חייה, במוסכמות החברתיות והפוליטיות ובמציאות הנורמטיבית</w:t>
      </w:r>
      <w:r>
        <w:rPr>
          <w:rFonts w:hint="cs"/>
          <w:rtl/>
        </w:rPr>
        <w:t>"</w:t>
      </w:r>
      <w:r w:rsidRPr="00C23181">
        <w:rPr>
          <w:rFonts w:hint="cs"/>
          <w:rtl/>
        </w:rPr>
        <w:t>.</w:t>
      </w:r>
    </w:p>
  </w:footnote>
  <w:footnote w:id="16">
    <w:p w:rsidR="00E139AB" w:rsidRDefault="00E139AB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ה"ש 12</w:t>
      </w:r>
    </w:p>
  </w:footnote>
  <w:footnote w:id="17">
    <w:p w:rsidR="00E139AB" w:rsidRDefault="00E139AB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פרופ' ספיר </w:t>
      </w:r>
      <w:r>
        <w:rPr>
          <w:rtl/>
        </w:rPr>
        <w:t>–</w:t>
      </w:r>
      <w:r>
        <w:rPr>
          <w:rFonts w:hint="cs"/>
          <w:rtl/>
        </w:rPr>
        <w:t xml:space="preserve"> ישן מול חדש- על איזון אנכי ומידתיות.</w:t>
      </w:r>
    </w:p>
  </w:footnote>
  <w:footnote w:id="18">
    <w:p w:rsidR="00E139AB" w:rsidRPr="00057FBE" w:rsidRDefault="00E139AB" w:rsidP="00300189">
      <w:pPr>
        <w:pStyle w:val="a5"/>
        <w:rPr>
          <w:b/>
          <w:bCs/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Pr="00057FBE">
        <w:rPr>
          <w:rFonts w:hint="cs"/>
          <w:rtl/>
        </w:rPr>
        <w:t xml:space="preserve">רע"א 4905/98 </w:t>
      </w:r>
      <w:hyperlink r:id="rId5" w:history="1">
        <w:r w:rsidRPr="00057FBE">
          <w:rPr>
            <w:rFonts w:hint="cs"/>
            <w:b/>
            <w:bCs/>
            <w:rtl/>
          </w:rPr>
          <w:t>גמזו נ' ישעיהו</w:t>
        </w:r>
      </w:hyperlink>
      <w:r>
        <w:rPr>
          <w:rFonts w:hint="cs"/>
          <w:b/>
          <w:bCs/>
          <w:rtl/>
        </w:rPr>
        <w:t xml:space="preserve"> </w:t>
      </w:r>
      <w:r w:rsidRPr="00300189">
        <w:rPr>
          <w:rFonts w:hint="cs"/>
          <w:rtl/>
        </w:rPr>
        <w:t>קבע ביהמ"ש ש"</w:t>
      </w:r>
      <w:r w:rsidRPr="00300189">
        <w:rPr>
          <w:rtl/>
        </w:rPr>
        <w:t>אדם המתגורר בחוצות ואין לו דיור, הוא אדם שכבודו כאדם נפגע</w:t>
      </w:r>
      <w:r>
        <w:rPr>
          <w:rFonts w:hint="cs"/>
          <w:rtl/>
        </w:rPr>
        <w:t>"</w:t>
      </w:r>
      <w:r w:rsidRPr="00300189">
        <w:rPr>
          <w:rFonts w:hint="cs"/>
          <w:rtl/>
        </w:rPr>
        <w:t>.</w:t>
      </w:r>
      <w:r>
        <w:rPr>
          <w:rFonts w:hint="cs"/>
          <w:b/>
          <w:bCs/>
          <w:rtl/>
        </w:rPr>
        <w:t>(להלן:עניין גמזו)</w:t>
      </w:r>
    </w:p>
  </w:footnote>
  <w:footnote w:id="19">
    <w:p w:rsidR="00E139AB" w:rsidRPr="00AF50E1" w:rsidRDefault="00E139AB" w:rsidP="00AF50E1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כיבוד החוק לפי מאמרו של דוידוב בסעיף 3 </w:t>
      </w:r>
      <w:r>
        <w:rPr>
          <w:rtl/>
        </w:rPr>
        <w:t>–</w:t>
      </w:r>
      <w:r>
        <w:rPr>
          <w:rFonts w:hint="cs"/>
          <w:rtl/>
        </w:rPr>
        <w:t xml:space="preserve"> המנעות של המדינה עצה </w:t>
      </w:r>
      <w:r w:rsidRPr="009F4F92">
        <w:rPr>
          <w:rFonts w:hint="cs"/>
          <w:b/>
          <w:bCs/>
          <w:rtl/>
        </w:rPr>
        <w:t>מפגיעה</w:t>
      </w:r>
      <w:r>
        <w:rPr>
          <w:rFonts w:hint="cs"/>
          <w:rtl/>
        </w:rPr>
        <w:t xml:space="preserve"> בזכות.</w:t>
      </w:r>
    </w:p>
  </w:footnote>
  <w:footnote w:id="20">
    <w:p w:rsidR="00E139AB" w:rsidRDefault="00E139AB" w:rsidP="00627963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מונדלק עמד על כך במאמרו בציינו ש"דוגמאות אלה (פגיעה בזכות שלילית) רחוקות ומדובר בחוקים דרקוניים".</w:t>
      </w:r>
    </w:p>
  </w:footnote>
  <w:footnote w:id="21">
    <w:p w:rsidR="00E139AB" w:rsidRDefault="00E139AB" w:rsidP="00C034EE">
      <w:pPr>
        <w:pStyle w:val="a5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Pr="00C034EE">
        <w:rPr>
          <w:rFonts w:hint="cs"/>
          <w:rtl/>
        </w:rPr>
        <w:t xml:space="preserve">בג"צ 6055/95 </w:t>
      </w:r>
      <w:hyperlink r:id="rId6" w:history="1">
        <w:r w:rsidRPr="00C034EE">
          <w:rPr>
            <w:rFonts w:hint="cs"/>
            <w:b/>
            <w:bCs/>
            <w:rtl/>
          </w:rPr>
          <w:t>צמח נ' שר הבטחון</w:t>
        </w:r>
      </w:hyperlink>
      <w:r>
        <w:rPr>
          <w:rFonts w:hint="cs"/>
          <w:rtl/>
        </w:rPr>
        <w:t xml:space="preserve"> (להלן: עניין צמח)</w:t>
      </w:r>
    </w:p>
  </w:footnote>
  <w:footnote w:id="22">
    <w:p w:rsidR="00E139AB" w:rsidRDefault="00E139AB">
      <w:pPr>
        <w:pStyle w:val="a5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העותרים לא יטענו לעניין תכליתו של החוק שכן יש לראותו כחוק למטרה ראויה, הגשמת זכות הקניין של הנושים. </w:t>
      </w:r>
    </w:p>
  </w:footnote>
  <w:footnote w:id="23">
    <w:p w:rsidR="00E139AB" w:rsidRDefault="00E139AB">
      <w:pPr>
        <w:pStyle w:val="a5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ה"ש 8</w:t>
      </w:r>
    </w:p>
  </w:footnote>
  <w:footnote w:id="24">
    <w:p w:rsidR="00E139AB" w:rsidRDefault="00E139AB" w:rsidP="009F5995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כפי שאמר ביהמ"ש בעניין גמזו "</w:t>
      </w:r>
      <w:r w:rsidRPr="009F5995">
        <w:rPr>
          <w:rtl/>
        </w:rPr>
        <w:t>החוק בא למנוע מצב שבו בהפעלת מנגנון הגבייה לטובת הזוכה יהפוך החייב לחסר יכולת ולנטל על החברה</w:t>
      </w:r>
      <w:r>
        <w:rPr>
          <w:rFonts w:hint="cs"/>
          <w:rtl/>
        </w:rPr>
        <w:t>"</w:t>
      </w:r>
    </w:p>
  </w:footnote>
  <w:footnote w:id="25">
    <w:p w:rsidR="00E139AB" w:rsidRDefault="00E139AB" w:rsidP="00B44632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כפי שנאמר בעניין לשכת מנהלי השקעות.</w:t>
      </w:r>
    </w:p>
  </w:footnote>
  <w:footnote w:id="26">
    <w:p w:rsidR="00E139AB" w:rsidRDefault="00E139AB">
      <w:pPr>
        <w:pStyle w:val="a5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לפי שלושת מבחני המשנה מעניין לשכת מנהלי השקעות.</w:t>
      </w:r>
    </w:p>
  </w:footnote>
  <w:footnote w:id="27">
    <w:p w:rsidR="00E139AB" w:rsidRDefault="00E139AB" w:rsidP="00926627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 w:rsidRPr="006D06B8">
        <w:rPr>
          <w:rFonts w:hint="cs"/>
          <w:rtl/>
        </w:rPr>
        <w:t xml:space="preserve">בג"צ 450/97 </w:t>
      </w:r>
      <w:hyperlink r:id="rId7" w:history="1">
        <w:r w:rsidRPr="002C5BE3">
          <w:rPr>
            <w:rFonts w:hint="cs"/>
            <w:b/>
            <w:bCs/>
            <w:rtl/>
          </w:rPr>
          <w:t>תנופה נ' שר העבודה</w:t>
        </w:r>
      </w:hyperlink>
      <w:r>
        <w:rPr>
          <w:rFonts w:hint="cs"/>
          <w:b/>
          <w:bCs/>
          <w:rtl/>
        </w:rPr>
        <w:t xml:space="preserve"> </w:t>
      </w:r>
      <w:r w:rsidRPr="00B44632">
        <w:rPr>
          <w:rFonts w:hint="cs"/>
          <w:rtl/>
        </w:rPr>
        <w:t>(להלן</w:t>
      </w:r>
      <w:r>
        <w:rPr>
          <w:rFonts w:hint="cs"/>
          <w:rtl/>
        </w:rPr>
        <w:t>: עניין תנופה) .</w:t>
      </w:r>
    </w:p>
  </w:footnote>
  <w:footnote w:id="28">
    <w:p w:rsidR="00376609" w:rsidRDefault="00376609">
      <w:pPr>
        <w:pStyle w:val="a5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כך אמר בעניין תנופה.</w:t>
      </w:r>
    </w:p>
  </w:footnote>
  <w:footnote w:id="29">
    <w:p w:rsidR="00E139AB" w:rsidRDefault="00E139AB" w:rsidP="00270BD4">
      <w:pPr>
        <w:pStyle w:val="a5"/>
      </w:pPr>
      <w:r>
        <w:rPr>
          <w:rStyle w:val="a6"/>
        </w:rPr>
        <w:footnoteRef/>
      </w:r>
      <w:r>
        <w:rPr>
          <w:rtl/>
        </w:rPr>
        <w:t xml:space="preserve"> הסעד הראוי כנגד הפרת זכויות האדם הוא חיוב הרשויות בהגשמה מיידית שלה</w:t>
      </w:r>
      <w:r>
        <w:rPr>
          <w:rFonts w:hint="cs"/>
          <w:rtl/>
        </w:rPr>
        <w:t>ן</w:t>
      </w:r>
      <w:r>
        <w:rPr>
          <w:rtl/>
        </w:rPr>
        <w:t xml:space="preserve"> גם אם הדבר כרוך בשינוי מבנה התקציב</w:t>
      </w:r>
    </w:p>
  </w:footnote>
  <w:footnote w:id="30">
    <w:p w:rsidR="006829F9" w:rsidRDefault="006829F9">
      <w:pPr>
        <w:pStyle w:val="a5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עניין לשכת מנהלי השקעות בו נפסל חלק מחוק, דעת היחיד של השופט לוי בעניין עמותת מחויבות לשלום.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535041"/>
    <w:rsid w:val="000165E7"/>
    <w:rsid w:val="000250BA"/>
    <w:rsid w:val="00031AE1"/>
    <w:rsid w:val="00037A81"/>
    <w:rsid w:val="00051BAF"/>
    <w:rsid w:val="000521EE"/>
    <w:rsid w:val="00057FBE"/>
    <w:rsid w:val="0007359F"/>
    <w:rsid w:val="00075B8F"/>
    <w:rsid w:val="00086BCA"/>
    <w:rsid w:val="000873C6"/>
    <w:rsid w:val="000A42B9"/>
    <w:rsid w:val="000B42DD"/>
    <w:rsid w:val="000D2E7C"/>
    <w:rsid w:val="000E399E"/>
    <w:rsid w:val="00127831"/>
    <w:rsid w:val="0014505F"/>
    <w:rsid w:val="00156156"/>
    <w:rsid w:val="00163E2B"/>
    <w:rsid w:val="00164539"/>
    <w:rsid w:val="00173146"/>
    <w:rsid w:val="001743E6"/>
    <w:rsid w:val="00180994"/>
    <w:rsid w:val="001C27AF"/>
    <w:rsid w:val="001E7AB5"/>
    <w:rsid w:val="002003C8"/>
    <w:rsid w:val="002005A4"/>
    <w:rsid w:val="00213A5D"/>
    <w:rsid w:val="002408C7"/>
    <w:rsid w:val="00260DEB"/>
    <w:rsid w:val="00270BD4"/>
    <w:rsid w:val="00272673"/>
    <w:rsid w:val="00274CF7"/>
    <w:rsid w:val="002C007C"/>
    <w:rsid w:val="002C5BE3"/>
    <w:rsid w:val="002D19F3"/>
    <w:rsid w:val="002E6938"/>
    <w:rsid w:val="00300189"/>
    <w:rsid w:val="00303B56"/>
    <w:rsid w:val="00304C00"/>
    <w:rsid w:val="00305200"/>
    <w:rsid w:val="003066C9"/>
    <w:rsid w:val="00311EE0"/>
    <w:rsid w:val="003274E7"/>
    <w:rsid w:val="003458EC"/>
    <w:rsid w:val="00355520"/>
    <w:rsid w:val="00361F9D"/>
    <w:rsid w:val="00376609"/>
    <w:rsid w:val="00386567"/>
    <w:rsid w:val="003A1B8B"/>
    <w:rsid w:val="003C27E9"/>
    <w:rsid w:val="003C31EC"/>
    <w:rsid w:val="003E090E"/>
    <w:rsid w:val="003E4EEA"/>
    <w:rsid w:val="0040350E"/>
    <w:rsid w:val="00405AE6"/>
    <w:rsid w:val="00405D15"/>
    <w:rsid w:val="00441FA0"/>
    <w:rsid w:val="00452D67"/>
    <w:rsid w:val="00467DF4"/>
    <w:rsid w:val="00473658"/>
    <w:rsid w:val="004872CF"/>
    <w:rsid w:val="00495645"/>
    <w:rsid w:val="00497CD5"/>
    <w:rsid w:val="004C3F72"/>
    <w:rsid w:val="004D5A65"/>
    <w:rsid w:val="004F1866"/>
    <w:rsid w:val="004F7D94"/>
    <w:rsid w:val="005036E9"/>
    <w:rsid w:val="005129B3"/>
    <w:rsid w:val="00535041"/>
    <w:rsid w:val="0055488E"/>
    <w:rsid w:val="0055728F"/>
    <w:rsid w:val="00576DB0"/>
    <w:rsid w:val="0057707A"/>
    <w:rsid w:val="00583830"/>
    <w:rsid w:val="005A0FCD"/>
    <w:rsid w:val="005D1C67"/>
    <w:rsid w:val="005D5474"/>
    <w:rsid w:val="00607038"/>
    <w:rsid w:val="0060754D"/>
    <w:rsid w:val="006151EF"/>
    <w:rsid w:val="0062482B"/>
    <w:rsid w:val="00627963"/>
    <w:rsid w:val="00660A18"/>
    <w:rsid w:val="006636B1"/>
    <w:rsid w:val="00664F2E"/>
    <w:rsid w:val="00671125"/>
    <w:rsid w:val="00671338"/>
    <w:rsid w:val="006829F9"/>
    <w:rsid w:val="006839F8"/>
    <w:rsid w:val="0069630A"/>
    <w:rsid w:val="006C6048"/>
    <w:rsid w:val="006D06B8"/>
    <w:rsid w:val="006E0453"/>
    <w:rsid w:val="006E110C"/>
    <w:rsid w:val="006E2A11"/>
    <w:rsid w:val="006E4DF5"/>
    <w:rsid w:val="0070545C"/>
    <w:rsid w:val="00720A93"/>
    <w:rsid w:val="00735745"/>
    <w:rsid w:val="00751DB6"/>
    <w:rsid w:val="0075668D"/>
    <w:rsid w:val="007660D1"/>
    <w:rsid w:val="00783B54"/>
    <w:rsid w:val="00793B7A"/>
    <w:rsid w:val="00796587"/>
    <w:rsid w:val="00797086"/>
    <w:rsid w:val="007A31BD"/>
    <w:rsid w:val="007A3B44"/>
    <w:rsid w:val="007C7F85"/>
    <w:rsid w:val="007D494B"/>
    <w:rsid w:val="007E5A5C"/>
    <w:rsid w:val="00815040"/>
    <w:rsid w:val="0083553A"/>
    <w:rsid w:val="00847F0E"/>
    <w:rsid w:val="00847FB5"/>
    <w:rsid w:val="00866B7D"/>
    <w:rsid w:val="00870235"/>
    <w:rsid w:val="008730F1"/>
    <w:rsid w:val="008B7963"/>
    <w:rsid w:val="008D010B"/>
    <w:rsid w:val="008E071B"/>
    <w:rsid w:val="008E2AC0"/>
    <w:rsid w:val="008E42DD"/>
    <w:rsid w:val="00915B8B"/>
    <w:rsid w:val="00926627"/>
    <w:rsid w:val="00932E8E"/>
    <w:rsid w:val="00943752"/>
    <w:rsid w:val="00987820"/>
    <w:rsid w:val="009939FC"/>
    <w:rsid w:val="0099766D"/>
    <w:rsid w:val="009A204F"/>
    <w:rsid w:val="009A4195"/>
    <w:rsid w:val="009C5DF9"/>
    <w:rsid w:val="009F4F92"/>
    <w:rsid w:val="009F5995"/>
    <w:rsid w:val="00A01D81"/>
    <w:rsid w:val="00A0412D"/>
    <w:rsid w:val="00A0791F"/>
    <w:rsid w:val="00A130A7"/>
    <w:rsid w:val="00A2050A"/>
    <w:rsid w:val="00A253DF"/>
    <w:rsid w:val="00A74341"/>
    <w:rsid w:val="00A80FE8"/>
    <w:rsid w:val="00A87711"/>
    <w:rsid w:val="00AA1962"/>
    <w:rsid w:val="00AB73A9"/>
    <w:rsid w:val="00AC27AE"/>
    <w:rsid w:val="00AE27F9"/>
    <w:rsid w:val="00AF374C"/>
    <w:rsid w:val="00AF50E1"/>
    <w:rsid w:val="00B10D7E"/>
    <w:rsid w:val="00B207ED"/>
    <w:rsid w:val="00B21DBF"/>
    <w:rsid w:val="00B23D22"/>
    <w:rsid w:val="00B32E95"/>
    <w:rsid w:val="00B44632"/>
    <w:rsid w:val="00B91A7E"/>
    <w:rsid w:val="00BA5C1A"/>
    <w:rsid w:val="00BA7307"/>
    <w:rsid w:val="00BB09C8"/>
    <w:rsid w:val="00BB36AA"/>
    <w:rsid w:val="00BD6A8F"/>
    <w:rsid w:val="00C02D21"/>
    <w:rsid w:val="00C034EE"/>
    <w:rsid w:val="00C2173D"/>
    <w:rsid w:val="00C23181"/>
    <w:rsid w:val="00C2520D"/>
    <w:rsid w:val="00C364E2"/>
    <w:rsid w:val="00C3659B"/>
    <w:rsid w:val="00C36E76"/>
    <w:rsid w:val="00C50588"/>
    <w:rsid w:val="00C51BAB"/>
    <w:rsid w:val="00C52807"/>
    <w:rsid w:val="00C5335E"/>
    <w:rsid w:val="00C570C5"/>
    <w:rsid w:val="00C649D3"/>
    <w:rsid w:val="00C709D0"/>
    <w:rsid w:val="00C70DBB"/>
    <w:rsid w:val="00C72E77"/>
    <w:rsid w:val="00C74174"/>
    <w:rsid w:val="00C75E08"/>
    <w:rsid w:val="00C95396"/>
    <w:rsid w:val="00CA2110"/>
    <w:rsid w:val="00CB4A8B"/>
    <w:rsid w:val="00CC7E60"/>
    <w:rsid w:val="00CD29C4"/>
    <w:rsid w:val="00CD678D"/>
    <w:rsid w:val="00CE2132"/>
    <w:rsid w:val="00D207A3"/>
    <w:rsid w:val="00D3772D"/>
    <w:rsid w:val="00D61003"/>
    <w:rsid w:val="00D647B9"/>
    <w:rsid w:val="00D6725E"/>
    <w:rsid w:val="00D71842"/>
    <w:rsid w:val="00D94FF2"/>
    <w:rsid w:val="00DA06DC"/>
    <w:rsid w:val="00DA1C38"/>
    <w:rsid w:val="00DB49E6"/>
    <w:rsid w:val="00DC0947"/>
    <w:rsid w:val="00DE40AB"/>
    <w:rsid w:val="00DE429D"/>
    <w:rsid w:val="00DE6367"/>
    <w:rsid w:val="00E02F73"/>
    <w:rsid w:val="00E03B27"/>
    <w:rsid w:val="00E139AB"/>
    <w:rsid w:val="00E16291"/>
    <w:rsid w:val="00E26750"/>
    <w:rsid w:val="00E42616"/>
    <w:rsid w:val="00E47D8C"/>
    <w:rsid w:val="00E57ACA"/>
    <w:rsid w:val="00E665C4"/>
    <w:rsid w:val="00E752D2"/>
    <w:rsid w:val="00E82C21"/>
    <w:rsid w:val="00EA12F1"/>
    <w:rsid w:val="00EA28D3"/>
    <w:rsid w:val="00EA5844"/>
    <w:rsid w:val="00EB7919"/>
    <w:rsid w:val="00EB7A24"/>
    <w:rsid w:val="00EE1F28"/>
    <w:rsid w:val="00EE61A4"/>
    <w:rsid w:val="00EF26E4"/>
    <w:rsid w:val="00F02B48"/>
    <w:rsid w:val="00F215F6"/>
    <w:rsid w:val="00F239D1"/>
    <w:rsid w:val="00F44164"/>
    <w:rsid w:val="00F45E9E"/>
    <w:rsid w:val="00F6551B"/>
    <w:rsid w:val="00F66668"/>
    <w:rsid w:val="00F77B81"/>
    <w:rsid w:val="00F90F65"/>
    <w:rsid w:val="00FA4282"/>
    <w:rsid w:val="00FB5BE2"/>
    <w:rsid w:val="00FD4161"/>
    <w:rsid w:val="00FE16E5"/>
    <w:rsid w:val="00FF56B7"/>
    <w:rsid w:val="00FF6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9F3"/>
    <w:pPr>
      <w:bidi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">
    <w:name w:val="default"/>
    <w:basedOn w:val="a0"/>
    <w:rsid w:val="00F66668"/>
    <w:rPr>
      <w:rFonts w:ascii="Times New Roman" w:hAnsi="Times New Roman" w:cs="Times New Roman"/>
      <w:sz w:val="26"/>
      <w:szCs w:val="26"/>
    </w:rPr>
  </w:style>
  <w:style w:type="paragraph" w:customStyle="1" w:styleId="page">
    <w:name w:val="page"/>
    <w:rsid w:val="00F66668"/>
    <w:pPr>
      <w:widowControl w:val="0"/>
      <w:autoSpaceDE w:val="0"/>
      <w:autoSpaceDN w:val="0"/>
      <w:bidi/>
    </w:pPr>
    <w:rPr>
      <w:rFonts w:eastAsia="Times New Roman"/>
      <w:noProof/>
      <w:position w:val="4"/>
      <w:szCs w:val="22"/>
      <w:lang w:eastAsia="he-IL"/>
    </w:rPr>
  </w:style>
  <w:style w:type="character" w:styleId="Hyperlink">
    <w:name w:val="Hyperlink"/>
    <w:basedOn w:val="a0"/>
    <w:rsid w:val="0099766D"/>
    <w:rPr>
      <w:color w:val="0000FF"/>
      <w:u w:val="single"/>
    </w:rPr>
  </w:style>
  <w:style w:type="paragraph" w:customStyle="1" w:styleId="P00">
    <w:name w:val="P00"/>
    <w:rsid w:val="00B21DBF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eastAsia="Times New Roman"/>
      <w:noProof/>
      <w:szCs w:val="26"/>
      <w:lang w:eastAsia="he-IL"/>
    </w:rPr>
  </w:style>
  <w:style w:type="paragraph" w:customStyle="1" w:styleId="P22">
    <w:name w:val="P22"/>
    <w:basedOn w:val="P00"/>
    <w:rsid w:val="00B21DBF"/>
    <w:pPr>
      <w:tabs>
        <w:tab w:val="clear" w:pos="624"/>
        <w:tab w:val="clear" w:pos="1021"/>
      </w:tabs>
      <w:ind w:right="1021"/>
    </w:pPr>
  </w:style>
  <w:style w:type="paragraph" w:styleId="a3">
    <w:name w:val="header"/>
    <w:basedOn w:val="a"/>
    <w:rsid w:val="00C709D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709D0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735745"/>
    <w:rPr>
      <w:sz w:val="20"/>
      <w:szCs w:val="20"/>
    </w:rPr>
  </w:style>
  <w:style w:type="character" w:styleId="a6">
    <w:name w:val="footnote reference"/>
    <w:basedOn w:val="a0"/>
    <w:semiHidden/>
    <w:rsid w:val="00735745"/>
    <w:rPr>
      <w:vertAlign w:val="superscript"/>
    </w:rPr>
  </w:style>
  <w:style w:type="paragraph" w:customStyle="1" w:styleId="Ruller5">
    <w:name w:val="Ruller5"/>
    <w:basedOn w:val="a"/>
    <w:rsid w:val="00EA28D3"/>
    <w:pPr>
      <w:overflowPunct w:val="0"/>
      <w:autoSpaceDE w:val="0"/>
      <w:autoSpaceDN w:val="0"/>
      <w:adjustRightInd w:val="0"/>
      <w:ind w:left="1642" w:right="1282"/>
      <w:jc w:val="both"/>
      <w:textAlignment w:val="baseline"/>
    </w:pPr>
    <w:rPr>
      <w:rFonts w:ascii="Arial TUR" w:eastAsia="Times New Roman" w:hAnsi="Arial TUR" w:cs="FrankRuehl"/>
      <w:spacing w:val="10"/>
      <w:sz w:val="22"/>
      <w:szCs w:val="28"/>
      <w:lang w:eastAsia="en-US"/>
    </w:rPr>
  </w:style>
  <w:style w:type="paragraph" w:styleId="NormalWeb">
    <w:name w:val="Normal (Web)"/>
    <w:basedOn w:val="a"/>
    <w:uiPriority w:val="99"/>
    <w:semiHidden/>
    <w:unhideWhenUsed/>
    <w:rsid w:val="00B91A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hl2.biu.ac.il/upload/141000/Media/&#1508;&#1505;&#1497;&#1511;&#1492;/&#1497;&#1514;&#1491;%2000.doc" TargetMode="External"/><Relationship Id="rId7" Type="http://schemas.openxmlformats.org/officeDocument/2006/relationships/hyperlink" Target="http://hl2.biu.ac.il/upload/141000/Media/&#1508;&#1505;&#1497;&#1511;&#1492;/&#1514;&#1504;&#1493;&#1508;&#1492;%2097.doc" TargetMode="External"/><Relationship Id="rId2" Type="http://schemas.openxmlformats.org/officeDocument/2006/relationships/hyperlink" Target="http://hl2.biu.ac.il/upload/141000/Media/&#1508;&#1505;&#1497;&#1511;&#1492;/&#1506;&#1502;&#1493;&#1514;&#1514;%20&#1513;&#1493;&#1495;&#1512;&#1497;%20&#1490;&#1497;&#1500;&#1514;%2095.doc" TargetMode="External"/><Relationship Id="rId1" Type="http://schemas.openxmlformats.org/officeDocument/2006/relationships/hyperlink" Target="http://hl2.biu.ac.il/upload/141000/Media/&#1508;&#1505;&#1497;&#1511;&#1492;/&#1506;&#1502;&#1493;&#1514;&#1514;%20&#1502;&#1495;&#1493;&#1497;&#1489;&#1493;&#1514;%2003.doc" TargetMode="External"/><Relationship Id="rId6" Type="http://schemas.openxmlformats.org/officeDocument/2006/relationships/hyperlink" Target="http://hl2.biu.ac.il/upload/141000/Media/&#1508;&#1505;&#1497;&#1511;&#1492;/&#1510;&#1502;&#1495;%2095.doc" TargetMode="External"/><Relationship Id="rId5" Type="http://schemas.openxmlformats.org/officeDocument/2006/relationships/hyperlink" Target="http://hl2.biu.ac.il/upload/141000/Media/&#1508;&#1505;&#1497;&#1511;&#1492;/&#1490;&#1502;&#1494;&#1493;%2098.doc" TargetMode="External"/><Relationship Id="rId4" Type="http://schemas.openxmlformats.org/officeDocument/2006/relationships/hyperlink" Target="http://hl2.biu.ac.il/upload/141000/Media/&#1508;&#1505;&#1497;&#1511;&#1492;/&#1491;&#1497;&#1497;&#1503;%2093.doc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3</Pages>
  <Words>990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ד"ר גידי ספיר</vt:lpstr>
    </vt:vector>
  </TitlesOfParts>
  <Company/>
  <LinksUpToDate>false</LinksUpToDate>
  <CharactersWithSpaces>5933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ד"ר גידי ספיר</dc:title>
  <dc:creator>נועם שוורץ</dc:creator>
  <cp:lastModifiedBy>Segev</cp:lastModifiedBy>
  <cp:revision>11</cp:revision>
  <cp:lastPrinted>2008-11-15T19:47:00Z</cp:lastPrinted>
  <dcterms:created xsi:type="dcterms:W3CDTF">2011-12-14T19:41:00Z</dcterms:created>
  <dcterms:modified xsi:type="dcterms:W3CDTF">2011-12-15T12:08:00Z</dcterms:modified>
</cp:coreProperties>
</file>