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E2" w:rsidRPr="00BA5C1A" w:rsidRDefault="00BF1B40" w:rsidP="00F45E9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שם:</w:t>
      </w:r>
      <w:r w:rsidR="00441FA0" w:rsidRPr="00BA5C1A">
        <w:rPr>
          <w:rFonts w:hint="cs"/>
          <w:sz w:val="20"/>
          <w:szCs w:val="20"/>
          <w:rtl/>
        </w:rPr>
        <w:t>ע</w:t>
      </w:r>
      <w:r w:rsidR="00FB5BE2" w:rsidRPr="00BA5C1A">
        <w:rPr>
          <w:rFonts w:hint="cs"/>
          <w:sz w:val="20"/>
          <w:szCs w:val="20"/>
          <w:rtl/>
        </w:rPr>
        <w:t>ו</w:t>
      </w:r>
      <w:r w:rsidR="00441FA0" w:rsidRPr="00BA5C1A">
        <w:rPr>
          <w:rFonts w:hint="cs"/>
          <w:sz w:val="20"/>
          <w:szCs w:val="20"/>
          <w:rtl/>
        </w:rPr>
        <w:t>מרי שגב</w:t>
      </w:r>
    </w:p>
    <w:p w:rsidR="00441FA0" w:rsidRPr="00BA5C1A" w:rsidRDefault="00FB5BE2" w:rsidP="00441FA0">
      <w:pPr>
        <w:rPr>
          <w:sz w:val="20"/>
          <w:szCs w:val="20"/>
          <w:rtl/>
        </w:rPr>
      </w:pPr>
      <w:r w:rsidRPr="00BA5C1A">
        <w:rPr>
          <w:rFonts w:hint="cs"/>
          <w:sz w:val="20"/>
          <w:szCs w:val="20"/>
          <w:rtl/>
        </w:rPr>
        <w:t>מספר-זהות:</w:t>
      </w:r>
      <w:r w:rsidR="00441FA0" w:rsidRPr="00BA5C1A">
        <w:rPr>
          <w:rFonts w:hint="cs"/>
          <w:sz w:val="20"/>
          <w:szCs w:val="20"/>
          <w:rtl/>
        </w:rPr>
        <w:t>300338902</w:t>
      </w:r>
    </w:p>
    <w:p w:rsidR="001365DE" w:rsidRDefault="00F45E9E" w:rsidP="000E3E5E">
      <w:pPr>
        <w:jc w:val="center"/>
        <w:rPr>
          <w:rtl/>
        </w:rPr>
      </w:pPr>
      <w:r>
        <w:rPr>
          <w:rFonts w:hint="cs"/>
          <w:sz w:val="28"/>
          <w:szCs w:val="28"/>
          <w:u w:val="single"/>
          <w:rtl/>
        </w:rPr>
        <w:t>משפט חוקתי</w:t>
      </w:r>
      <w:r w:rsidR="00BF1B40">
        <w:rPr>
          <w:rFonts w:hint="cs"/>
          <w:sz w:val="28"/>
          <w:szCs w:val="28"/>
          <w:u w:val="single"/>
          <w:rtl/>
        </w:rPr>
        <w:t>-</w:t>
      </w:r>
      <w:r>
        <w:rPr>
          <w:rFonts w:hint="cs"/>
          <w:sz w:val="28"/>
          <w:szCs w:val="28"/>
          <w:u w:val="single"/>
          <w:rtl/>
        </w:rPr>
        <w:t>עבודה מס'</w:t>
      </w:r>
      <w:r w:rsidR="001365DE">
        <w:rPr>
          <w:sz w:val="28"/>
          <w:szCs w:val="28"/>
          <w:u w:val="single"/>
        </w:rPr>
        <w:t>2</w:t>
      </w:r>
    </w:p>
    <w:p w:rsidR="00B04852" w:rsidRDefault="00B04852" w:rsidP="000E3E5E">
      <w:pPr>
        <w:jc w:val="center"/>
        <w:rPr>
          <w:rtl/>
        </w:rPr>
      </w:pPr>
    </w:p>
    <w:p w:rsidR="005D41D0" w:rsidRPr="0015503F" w:rsidRDefault="00C543AD" w:rsidP="000E3E5E">
      <w:pPr>
        <w:jc w:val="both"/>
        <w:rPr>
          <w:u w:val="single"/>
          <w:rtl/>
        </w:rPr>
      </w:pPr>
      <w:r w:rsidRPr="0015503F">
        <w:rPr>
          <w:rFonts w:hint="cs"/>
          <w:u w:val="single"/>
          <w:rtl/>
        </w:rPr>
        <w:t>מעמד חופש</w:t>
      </w:r>
      <w:r w:rsidR="000E3E5E">
        <w:rPr>
          <w:rFonts w:hint="cs"/>
          <w:u w:val="single"/>
          <w:rtl/>
        </w:rPr>
        <w:t>-</w:t>
      </w:r>
      <w:r w:rsidRPr="0015503F">
        <w:rPr>
          <w:rFonts w:hint="cs"/>
          <w:u w:val="single"/>
          <w:rtl/>
        </w:rPr>
        <w:t>הביטוי כזכות שאינה מנויה:</w:t>
      </w:r>
    </w:p>
    <w:p w:rsidR="00760212" w:rsidRDefault="00DF34F9" w:rsidP="00760212">
      <w:pPr>
        <w:jc w:val="both"/>
        <w:rPr>
          <w:b/>
          <w:bCs/>
          <w:rtl/>
        </w:rPr>
      </w:pPr>
      <w:r>
        <w:rPr>
          <w:rFonts w:hint="cs"/>
          <w:rtl/>
        </w:rPr>
        <w:t>שנהב יטען ש</w:t>
      </w:r>
      <w:r w:rsidR="00BE0868">
        <w:rPr>
          <w:rFonts w:hint="cs"/>
          <w:rtl/>
        </w:rPr>
        <w:t>בפסיקות שונות, בין אם באו לפני 199</w:t>
      </w:r>
      <w:r w:rsidR="005D41D0">
        <w:rPr>
          <w:rFonts w:hint="cs"/>
          <w:rtl/>
        </w:rPr>
        <w:t>2</w:t>
      </w:r>
      <w:r w:rsidR="00BE0868">
        <w:rPr>
          <w:rStyle w:val="a6"/>
          <w:rtl/>
        </w:rPr>
        <w:footnoteReference w:id="1"/>
      </w:r>
      <w:r w:rsidR="00BE0868">
        <w:rPr>
          <w:rFonts w:hint="cs"/>
          <w:rtl/>
        </w:rPr>
        <w:t xml:space="preserve"> או אחרי ניתן </w:t>
      </w:r>
      <w:r w:rsidR="00BE0868" w:rsidRPr="00BF1B40">
        <w:rPr>
          <w:rFonts w:hint="cs"/>
          <w:rtl/>
        </w:rPr>
        <w:t>מעמד על-משפטי לזכות זו ואף מעמד חוקתי</w:t>
      </w:r>
      <w:r w:rsidR="00BE0868" w:rsidRPr="00BF1B40">
        <w:rPr>
          <w:rStyle w:val="a6"/>
          <w:rtl/>
        </w:rPr>
        <w:footnoteReference w:id="2"/>
      </w:r>
      <w:r w:rsidR="001C1774" w:rsidRPr="00BF1B40">
        <w:rPr>
          <w:rFonts w:hint="cs"/>
          <w:rtl/>
        </w:rPr>
        <w:t xml:space="preserve"> שכן מהי הזכות לכבוד ללא הזכות לביטוי</w:t>
      </w:r>
      <w:r w:rsidR="001C1774" w:rsidRPr="00BF1B40">
        <w:rPr>
          <w:rStyle w:val="a6"/>
          <w:rtl/>
        </w:rPr>
        <w:footnoteReference w:id="3"/>
      </w:r>
      <w:r w:rsidR="001C1774" w:rsidRPr="00BF1B40">
        <w:rPr>
          <w:rFonts w:hint="cs"/>
          <w:rtl/>
        </w:rPr>
        <w:t>?!</w:t>
      </w:r>
      <w:r w:rsidR="00760212">
        <w:rPr>
          <w:rFonts w:hint="cs"/>
          <w:rtl/>
        </w:rPr>
        <w:t xml:space="preserve"> </w:t>
      </w:r>
      <w:r w:rsidR="008C44A4" w:rsidRPr="00BF1B40">
        <w:rPr>
          <w:rFonts w:hint="cs"/>
          <w:rtl/>
        </w:rPr>
        <w:t>בנוסף יטען כי העמדתו לדין והרצון להשתיקו גורמות להשפלתו וכפועל יוצא פוגעים בכבודו עפ"י חוק-היסוד</w:t>
      </w:r>
      <w:r w:rsidR="008C44A4" w:rsidRPr="00BF1B40">
        <w:rPr>
          <w:rStyle w:val="a6"/>
          <w:rtl/>
        </w:rPr>
        <w:footnoteReference w:id="4"/>
      </w:r>
      <w:r w:rsidR="008C44A4" w:rsidRPr="00BF1B40">
        <w:rPr>
          <w:rFonts w:hint="cs"/>
          <w:rtl/>
        </w:rPr>
        <w:t>.</w:t>
      </w:r>
      <w:r w:rsidR="00BF1B40" w:rsidRPr="00BF1B40">
        <w:rPr>
          <w:rFonts w:hint="cs"/>
          <w:rtl/>
        </w:rPr>
        <w:t xml:space="preserve">בנוסף יטען כי הסנקציות פוגעות בשלושת </w:t>
      </w:r>
      <w:proofErr w:type="spellStart"/>
      <w:r w:rsidR="00BF1B40" w:rsidRPr="00BF1B40">
        <w:rPr>
          <w:rFonts w:hint="cs"/>
          <w:rtl/>
        </w:rPr>
        <w:t>הרציונאלים</w:t>
      </w:r>
      <w:proofErr w:type="spellEnd"/>
      <w:r w:rsidR="00BF1B40" w:rsidRPr="00BF1B40">
        <w:rPr>
          <w:rFonts w:hint="cs"/>
          <w:rtl/>
        </w:rPr>
        <w:t xml:space="preserve"> העומדים מאחורי הזכות לחופש הביטוי</w:t>
      </w:r>
      <w:r w:rsidR="00BF1B40" w:rsidRPr="00BF1B40">
        <w:rPr>
          <w:rStyle w:val="a6"/>
          <w:rtl/>
        </w:rPr>
        <w:footnoteReference w:id="5"/>
      </w:r>
      <w:r w:rsidR="00BF1B40" w:rsidRPr="00BF1B40">
        <w:rPr>
          <w:rFonts w:hint="cs"/>
          <w:rtl/>
        </w:rPr>
        <w:t xml:space="preserve">: </w:t>
      </w:r>
    </w:p>
    <w:p w:rsidR="00760212" w:rsidRPr="00760212" w:rsidRDefault="00BF1B40" w:rsidP="00760212">
      <w:pPr>
        <w:pStyle w:val="a7"/>
        <w:numPr>
          <w:ilvl w:val="0"/>
          <w:numId w:val="7"/>
        </w:numPr>
        <w:jc w:val="both"/>
        <w:rPr>
          <w:b/>
          <w:bCs/>
        </w:rPr>
      </w:pPr>
      <w:r w:rsidRPr="00760212">
        <w:rPr>
          <w:rFonts w:hint="cs"/>
          <w:b/>
          <w:bCs/>
          <w:rtl/>
        </w:rPr>
        <w:t>אינטרס חברתי של חקר האמת</w:t>
      </w:r>
      <w:r w:rsidR="000E3E5E">
        <w:rPr>
          <w:rFonts w:hint="cs"/>
          <w:rtl/>
        </w:rPr>
        <w:t>-</w:t>
      </w:r>
      <w:r w:rsidRPr="00BF1B40">
        <w:rPr>
          <w:rFonts w:hint="cs"/>
          <w:rtl/>
        </w:rPr>
        <w:t xml:space="preserve">לציבור יש עניין בדיון המשמעותי שמביא שנהב. </w:t>
      </w:r>
    </w:p>
    <w:p w:rsidR="00760212" w:rsidRDefault="00BF1B40" w:rsidP="00760212">
      <w:pPr>
        <w:pStyle w:val="a7"/>
        <w:numPr>
          <w:ilvl w:val="0"/>
          <w:numId w:val="7"/>
        </w:numPr>
        <w:jc w:val="both"/>
        <w:rPr>
          <w:b/>
          <w:bCs/>
        </w:rPr>
      </w:pPr>
      <w:r w:rsidRPr="00760212">
        <w:rPr>
          <w:rFonts w:hint="cs"/>
          <w:b/>
          <w:bCs/>
          <w:rtl/>
        </w:rPr>
        <w:t>אינטרס פרטי לביטוי</w:t>
      </w:r>
      <w:r w:rsidRPr="00BF1B40">
        <w:rPr>
          <w:rFonts w:hint="cs"/>
          <w:rtl/>
        </w:rPr>
        <w:t>- לשנהב יש זכות לביטוי והגשמה עצמית ע"י פרסום דעותיו ברבים.</w:t>
      </w:r>
    </w:p>
    <w:p w:rsidR="008C44A4" w:rsidRPr="00760212" w:rsidRDefault="00BF1B40" w:rsidP="00760212">
      <w:pPr>
        <w:pStyle w:val="a7"/>
        <w:numPr>
          <w:ilvl w:val="0"/>
          <w:numId w:val="7"/>
        </w:numPr>
        <w:jc w:val="both"/>
        <w:rPr>
          <w:b/>
          <w:bCs/>
          <w:rtl/>
        </w:rPr>
      </w:pPr>
      <w:r w:rsidRPr="00760212">
        <w:rPr>
          <w:rFonts w:hint="cs"/>
          <w:b/>
          <w:bCs/>
          <w:rtl/>
        </w:rPr>
        <w:t>אינטרס לשמירה על הדמוקרטיה</w:t>
      </w:r>
      <w:r w:rsidRPr="00BF1B40">
        <w:rPr>
          <w:rFonts w:hint="cs"/>
          <w:rtl/>
        </w:rPr>
        <w:t xml:space="preserve">-במאמרו שנהב מציג דעות חשובות שיש לתת עליהן את הדעת. </w:t>
      </w:r>
    </w:p>
    <w:p w:rsidR="00DF34F9" w:rsidRDefault="00BE0868" w:rsidP="008C44A4">
      <w:pPr>
        <w:jc w:val="both"/>
        <w:rPr>
          <w:rtl/>
        </w:rPr>
      </w:pPr>
      <w:r w:rsidRPr="00BF1B40">
        <w:rPr>
          <w:rFonts w:hint="cs"/>
          <w:rtl/>
        </w:rPr>
        <w:t>מנגד,</w:t>
      </w:r>
      <w:r w:rsidR="008C44A4" w:rsidRPr="00BF1B40">
        <w:rPr>
          <w:rFonts w:hint="cs"/>
          <w:rtl/>
        </w:rPr>
        <w:t xml:space="preserve"> תטען האוניברסיטה, </w:t>
      </w:r>
      <w:r w:rsidR="00DF34F9" w:rsidRPr="00BF1B40">
        <w:rPr>
          <w:rFonts w:hint="cs"/>
          <w:rtl/>
        </w:rPr>
        <w:t xml:space="preserve">כי </w:t>
      </w:r>
      <w:r w:rsidRPr="00BF1B40">
        <w:rPr>
          <w:rFonts w:hint="cs"/>
          <w:rtl/>
        </w:rPr>
        <w:t>יש המתנגדים</w:t>
      </w:r>
      <w:r w:rsidR="001F2F57" w:rsidRPr="00BF1B40">
        <w:rPr>
          <w:rFonts w:hint="cs"/>
          <w:rtl/>
        </w:rPr>
        <w:t xml:space="preserve"> בפסיקות</w:t>
      </w:r>
      <w:r w:rsidR="001F2F57" w:rsidRPr="00BF1B40">
        <w:rPr>
          <w:rStyle w:val="a6"/>
          <w:rtl/>
        </w:rPr>
        <w:footnoteReference w:id="6"/>
      </w:r>
      <w:r w:rsidR="001F2F57" w:rsidRPr="00BF1B40">
        <w:rPr>
          <w:rFonts w:hint="cs"/>
          <w:rtl/>
        </w:rPr>
        <w:t xml:space="preserve"> ובספרות</w:t>
      </w:r>
      <w:r w:rsidRPr="00BF1B40">
        <w:rPr>
          <w:rFonts w:hint="cs"/>
          <w:rtl/>
        </w:rPr>
        <w:t xml:space="preserve"> להכללת זכות זו לתוך</w:t>
      </w:r>
      <w:r>
        <w:rPr>
          <w:rFonts w:hint="cs"/>
          <w:rtl/>
        </w:rPr>
        <w:t xml:space="preserve"> חוק-היסוד בדרך הפרשנות</w:t>
      </w:r>
      <w:r w:rsidR="005D41D0">
        <w:rPr>
          <w:rFonts w:hint="cs"/>
          <w:rtl/>
        </w:rPr>
        <w:t>, בין היתר,</w:t>
      </w:r>
      <w:r>
        <w:rPr>
          <w:rFonts w:hint="cs"/>
          <w:rtl/>
        </w:rPr>
        <w:t xml:space="preserve"> כיוון</w:t>
      </w:r>
      <w:r w:rsidR="005D41D0">
        <w:rPr>
          <w:rFonts w:hint="cs"/>
          <w:rtl/>
        </w:rPr>
        <w:t xml:space="preserve"> שזה בא בסתירה לכוונת המחוקק</w:t>
      </w:r>
      <w:r w:rsidR="001F2F57">
        <w:rPr>
          <w:rFonts w:hint="cs"/>
          <w:rtl/>
        </w:rPr>
        <w:t xml:space="preserve"> שבחר לא לציין את זכות זו במפורש</w:t>
      </w:r>
      <w:r w:rsidR="005D41D0">
        <w:rPr>
          <w:rStyle w:val="a6"/>
          <w:rtl/>
        </w:rPr>
        <w:footnoteReference w:id="7"/>
      </w:r>
      <w:r w:rsidR="005D41D0">
        <w:rPr>
          <w:rFonts w:hint="cs"/>
          <w:rtl/>
        </w:rPr>
        <w:t>.</w:t>
      </w:r>
      <w:r w:rsidR="00E4276D">
        <w:rPr>
          <w:rFonts w:hint="cs"/>
          <w:rtl/>
        </w:rPr>
        <w:t>לטענתם,</w:t>
      </w:r>
      <w:r w:rsidR="008C44A4">
        <w:rPr>
          <w:rFonts w:hint="cs"/>
          <w:rtl/>
        </w:rPr>
        <w:t>לא כל פגיעה בחופש-הביטוי יש בה משום השפלה וככזאת אין לראותה כפוגעת בחוק-היסוד</w:t>
      </w:r>
      <w:r w:rsidR="008C44A4">
        <w:rPr>
          <w:rStyle w:val="a6"/>
          <w:rtl/>
        </w:rPr>
        <w:footnoteReference w:id="8"/>
      </w:r>
      <w:r w:rsidR="008C44A4">
        <w:rPr>
          <w:rFonts w:hint="cs"/>
          <w:rtl/>
        </w:rPr>
        <w:t>.</w:t>
      </w:r>
    </w:p>
    <w:p w:rsidR="005D41D0" w:rsidRDefault="005D41D0" w:rsidP="00AD0DC0">
      <w:pPr>
        <w:jc w:val="both"/>
        <w:rPr>
          <w:rtl/>
        </w:rPr>
      </w:pPr>
    </w:p>
    <w:p w:rsidR="005D41D0" w:rsidRPr="005D41D0" w:rsidRDefault="005D41D0" w:rsidP="00E4276D">
      <w:pPr>
        <w:jc w:val="both"/>
        <w:rPr>
          <w:u w:val="single"/>
          <w:rtl/>
        </w:rPr>
      </w:pPr>
      <w:r w:rsidRPr="005D41D0">
        <w:rPr>
          <w:rFonts w:hint="cs"/>
          <w:u w:val="single"/>
          <w:rtl/>
        </w:rPr>
        <w:t>מעמד האוניברסיטה</w:t>
      </w:r>
      <w:r>
        <w:rPr>
          <w:rFonts w:hint="cs"/>
          <w:u w:val="single"/>
          <w:rtl/>
        </w:rPr>
        <w:t xml:space="preserve"> ומחויבותה לחופש</w:t>
      </w:r>
      <w:r w:rsidR="00E4276D">
        <w:rPr>
          <w:rFonts w:hint="cs"/>
          <w:u w:val="single"/>
          <w:rtl/>
        </w:rPr>
        <w:t>-</w:t>
      </w:r>
      <w:r>
        <w:rPr>
          <w:rFonts w:hint="cs"/>
          <w:u w:val="single"/>
          <w:rtl/>
        </w:rPr>
        <w:t>הביטוי</w:t>
      </w:r>
      <w:r w:rsidRPr="005D41D0">
        <w:rPr>
          <w:rFonts w:hint="cs"/>
          <w:u w:val="single"/>
          <w:rtl/>
        </w:rPr>
        <w:t>:</w:t>
      </w:r>
    </w:p>
    <w:p w:rsidR="005D41D0" w:rsidRDefault="00DF34F9" w:rsidP="00E4276D">
      <w:pPr>
        <w:jc w:val="both"/>
        <w:rPr>
          <w:rtl/>
        </w:rPr>
      </w:pPr>
      <w:r>
        <w:rPr>
          <w:rFonts w:hint="cs"/>
          <w:rtl/>
        </w:rPr>
        <w:t>שנהב יאמר ש</w:t>
      </w:r>
      <w:r w:rsidR="005E4351">
        <w:rPr>
          <w:rFonts w:hint="cs"/>
          <w:rtl/>
        </w:rPr>
        <w:t>כיום האוני</w:t>
      </w:r>
      <w:r w:rsidR="001C20A8">
        <w:rPr>
          <w:rFonts w:hint="cs"/>
          <w:rtl/>
        </w:rPr>
        <w:t>ברסיטות בישראל הן גופים דו-מהותיים</w:t>
      </w:r>
      <w:r w:rsidR="005E4351">
        <w:rPr>
          <w:rFonts w:hint="cs"/>
          <w:rtl/>
        </w:rPr>
        <w:t xml:space="preserve"> אשר חלים עליהן גם עקרונות המשפט-הציבורי. מעבר לחשיבותו של </w:t>
      </w:r>
      <w:proofErr w:type="spellStart"/>
      <w:r w:rsidR="005E4351">
        <w:rPr>
          <w:rFonts w:hint="cs"/>
          <w:rtl/>
        </w:rPr>
        <w:t>העקרון</w:t>
      </w:r>
      <w:proofErr w:type="spellEnd"/>
      <w:r w:rsidR="005E4351">
        <w:rPr>
          <w:rFonts w:hint="cs"/>
          <w:rtl/>
        </w:rPr>
        <w:t xml:space="preserve"> בדבר החופש-האקדמי (בו נדון בהמשך)אין דין האוניברסיטה כדין גוף פרטי וגם אם היה כזה הרי שאושיות המשפט-הציבורי חלים גם עליו</w:t>
      </w:r>
      <w:r w:rsidR="005E4351">
        <w:rPr>
          <w:rStyle w:val="a6"/>
          <w:rtl/>
        </w:rPr>
        <w:footnoteReference w:id="9"/>
      </w:r>
      <w:r>
        <w:rPr>
          <w:rFonts w:hint="cs"/>
          <w:rtl/>
        </w:rPr>
        <w:t xml:space="preserve">. </w:t>
      </w:r>
      <w:r w:rsidR="004B1782">
        <w:rPr>
          <w:rFonts w:hint="cs"/>
          <w:rtl/>
        </w:rPr>
        <w:t>מנגד, תבקש האוניברסיטה מבית-המשפט ליתן חשיבות יתרה להיותה</w:t>
      </w:r>
      <w:r w:rsidR="004B1782" w:rsidRPr="004B1782">
        <w:rPr>
          <w:rFonts w:hint="cs"/>
          <w:rtl/>
        </w:rPr>
        <w:t xml:space="preserve"> גוף-ציבורי </w:t>
      </w:r>
      <w:proofErr w:type="spellStart"/>
      <w:r w:rsidR="004B1782" w:rsidRPr="004B1782">
        <w:rPr>
          <w:rFonts w:hint="cs"/>
          <w:rtl/>
        </w:rPr>
        <w:t>ולהמנע</w:t>
      </w:r>
      <w:proofErr w:type="spellEnd"/>
      <w:r w:rsidR="004B1782" w:rsidRPr="004B1782">
        <w:rPr>
          <w:rFonts w:hint="cs"/>
          <w:rtl/>
        </w:rPr>
        <w:t xml:space="preserve"> </w:t>
      </w:r>
      <w:proofErr w:type="spellStart"/>
      <w:r w:rsidR="004B1782" w:rsidRPr="004B1782">
        <w:rPr>
          <w:rFonts w:hint="cs"/>
          <w:rtl/>
        </w:rPr>
        <w:t>מלהכנס</w:t>
      </w:r>
      <w:proofErr w:type="spellEnd"/>
      <w:r w:rsidR="004B1782" w:rsidRPr="004B1782">
        <w:rPr>
          <w:rFonts w:hint="cs"/>
          <w:rtl/>
        </w:rPr>
        <w:t xml:space="preserve"> </w:t>
      </w:r>
      <w:proofErr w:type="spellStart"/>
      <w:r w:rsidR="004B1782" w:rsidRPr="004B1782">
        <w:rPr>
          <w:rFonts w:hint="cs"/>
          <w:rtl/>
        </w:rPr>
        <w:t>לכסאה</w:t>
      </w:r>
      <w:proofErr w:type="spellEnd"/>
      <w:r w:rsidR="004B1782" w:rsidRPr="00BF1B40">
        <w:rPr>
          <w:rStyle w:val="a6"/>
          <w:rtl/>
        </w:rPr>
        <w:footnoteReference w:id="10"/>
      </w:r>
      <w:r w:rsidR="004B1782">
        <w:rPr>
          <w:rFonts w:hint="cs"/>
          <w:rtl/>
        </w:rPr>
        <w:t>.</w:t>
      </w:r>
      <w:r w:rsidR="004B1782" w:rsidRPr="004B1782">
        <w:rPr>
          <w:rFonts w:hint="cs"/>
          <w:rtl/>
        </w:rPr>
        <w:t xml:space="preserve"> </w:t>
      </w:r>
      <w:r w:rsidR="004B1782">
        <w:rPr>
          <w:rFonts w:hint="cs"/>
          <w:rtl/>
        </w:rPr>
        <w:t>לאור פסיקות קודמות, נראה שעמדת שנהב תתקבל</w:t>
      </w:r>
      <w:r w:rsidR="004B1782" w:rsidRPr="001C20A8">
        <w:rPr>
          <w:rStyle w:val="a6"/>
          <w:rtl/>
        </w:rPr>
        <w:footnoteReference w:id="11"/>
      </w:r>
      <w:r w:rsidR="004B1782">
        <w:rPr>
          <w:rFonts w:hint="cs"/>
          <w:rtl/>
        </w:rPr>
        <w:t>.</w:t>
      </w:r>
    </w:p>
    <w:p w:rsidR="0015503F" w:rsidRPr="00610969" w:rsidRDefault="000F2286" w:rsidP="00BF1B40">
      <w:pPr>
        <w:jc w:val="both"/>
        <w:rPr>
          <w:rtl/>
        </w:rPr>
      </w:pPr>
      <w:r w:rsidRPr="00610969">
        <w:rPr>
          <w:rFonts w:hint="cs"/>
          <w:rtl/>
        </w:rPr>
        <w:t>בנוסף תטען האוניברסיטה כי בדרך ההיקש מסעיף 4 בחוק רשות</w:t>
      </w:r>
      <w:r w:rsidR="00BF1B40">
        <w:rPr>
          <w:rFonts w:hint="cs"/>
          <w:rtl/>
        </w:rPr>
        <w:t>-השידור,</w:t>
      </w:r>
      <w:r w:rsidRPr="00610969">
        <w:rPr>
          <w:rFonts w:hint="cs"/>
          <w:rtl/>
        </w:rPr>
        <w:t>עליה להיות ערבה ל</w:t>
      </w:r>
      <w:r w:rsidR="00E4276D">
        <w:rPr>
          <w:rFonts w:hint="cs"/>
          <w:rtl/>
        </w:rPr>
        <w:t>מהימנות המאמרים המתפרסמים בשמה.</w:t>
      </w:r>
      <w:r w:rsidRPr="00610969">
        <w:rPr>
          <w:rFonts w:hint="cs"/>
          <w:rtl/>
        </w:rPr>
        <w:t>מכיוון ש</w:t>
      </w:r>
      <w:r w:rsidRPr="00610969">
        <w:rPr>
          <w:rtl/>
        </w:rPr>
        <w:t>היסטוריונים בעלי שם הצביעו על ליקויים עובדתיים רבים במאמר</w:t>
      </w:r>
      <w:r w:rsidR="00BF1B40">
        <w:rPr>
          <w:rFonts w:hint="cs"/>
          <w:rtl/>
        </w:rPr>
        <w:t>,</w:t>
      </w:r>
      <w:r w:rsidRPr="00610969">
        <w:rPr>
          <w:rFonts w:hint="cs"/>
          <w:rtl/>
        </w:rPr>
        <w:t>על האוניברסיטה למנוע מלפרסמו.</w:t>
      </w:r>
    </w:p>
    <w:p w:rsidR="000F2286" w:rsidRDefault="000F2286" w:rsidP="00AD0DC0">
      <w:pPr>
        <w:jc w:val="both"/>
        <w:rPr>
          <w:rtl/>
        </w:rPr>
      </w:pPr>
    </w:p>
    <w:p w:rsidR="0015503F" w:rsidRPr="0015503F" w:rsidRDefault="0015503F" w:rsidP="00A264C0">
      <w:pPr>
        <w:jc w:val="both"/>
        <w:rPr>
          <w:u w:val="single"/>
          <w:rtl/>
        </w:rPr>
      </w:pPr>
      <w:r w:rsidRPr="0015503F">
        <w:rPr>
          <w:rFonts w:hint="cs"/>
          <w:u w:val="single"/>
          <w:rtl/>
        </w:rPr>
        <w:t>טרם אגש לבחינת האיזון בין הערכים המתנגשים, אציג את היקף(</w:t>
      </w:r>
      <w:r w:rsidRPr="0015503F">
        <w:rPr>
          <w:u w:val="single"/>
        </w:rPr>
        <w:t xml:space="preserve"> (coverage</w:t>
      </w:r>
      <w:r w:rsidRPr="0015503F">
        <w:rPr>
          <w:rFonts w:hint="cs"/>
          <w:u w:val="single"/>
          <w:rtl/>
        </w:rPr>
        <w:t>הזכות לחופש-הביטוי:</w:t>
      </w:r>
    </w:p>
    <w:p w:rsidR="001365DE" w:rsidRPr="0015503F" w:rsidRDefault="00C14A92" w:rsidP="00AD0DC0">
      <w:pPr>
        <w:pStyle w:val="a7"/>
        <w:numPr>
          <w:ilvl w:val="0"/>
          <w:numId w:val="3"/>
        </w:numPr>
        <w:jc w:val="both"/>
        <w:rPr>
          <w:rtl/>
        </w:rPr>
      </w:pPr>
      <w:r w:rsidRPr="0015503F">
        <w:rPr>
          <w:rFonts w:hint="cs"/>
          <w:rtl/>
        </w:rPr>
        <w:t>האם אמירות ששוללות את מעמדה של מדינת ישראל נכללות במסגרת חופש-הביטוי?</w:t>
      </w:r>
    </w:p>
    <w:p w:rsidR="00A07CD6" w:rsidRDefault="00A07CD6" w:rsidP="00AD0DC0">
      <w:pPr>
        <w:ind w:left="379"/>
        <w:jc w:val="both"/>
        <w:rPr>
          <w:rtl/>
        </w:rPr>
      </w:pPr>
      <w:r>
        <w:rPr>
          <w:rFonts w:hint="cs"/>
          <w:rtl/>
        </w:rPr>
        <w:t>שלילתה של מדינת-ישראל כמדינת העם היהודי נכללה ע"י מספר גופים כאמרה אנטישמית</w:t>
      </w:r>
      <w:r>
        <w:rPr>
          <w:rStyle w:val="a6"/>
          <w:rtl/>
        </w:rPr>
        <w:footnoteReference w:id="12"/>
      </w:r>
      <w:r w:rsidR="000802E9">
        <w:rPr>
          <w:rFonts w:hint="cs"/>
          <w:rtl/>
        </w:rPr>
        <w:t>.</w:t>
      </w:r>
      <w:r>
        <w:rPr>
          <w:rFonts w:hint="cs"/>
          <w:rtl/>
        </w:rPr>
        <w:t>על-אף העובדה שטרם התקבלה פסיקה בעניין זה במשפט הישראלי, כאשר ניגשים אנו למשפט-המשווה אנו נוכחים לדעת כי אמרות מסוג זה מוגדרות כאנטישמיות ואינן נכללות בהיקף</w:t>
      </w:r>
      <w:r w:rsidR="00627DA0">
        <w:rPr>
          <w:rFonts w:hint="cs"/>
          <w:rtl/>
        </w:rPr>
        <w:t xml:space="preserve"> </w:t>
      </w:r>
      <w:r>
        <w:rPr>
          <w:rFonts w:hint="cs"/>
          <w:rtl/>
        </w:rPr>
        <w:t>שמוענק לזכות זו</w:t>
      </w:r>
      <w:r>
        <w:rPr>
          <w:rStyle w:val="a6"/>
          <w:rtl/>
        </w:rPr>
        <w:footnoteReference w:id="13"/>
      </w:r>
      <w:r>
        <w:rPr>
          <w:rFonts w:hint="cs"/>
          <w:rtl/>
        </w:rPr>
        <w:t xml:space="preserve">. </w:t>
      </w:r>
    </w:p>
    <w:p w:rsidR="00DF34F9" w:rsidRDefault="00A07CD6" w:rsidP="00AD0DC0">
      <w:pPr>
        <w:ind w:left="379"/>
        <w:jc w:val="both"/>
        <w:rPr>
          <w:rtl/>
        </w:rPr>
      </w:pPr>
      <w:r>
        <w:rPr>
          <w:rFonts w:hint="cs"/>
          <w:rtl/>
        </w:rPr>
        <w:t xml:space="preserve">תוכל האוניברסיטה לטעון, שאם במדינות אחרות ניתן </w:t>
      </w:r>
      <w:r w:rsidR="000802E9">
        <w:rPr>
          <w:rFonts w:hint="cs"/>
          <w:rtl/>
        </w:rPr>
        <w:t>לביטוים אנטישמים מעמד מיוחד זה,</w:t>
      </w:r>
      <w:r>
        <w:rPr>
          <w:rFonts w:hint="cs"/>
          <w:rtl/>
        </w:rPr>
        <w:t xml:space="preserve">מבחינת קל-וחומר שעל בית-המשפט הישראלי לנהוג כך בעצמו. </w:t>
      </w:r>
    </w:p>
    <w:p w:rsidR="00A07CD6" w:rsidRDefault="00A07CD6" w:rsidP="00AD0DC0">
      <w:pPr>
        <w:ind w:left="379"/>
        <w:jc w:val="both"/>
        <w:rPr>
          <w:rtl/>
        </w:rPr>
      </w:pPr>
      <w:r>
        <w:rPr>
          <w:rFonts w:hint="cs"/>
          <w:rtl/>
        </w:rPr>
        <w:t>יטען שנהב שאין לקבל את עמדת האוניברסיטה להגדרה מרחיבה זו של אנטישמיות שכן בית-המשפט</w:t>
      </w:r>
      <w:r w:rsidR="00851E2D">
        <w:rPr>
          <w:rFonts w:hint="cs"/>
          <w:rtl/>
        </w:rPr>
        <w:t xml:space="preserve"> כלל בזכות זו ואף הגן על </w:t>
      </w:r>
      <w:r>
        <w:rPr>
          <w:rFonts w:hint="cs"/>
          <w:rtl/>
        </w:rPr>
        <w:t xml:space="preserve">סוגים דומים של אמרות </w:t>
      </w:r>
      <w:r w:rsidR="0015503F">
        <w:rPr>
          <w:rFonts w:hint="cs"/>
          <w:rtl/>
        </w:rPr>
        <w:t>כנגד המדינה</w:t>
      </w:r>
      <w:r w:rsidR="0015503F">
        <w:rPr>
          <w:rStyle w:val="a6"/>
          <w:rtl/>
        </w:rPr>
        <w:footnoteReference w:id="14"/>
      </w:r>
      <w:r w:rsidR="00851E2D">
        <w:rPr>
          <w:rFonts w:hint="cs"/>
          <w:rtl/>
        </w:rPr>
        <w:t xml:space="preserve"> ואף על אמירות גזעניות</w:t>
      </w:r>
      <w:r w:rsidR="00851E2D">
        <w:rPr>
          <w:rStyle w:val="a6"/>
          <w:rtl/>
        </w:rPr>
        <w:footnoteReference w:id="15"/>
      </w:r>
      <w:r w:rsidR="0015503F">
        <w:rPr>
          <w:rFonts w:hint="cs"/>
          <w:rtl/>
        </w:rPr>
        <w:t>.</w:t>
      </w:r>
    </w:p>
    <w:p w:rsidR="0015503F" w:rsidRDefault="0015503F" w:rsidP="00F10A11">
      <w:pPr>
        <w:pStyle w:val="a7"/>
        <w:numPr>
          <w:ilvl w:val="0"/>
          <w:numId w:val="3"/>
        </w:numPr>
        <w:jc w:val="both"/>
      </w:pPr>
      <w:r w:rsidRPr="00851E2D">
        <w:rPr>
          <w:rFonts w:hint="cs"/>
          <w:rtl/>
        </w:rPr>
        <w:lastRenderedPageBreak/>
        <w:t>האם אמירות שקריות</w:t>
      </w:r>
      <w:r w:rsidR="00F10A11">
        <w:rPr>
          <w:rFonts w:hint="cs"/>
          <w:rtl/>
        </w:rPr>
        <w:t xml:space="preserve">(לכאורה) ולשון-הרע </w:t>
      </w:r>
      <w:r w:rsidR="00851E2D" w:rsidRPr="00851E2D">
        <w:rPr>
          <w:rFonts w:hint="cs"/>
          <w:rtl/>
        </w:rPr>
        <w:t>נכללות בחופש-הביטוי?</w:t>
      </w:r>
      <w:r w:rsidRPr="00851E2D">
        <w:rPr>
          <w:rFonts w:hint="cs"/>
          <w:rtl/>
        </w:rPr>
        <w:t xml:space="preserve"> </w:t>
      </w:r>
    </w:p>
    <w:p w:rsidR="00851E2D" w:rsidRDefault="00851E2D" w:rsidP="00AD0DC0">
      <w:pPr>
        <w:pStyle w:val="a7"/>
        <w:ind w:left="360"/>
        <w:jc w:val="both"/>
        <w:rPr>
          <w:rtl/>
        </w:rPr>
      </w:pPr>
      <w:r>
        <w:rPr>
          <w:rFonts w:hint="cs"/>
          <w:rtl/>
        </w:rPr>
        <w:t>יטען שנהב,</w:t>
      </w:r>
      <w:r w:rsidR="009E15EA">
        <w:rPr>
          <w:rFonts w:hint="cs"/>
          <w:rtl/>
        </w:rPr>
        <w:t xml:space="preserve"> שבהיותו גורם מקצועי, דבריו-אמת, </w:t>
      </w:r>
      <w:r>
        <w:rPr>
          <w:rFonts w:hint="cs"/>
          <w:rtl/>
        </w:rPr>
        <w:t>הם</w:t>
      </w:r>
      <w:r w:rsidR="009E15EA">
        <w:rPr>
          <w:rFonts w:hint="cs"/>
          <w:rtl/>
        </w:rPr>
        <w:t xml:space="preserve"> נאמרים בתום-לב</w:t>
      </w:r>
      <w:r>
        <w:rPr>
          <w:rFonts w:hint="cs"/>
          <w:rtl/>
        </w:rPr>
        <w:t xml:space="preserve"> </w:t>
      </w:r>
      <w:r w:rsidR="009E15EA">
        <w:rPr>
          <w:rFonts w:hint="cs"/>
          <w:rtl/>
        </w:rPr>
        <w:t xml:space="preserve">ואם </w:t>
      </w:r>
      <w:proofErr w:type="spellStart"/>
      <w:r w:rsidR="009E15EA">
        <w:rPr>
          <w:rFonts w:hint="cs"/>
          <w:rtl/>
        </w:rPr>
        <w:t>ידרש</w:t>
      </w:r>
      <w:proofErr w:type="spellEnd"/>
      <w:r w:rsidR="009E15EA">
        <w:rPr>
          <w:rFonts w:hint="cs"/>
          <w:rtl/>
        </w:rPr>
        <w:t>-</w:t>
      </w:r>
      <w:r>
        <w:rPr>
          <w:rFonts w:hint="cs"/>
          <w:rtl/>
        </w:rPr>
        <w:t xml:space="preserve">יוכל להוכיח זאת. לדידו, עפ"י קביעת ביהמ"ש </w:t>
      </w:r>
      <w:r w:rsidR="009E15EA" w:rsidRPr="009E15EA">
        <w:rPr>
          <w:rtl/>
        </w:rPr>
        <w:t>במסגרת חופש הביטוי אין בוחנים אם הביטוי הוא אמת או שקר</w:t>
      </w:r>
      <w:r w:rsidR="00587F19">
        <w:rPr>
          <w:rFonts w:hint="cs"/>
          <w:rtl/>
        </w:rPr>
        <w:t xml:space="preserve"> וצמצום חופש-</w:t>
      </w:r>
      <w:r w:rsidR="009E15EA">
        <w:rPr>
          <w:rFonts w:hint="cs"/>
          <w:rtl/>
        </w:rPr>
        <w:t xml:space="preserve">הביטוי </w:t>
      </w:r>
      <w:r w:rsidR="00587F19">
        <w:rPr>
          <w:rFonts w:hint="cs"/>
          <w:rtl/>
        </w:rPr>
        <w:t>היא מבחינת פתרון קל לבעיות שפתרונן נמצא במקום אחר</w:t>
      </w:r>
      <w:r w:rsidR="00587F19">
        <w:rPr>
          <w:rStyle w:val="a6"/>
          <w:rtl/>
        </w:rPr>
        <w:footnoteReference w:id="16"/>
      </w:r>
      <w:r w:rsidR="006B4B04">
        <w:rPr>
          <w:rFonts w:hint="cs"/>
          <w:rtl/>
        </w:rPr>
        <w:t>. אם אכן יתבר</w:t>
      </w:r>
      <w:r w:rsidR="00587F19">
        <w:rPr>
          <w:rFonts w:hint="cs"/>
          <w:rtl/>
        </w:rPr>
        <w:t xml:space="preserve">רו אמירותיו כשקריות, תוכל האוניברסיטה לתבוע את תרופתה בשלב מאוחר יותר. </w:t>
      </w:r>
    </w:p>
    <w:p w:rsidR="00587F19" w:rsidRPr="00156300" w:rsidRDefault="00BC00F6" w:rsidP="00AD0DC0">
      <w:pPr>
        <w:pStyle w:val="a7"/>
        <w:ind w:left="360"/>
        <w:jc w:val="both"/>
        <w:rPr>
          <w:rtl/>
        </w:rPr>
      </w:pPr>
      <w:r>
        <w:rPr>
          <w:rFonts w:hint="cs"/>
          <w:rtl/>
        </w:rPr>
        <w:t xml:space="preserve">לאור פסיקות בית-המשפט נראה שאכן ניתן פירוש </w:t>
      </w:r>
      <w:r w:rsidR="00156300">
        <w:rPr>
          <w:rFonts w:hint="cs"/>
          <w:rtl/>
        </w:rPr>
        <w:t>מרחיב זה לחופש-הביטוי, ולכן השלב הבא יהיה בחינת ההגנה(</w:t>
      </w:r>
      <w:r w:rsidR="00156300">
        <w:rPr>
          <w:lang w:val="es-ES"/>
        </w:rPr>
        <w:t>protection</w:t>
      </w:r>
      <w:r w:rsidR="00156300">
        <w:rPr>
          <w:rFonts w:hint="cs"/>
          <w:rtl/>
        </w:rPr>
        <w:t>) כאשר זכות זו מתנגשת עם אחרות.</w:t>
      </w:r>
    </w:p>
    <w:p w:rsidR="00851E2D" w:rsidRDefault="00851E2D" w:rsidP="00AD0DC0">
      <w:pPr>
        <w:pStyle w:val="a7"/>
        <w:ind w:left="360"/>
        <w:jc w:val="both"/>
        <w:rPr>
          <w:rtl/>
        </w:rPr>
      </w:pPr>
    </w:p>
    <w:p w:rsidR="004F7734" w:rsidRPr="00680A28" w:rsidRDefault="00627DA0" w:rsidP="00F10A11">
      <w:pPr>
        <w:jc w:val="both"/>
        <w:rPr>
          <w:rtl/>
        </w:rPr>
      </w:pPr>
      <w:r w:rsidRPr="00680A28">
        <w:rPr>
          <w:rFonts w:hint="cs"/>
          <w:rtl/>
        </w:rPr>
        <w:t>הגישה בישראל היא שהזכות לחופש-הביטוי אינה</w:t>
      </w:r>
      <w:r w:rsidR="00AF4376" w:rsidRPr="00680A28">
        <w:rPr>
          <w:rFonts w:hint="cs"/>
          <w:rtl/>
        </w:rPr>
        <w:t xml:space="preserve"> מוחלטת</w:t>
      </w:r>
      <w:r w:rsidRPr="00680A28">
        <w:rPr>
          <w:rFonts w:hint="cs"/>
          <w:rtl/>
        </w:rPr>
        <w:t xml:space="preserve"> </w:t>
      </w:r>
      <w:r w:rsidR="00AF4376" w:rsidRPr="00680A28">
        <w:rPr>
          <w:rFonts w:hint="cs"/>
          <w:rtl/>
        </w:rPr>
        <w:t>אלא</w:t>
      </w:r>
      <w:r w:rsidRPr="00680A28">
        <w:rPr>
          <w:rFonts w:hint="cs"/>
          <w:rtl/>
        </w:rPr>
        <w:t xml:space="preserve"> יחסית</w:t>
      </w:r>
      <w:r w:rsidRPr="00680A28">
        <w:rPr>
          <w:rStyle w:val="a6"/>
          <w:rtl/>
        </w:rPr>
        <w:footnoteReference w:id="17"/>
      </w:r>
      <w:r w:rsidR="00AF4376" w:rsidRPr="00680A28">
        <w:rPr>
          <w:rFonts w:hint="cs"/>
          <w:rtl/>
        </w:rPr>
        <w:t xml:space="preserve"> וככזו יש לבחון את קיומה לאור המגבלות</w:t>
      </w:r>
      <w:r w:rsidRPr="00680A28">
        <w:rPr>
          <w:rFonts w:hint="cs"/>
          <w:rtl/>
        </w:rPr>
        <w:t>.</w:t>
      </w:r>
      <w:r w:rsidR="00AF4376" w:rsidRPr="00680A28">
        <w:rPr>
          <w:rFonts w:hint="cs"/>
          <w:rtl/>
        </w:rPr>
        <w:t>שנהב יטען שמעבר לקיומה של זכותו הבסיסית לביטוי, זכות זו מקבלת משנה-תוקף לאור החופש-האקדמי שמוענק לו</w:t>
      </w:r>
      <w:r w:rsidR="00760212">
        <w:rPr>
          <w:rFonts w:hint="cs"/>
          <w:rtl/>
        </w:rPr>
        <w:t>,</w:t>
      </w:r>
      <w:r w:rsidR="00AF4376" w:rsidRPr="00680A28">
        <w:rPr>
          <w:rFonts w:hint="cs"/>
          <w:rtl/>
        </w:rPr>
        <w:t>לדידו יש בכך כדי להרחיב את זכותו לחופש-הביטוי.</w:t>
      </w:r>
    </w:p>
    <w:p w:rsidR="004F7734" w:rsidRPr="001F4DD3" w:rsidRDefault="004F7734" w:rsidP="00F10A11">
      <w:pPr>
        <w:jc w:val="both"/>
        <w:rPr>
          <w:rtl/>
        </w:rPr>
      </w:pPr>
      <w:r w:rsidRPr="00680A28">
        <w:rPr>
          <w:rFonts w:hint="cs"/>
          <w:rtl/>
        </w:rPr>
        <w:t xml:space="preserve">חופש זה לטענתו פורש תחת כנפיו </w:t>
      </w:r>
      <w:r w:rsidR="00680A28" w:rsidRPr="00680A28">
        <w:rPr>
          <w:rFonts w:hint="cs"/>
          <w:rtl/>
        </w:rPr>
        <w:t>עקרונות שמצויות באושיות משטרינו כמו מגוון הדעות</w:t>
      </w:r>
      <w:r w:rsidR="00F10A11">
        <w:rPr>
          <w:rFonts w:hint="cs"/>
          <w:rtl/>
        </w:rPr>
        <w:t>,</w:t>
      </w:r>
      <w:r w:rsidR="00680A28" w:rsidRPr="00680A28">
        <w:rPr>
          <w:rFonts w:hint="cs"/>
          <w:rtl/>
        </w:rPr>
        <w:t>מהותה של האוניברסיטה</w:t>
      </w:r>
      <w:r w:rsidR="00760212">
        <w:rPr>
          <w:rFonts w:hint="cs"/>
          <w:rtl/>
        </w:rPr>
        <w:t xml:space="preserve"> מצדיקה מתן משנה-תוקף לחירויות,</w:t>
      </w:r>
      <w:r w:rsidR="00680A28" w:rsidRPr="00680A28">
        <w:rPr>
          <w:rFonts w:hint="cs"/>
          <w:rtl/>
        </w:rPr>
        <w:t xml:space="preserve">כמו גם כישוריו </w:t>
      </w:r>
      <w:r w:rsidR="00680A28" w:rsidRPr="001F4DD3">
        <w:rPr>
          <w:rFonts w:hint="cs"/>
          <w:rtl/>
        </w:rPr>
        <w:t>האישיים כאיש-אקדמיה יש בהם כדי להרחיב זכות זו</w:t>
      </w:r>
      <w:r w:rsidR="00680A28" w:rsidRPr="001F4DD3">
        <w:rPr>
          <w:rStyle w:val="a6"/>
          <w:rtl/>
        </w:rPr>
        <w:footnoteReference w:id="18"/>
      </w:r>
      <w:r w:rsidR="00680A28" w:rsidRPr="001F4DD3">
        <w:rPr>
          <w:rFonts w:hint="cs"/>
          <w:rtl/>
        </w:rPr>
        <w:t>.</w:t>
      </w:r>
    </w:p>
    <w:p w:rsidR="00680A28" w:rsidRDefault="00AF4376" w:rsidP="000D6C97">
      <w:pPr>
        <w:jc w:val="both"/>
        <w:rPr>
          <w:rtl/>
        </w:rPr>
      </w:pPr>
      <w:r w:rsidRPr="001F4DD3">
        <w:rPr>
          <w:rFonts w:hint="cs"/>
          <w:rtl/>
        </w:rPr>
        <w:t xml:space="preserve">מנגד תטען האוניברסיטה, שדבריו של שנהב </w:t>
      </w:r>
      <w:r w:rsidR="00D97002" w:rsidRPr="001F4DD3">
        <w:rPr>
          <w:rFonts w:hint="cs"/>
          <w:rtl/>
        </w:rPr>
        <w:t>מסכנים</w:t>
      </w:r>
      <w:r w:rsidRPr="001F4DD3">
        <w:rPr>
          <w:rFonts w:hint="cs"/>
          <w:rtl/>
        </w:rPr>
        <w:t xml:space="preserve"> </w:t>
      </w:r>
      <w:r w:rsidR="00D97002" w:rsidRPr="001F4DD3">
        <w:rPr>
          <w:rFonts w:hint="cs"/>
          <w:rtl/>
        </w:rPr>
        <w:t xml:space="preserve">את </w:t>
      </w:r>
      <w:r w:rsidR="003F2017" w:rsidRPr="001F4DD3">
        <w:rPr>
          <w:rFonts w:hint="cs"/>
          <w:rtl/>
        </w:rPr>
        <w:t>שלום</w:t>
      </w:r>
      <w:r w:rsidR="003F2017">
        <w:rPr>
          <w:rFonts w:hint="cs"/>
          <w:rtl/>
        </w:rPr>
        <w:t xml:space="preserve"> הציבור</w:t>
      </w:r>
      <w:r w:rsidR="00377EF4">
        <w:rPr>
          <w:rFonts w:hint="cs"/>
          <w:rtl/>
        </w:rPr>
        <w:t xml:space="preserve"> ובטחונו</w:t>
      </w:r>
      <w:r w:rsidR="003F2017">
        <w:rPr>
          <w:rFonts w:hint="cs"/>
          <w:rtl/>
        </w:rPr>
        <w:t xml:space="preserve"> בכך ש</w:t>
      </w:r>
      <w:r w:rsidR="00760212">
        <w:rPr>
          <w:rFonts w:hint="cs"/>
          <w:rtl/>
        </w:rPr>
        <w:t>הם מפרים את הסדר הציבורי התקין,</w:t>
      </w:r>
      <w:r w:rsidR="00377EF4">
        <w:rPr>
          <w:rFonts w:hint="cs"/>
          <w:rtl/>
        </w:rPr>
        <w:t>משלהבים, מסיתים ועלולים להוביל לפעילויות אלימות</w:t>
      </w:r>
      <w:r w:rsidR="00232CA0">
        <w:rPr>
          <w:rStyle w:val="a6"/>
          <w:rtl/>
        </w:rPr>
        <w:footnoteReference w:id="19"/>
      </w:r>
      <w:r w:rsidR="00760212">
        <w:rPr>
          <w:rFonts w:hint="cs"/>
          <w:rtl/>
        </w:rPr>
        <w:t>.</w:t>
      </w:r>
      <w:r w:rsidR="00F10A11">
        <w:rPr>
          <w:rFonts w:hint="cs"/>
          <w:rtl/>
        </w:rPr>
        <w:t xml:space="preserve"> בנוסף הם גם פוגעים בשמה הטוב של האוניברסיטה. </w:t>
      </w:r>
      <w:r w:rsidR="00377EF4">
        <w:rPr>
          <w:rFonts w:hint="cs"/>
          <w:rtl/>
        </w:rPr>
        <w:t xml:space="preserve">נראה שבית-המשפט לא </w:t>
      </w:r>
      <w:r w:rsidR="00232CA0">
        <w:rPr>
          <w:rFonts w:hint="cs"/>
          <w:rtl/>
        </w:rPr>
        <w:t>י</w:t>
      </w:r>
      <w:r w:rsidR="00377EF4">
        <w:rPr>
          <w:rFonts w:hint="cs"/>
          <w:rtl/>
        </w:rPr>
        <w:t>יחפז לאמץ את טענתם זו לאור פסיקתו בפרשת קול-העם</w:t>
      </w:r>
      <w:r w:rsidR="00F10A11">
        <w:rPr>
          <w:rFonts w:hint="cs"/>
          <w:rtl/>
        </w:rPr>
        <w:t xml:space="preserve"> ואבנרי</w:t>
      </w:r>
      <w:r w:rsidR="00377EF4">
        <w:rPr>
          <w:rFonts w:hint="cs"/>
          <w:rtl/>
        </w:rPr>
        <w:t xml:space="preserve">. </w:t>
      </w:r>
      <w:r w:rsidR="00232CA0">
        <w:rPr>
          <w:rFonts w:hint="cs"/>
          <w:rtl/>
        </w:rPr>
        <w:t>טענה חלופית תהיה שדבריו פוגעים ברגשות הציבור</w:t>
      </w:r>
      <w:r w:rsidR="000157D9">
        <w:rPr>
          <w:rFonts w:hint="cs"/>
          <w:rtl/>
        </w:rPr>
        <w:t xml:space="preserve"> ובטעם הטוב </w:t>
      </w:r>
      <w:r w:rsidR="00232CA0">
        <w:rPr>
          <w:rFonts w:hint="cs"/>
          <w:rtl/>
        </w:rPr>
        <w:t xml:space="preserve"> היות ו</w:t>
      </w:r>
      <w:r w:rsidR="000157D9">
        <w:rPr>
          <w:rFonts w:hint="cs"/>
          <w:rtl/>
        </w:rPr>
        <w:t>אינו משקף את הקונצנזוס המקובל בחברתנו</w:t>
      </w:r>
      <w:r w:rsidR="000157D9">
        <w:rPr>
          <w:rStyle w:val="a6"/>
          <w:rtl/>
        </w:rPr>
        <w:footnoteReference w:id="20"/>
      </w:r>
      <w:r w:rsidR="000D6C97">
        <w:rPr>
          <w:rFonts w:hint="cs"/>
          <w:rtl/>
        </w:rPr>
        <w:t>.</w:t>
      </w:r>
    </w:p>
    <w:p w:rsidR="00680A28" w:rsidRDefault="00680A28" w:rsidP="00B16F19">
      <w:pPr>
        <w:jc w:val="both"/>
        <w:rPr>
          <w:rtl/>
        </w:rPr>
      </w:pPr>
    </w:p>
    <w:p w:rsidR="00680A28" w:rsidRDefault="00AD0DC0" w:rsidP="00923CD3">
      <w:pPr>
        <w:jc w:val="both"/>
        <w:rPr>
          <w:rtl/>
        </w:rPr>
      </w:pPr>
      <w:r>
        <w:rPr>
          <w:rFonts w:hint="cs"/>
          <w:rtl/>
        </w:rPr>
        <w:t>אגש לבחון מהו מבחן האיזון הנכון לעניינו.</w:t>
      </w:r>
      <w:r w:rsidR="00923CD3">
        <w:rPr>
          <w:rFonts w:hint="cs"/>
          <w:rtl/>
        </w:rPr>
        <w:t xml:space="preserve"> </w:t>
      </w:r>
    </w:p>
    <w:p w:rsidR="0015503F" w:rsidRDefault="00923CD3" w:rsidP="00923CD3">
      <w:pPr>
        <w:jc w:val="both"/>
        <w:rPr>
          <w:rtl/>
        </w:rPr>
      </w:pPr>
      <w:r>
        <w:rPr>
          <w:rFonts w:hint="cs"/>
          <w:rtl/>
        </w:rPr>
        <w:t>נראה שעל-פי רוב תעדיף הפסיקה להתבסס על הקריטריונים הבאים</w:t>
      </w:r>
      <w:r>
        <w:rPr>
          <w:rStyle w:val="a6"/>
          <w:rtl/>
        </w:rPr>
        <w:footnoteReference w:id="21"/>
      </w:r>
      <w:r>
        <w:rPr>
          <w:rFonts w:hint="cs"/>
          <w:rtl/>
        </w:rPr>
        <w:t>:</w:t>
      </w:r>
    </w:p>
    <w:p w:rsidR="00923CD3" w:rsidRDefault="00923CD3" w:rsidP="00923CD3">
      <w:pPr>
        <w:pStyle w:val="a7"/>
        <w:numPr>
          <w:ilvl w:val="0"/>
          <w:numId w:val="4"/>
        </w:numPr>
        <w:jc w:val="both"/>
      </w:pPr>
      <w:r>
        <w:rPr>
          <w:rFonts w:hint="cs"/>
          <w:rtl/>
        </w:rPr>
        <w:t>הסמכה מפורשת מהמחוקק.</w:t>
      </w:r>
    </w:p>
    <w:p w:rsidR="00923CD3" w:rsidRDefault="00923CD3" w:rsidP="00152353">
      <w:pPr>
        <w:pStyle w:val="a7"/>
        <w:numPr>
          <w:ilvl w:val="0"/>
          <w:numId w:val="4"/>
        </w:numPr>
        <w:jc w:val="both"/>
      </w:pPr>
      <w:r>
        <w:rPr>
          <w:rFonts w:hint="cs"/>
          <w:rtl/>
        </w:rPr>
        <w:t>הסתברות לפגיעה בוודאות קרובה</w:t>
      </w:r>
      <w:r w:rsidR="0081505C">
        <w:rPr>
          <w:rFonts w:hint="cs"/>
          <w:rtl/>
        </w:rPr>
        <w:t xml:space="preserve"> או סבירה</w:t>
      </w:r>
      <w:r w:rsidR="00753E6E">
        <w:rPr>
          <w:rFonts w:hint="cs"/>
          <w:rtl/>
        </w:rPr>
        <w:t>(תלוי בנסיבות)</w:t>
      </w:r>
      <w:r>
        <w:rPr>
          <w:rFonts w:hint="cs"/>
          <w:rtl/>
        </w:rPr>
        <w:t xml:space="preserve">. </w:t>
      </w:r>
    </w:p>
    <w:p w:rsidR="00923CD3" w:rsidRDefault="00923CD3" w:rsidP="00923CD3">
      <w:pPr>
        <w:pStyle w:val="a7"/>
        <w:numPr>
          <w:ilvl w:val="0"/>
          <w:numId w:val="4"/>
        </w:numPr>
        <w:jc w:val="both"/>
      </w:pPr>
      <w:r>
        <w:rPr>
          <w:rFonts w:hint="cs"/>
          <w:rtl/>
        </w:rPr>
        <w:t>פגיעה קשה וממשית.</w:t>
      </w:r>
    </w:p>
    <w:p w:rsidR="00923CD3" w:rsidRPr="00BF1B40" w:rsidRDefault="00923CD3" w:rsidP="00C96644">
      <w:pPr>
        <w:jc w:val="both"/>
        <w:rPr>
          <w:rtl/>
        </w:rPr>
      </w:pPr>
      <w:r>
        <w:rPr>
          <w:rFonts w:hint="cs"/>
          <w:rtl/>
        </w:rPr>
        <w:t xml:space="preserve">אך אפשר שיעדיפו לגשת </w:t>
      </w:r>
      <w:r w:rsidRPr="00BF1B40">
        <w:rPr>
          <w:rFonts w:hint="cs"/>
          <w:rtl/>
        </w:rPr>
        <w:t xml:space="preserve">לקריטריונים </w:t>
      </w:r>
      <w:r w:rsidR="00C96644" w:rsidRPr="00BF1B40">
        <w:rPr>
          <w:rFonts w:hint="cs"/>
          <w:rtl/>
        </w:rPr>
        <w:t>הנגזרים מפסקת-ההגבלה בחוק-היסוד</w:t>
      </w:r>
      <w:r w:rsidR="00753E6E" w:rsidRPr="00BF1B40">
        <w:rPr>
          <w:rFonts w:hint="cs"/>
          <w:rtl/>
        </w:rPr>
        <w:t xml:space="preserve">(מבחן זה בא לידי ביטוי בפסיקה המאוחרת מבין אלו </w:t>
      </w:r>
      <w:proofErr w:type="spellStart"/>
      <w:r w:rsidR="00753E6E" w:rsidRPr="00BF1B40">
        <w:rPr>
          <w:rFonts w:hint="cs"/>
          <w:rtl/>
        </w:rPr>
        <w:t>המצויינים</w:t>
      </w:r>
      <w:proofErr w:type="spellEnd"/>
      <w:r w:rsidR="00753E6E" w:rsidRPr="00BF1B40">
        <w:rPr>
          <w:rFonts w:hint="cs"/>
          <w:rtl/>
        </w:rPr>
        <w:t xml:space="preserve"> מעלה)</w:t>
      </w:r>
      <w:r w:rsidRPr="00BF1B40">
        <w:rPr>
          <w:rFonts w:hint="cs"/>
          <w:rtl/>
        </w:rPr>
        <w:t>:</w:t>
      </w:r>
    </w:p>
    <w:p w:rsidR="00923CD3" w:rsidRPr="00BF1B40" w:rsidRDefault="00923CD3" w:rsidP="00923CD3">
      <w:pPr>
        <w:pStyle w:val="a7"/>
        <w:numPr>
          <w:ilvl w:val="0"/>
          <w:numId w:val="5"/>
        </w:numPr>
        <w:jc w:val="both"/>
      </w:pPr>
      <w:r w:rsidRPr="00BF1B40">
        <w:rPr>
          <w:rFonts w:hint="cs"/>
          <w:rtl/>
        </w:rPr>
        <w:t>תכלית ראויה.</w:t>
      </w:r>
    </w:p>
    <w:p w:rsidR="00923CD3" w:rsidRPr="00BF1B40" w:rsidRDefault="00923CD3" w:rsidP="00923CD3">
      <w:pPr>
        <w:pStyle w:val="a7"/>
        <w:numPr>
          <w:ilvl w:val="0"/>
          <w:numId w:val="5"/>
        </w:numPr>
        <w:jc w:val="both"/>
        <w:rPr>
          <w:rtl/>
        </w:rPr>
      </w:pPr>
      <w:r w:rsidRPr="00BF1B40">
        <w:rPr>
          <w:rFonts w:hint="cs"/>
          <w:rtl/>
        </w:rPr>
        <w:t>במידה שאינה עולה על הנדרש</w:t>
      </w:r>
      <w:r w:rsidRPr="00BF1B40">
        <w:rPr>
          <w:rStyle w:val="a6"/>
          <w:rtl/>
        </w:rPr>
        <w:footnoteReference w:id="22"/>
      </w:r>
      <w:r w:rsidRPr="00BF1B40">
        <w:rPr>
          <w:rFonts w:hint="cs"/>
          <w:rtl/>
        </w:rPr>
        <w:t>.</w:t>
      </w:r>
    </w:p>
    <w:p w:rsidR="00B16F19" w:rsidRDefault="008542E9" w:rsidP="000E3E5E">
      <w:pPr>
        <w:jc w:val="both"/>
        <w:rPr>
          <w:rtl/>
        </w:rPr>
      </w:pPr>
      <w:r w:rsidRPr="00BF1B40">
        <w:rPr>
          <w:rFonts w:hint="cs"/>
          <w:rtl/>
        </w:rPr>
        <w:t>לאור התפתחות הפסיקה והספרות</w:t>
      </w:r>
      <w:r w:rsidRPr="00BF1B40">
        <w:rPr>
          <w:rStyle w:val="a6"/>
          <w:rtl/>
        </w:rPr>
        <w:footnoteReference w:id="23"/>
      </w:r>
      <w:r w:rsidRPr="00BF1B40">
        <w:rPr>
          <w:rFonts w:hint="cs"/>
          <w:rtl/>
        </w:rPr>
        <w:t>-</w:t>
      </w:r>
      <w:r w:rsidR="00F1778F" w:rsidRPr="00BF1B40">
        <w:rPr>
          <w:rFonts w:hint="cs"/>
          <w:rtl/>
        </w:rPr>
        <w:t>בהתנגשות</w:t>
      </w:r>
      <w:r w:rsidR="00760212">
        <w:rPr>
          <w:rFonts w:hint="cs"/>
          <w:rtl/>
        </w:rPr>
        <w:t xml:space="preserve"> בין זכות(גם שאינה מנויה)</w:t>
      </w:r>
      <w:r w:rsidR="00F1778F">
        <w:rPr>
          <w:rFonts w:hint="cs"/>
          <w:rtl/>
        </w:rPr>
        <w:t>לאינטרס ישנה עדיפות להגעה לפשרה</w:t>
      </w:r>
      <w:r w:rsidR="00A264C0">
        <w:rPr>
          <w:rFonts w:hint="cs"/>
          <w:rtl/>
        </w:rPr>
        <w:t xml:space="preserve"> (איזון-אופקי)</w:t>
      </w:r>
      <w:r w:rsidR="00F1778F">
        <w:rPr>
          <w:rFonts w:hint="cs"/>
          <w:rtl/>
        </w:rPr>
        <w:t>ע"ב מבחן-המשנה השני</w:t>
      </w:r>
      <w:r w:rsidR="00F1778F">
        <w:rPr>
          <w:rStyle w:val="a6"/>
          <w:rtl/>
        </w:rPr>
        <w:footnoteReference w:id="24"/>
      </w:r>
      <w:r w:rsidR="00F1778F">
        <w:rPr>
          <w:rFonts w:hint="cs"/>
          <w:rtl/>
        </w:rPr>
        <w:t xml:space="preserve"> וכאשר נדרשת </w:t>
      </w:r>
      <w:r w:rsidR="00F1778F" w:rsidRPr="001F4DD3">
        <w:rPr>
          <w:rFonts w:hint="cs"/>
          <w:rtl/>
        </w:rPr>
        <w:t>הכרעה</w:t>
      </w:r>
      <w:r w:rsidR="00A264C0">
        <w:rPr>
          <w:rFonts w:hint="cs"/>
          <w:rtl/>
        </w:rPr>
        <w:t>(איזון-אנכי)</w:t>
      </w:r>
      <w:r w:rsidR="00F1778F" w:rsidRPr="001F4DD3">
        <w:rPr>
          <w:rFonts w:hint="cs"/>
          <w:rtl/>
        </w:rPr>
        <w:t>ניתן לבצעה ע"ב מבחן-המשנה השלישי כאשר קיימת הסתברות בוודאות קרובה לפגיעה קשה באינטרס.</w:t>
      </w:r>
    </w:p>
    <w:p w:rsidR="00490225" w:rsidRDefault="00490225" w:rsidP="00AD0DC0">
      <w:pPr>
        <w:jc w:val="both"/>
        <w:rPr>
          <w:rtl/>
        </w:rPr>
      </w:pPr>
    </w:p>
    <w:p w:rsidR="009852DD" w:rsidRDefault="00490225" w:rsidP="009852DD">
      <w:pPr>
        <w:jc w:val="both"/>
        <w:rPr>
          <w:rtl/>
        </w:rPr>
      </w:pPr>
      <w:r>
        <w:rPr>
          <w:rFonts w:hint="cs"/>
          <w:rtl/>
        </w:rPr>
        <w:t xml:space="preserve">האם </w:t>
      </w:r>
      <w:r w:rsidR="00A9484A">
        <w:rPr>
          <w:rFonts w:hint="cs"/>
          <w:rtl/>
        </w:rPr>
        <w:t>שינוי</w:t>
      </w:r>
      <w:r>
        <w:rPr>
          <w:rFonts w:hint="cs"/>
          <w:rtl/>
        </w:rPr>
        <w:t xml:space="preserve"> התקנון הוא </w:t>
      </w:r>
      <w:r w:rsidRPr="00490225">
        <w:rPr>
          <w:rtl/>
        </w:rPr>
        <w:t>לפי חוק כא</w:t>
      </w:r>
      <w:r>
        <w:rPr>
          <w:rtl/>
        </w:rPr>
        <w:t>מור מכוח הסמכה מפורשת בו</w:t>
      </w:r>
      <w:r>
        <w:rPr>
          <w:rFonts w:hint="cs"/>
          <w:rtl/>
        </w:rPr>
        <w:t>?</w:t>
      </w:r>
      <w:r w:rsidR="009852DD">
        <w:rPr>
          <w:rFonts w:hint="cs"/>
          <w:rtl/>
        </w:rPr>
        <w:t xml:space="preserve"> </w:t>
      </w:r>
    </w:p>
    <w:p w:rsidR="009852DD" w:rsidRDefault="00A9484A" w:rsidP="000E3E5E">
      <w:pPr>
        <w:jc w:val="both"/>
        <w:rPr>
          <w:rtl/>
        </w:rPr>
      </w:pPr>
      <w:proofErr w:type="spellStart"/>
      <w:r>
        <w:rPr>
          <w:rFonts w:hint="cs"/>
          <w:rtl/>
        </w:rPr>
        <w:t>מכח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ס'15</w:t>
      </w:r>
      <w:proofErr w:type="spellEnd"/>
      <w:r>
        <w:rPr>
          <w:rFonts w:hint="cs"/>
          <w:rtl/>
        </w:rPr>
        <w:t xml:space="preserve"> לחוק </w:t>
      </w:r>
      <w:proofErr w:type="spellStart"/>
      <w:r>
        <w:rPr>
          <w:rFonts w:hint="cs"/>
          <w:rtl/>
        </w:rPr>
        <w:t>המל"ג</w:t>
      </w:r>
      <w:proofErr w:type="spellEnd"/>
      <w:r w:rsidRPr="009852DD">
        <w:rPr>
          <w:vertAlign w:val="superscript"/>
          <w:rtl/>
        </w:rPr>
        <w:footnoteReference w:id="25"/>
      </w:r>
      <w:r w:rsidR="009852DD">
        <w:rPr>
          <w:rFonts w:hint="cs"/>
          <w:rtl/>
        </w:rPr>
        <w:t xml:space="preserve"> קיימת סמכ</w:t>
      </w:r>
      <w:r w:rsidR="00BF1B40">
        <w:rPr>
          <w:rFonts w:hint="cs"/>
          <w:rtl/>
        </w:rPr>
        <w:t>ות אוטונומית למוסד-אקדמי לקבוע,בין היתר,</w:t>
      </w:r>
      <w:r w:rsidR="009852DD">
        <w:rPr>
          <w:rFonts w:hint="cs"/>
          <w:rtl/>
        </w:rPr>
        <w:t>את ענייניו המנהליים.</w:t>
      </w:r>
    </w:p>
    <w:p w:rsidR="009852DD" w:rsidRDefault="007E0724" w:rsidP="00E0518F">
      <w:pPr>
        <w:jc w:val="both"/>
        <w:rPr>
          <w:rtl/>
        </w:rPr>
      </w:pPr>
      <w:r>
        <w:rPr>
          <w:rFonts w:hint="cs"/>
          <w:rtl/>
        </w:rPr>
        <w:t>אם כ</w:t>
      </w:r>
      <w:r w:rsidR="00760212">
        <w:rPr>
          <w:rFonts w:hint="cs"/>
          <w:rtl/>
        </w:rPr>
        <w:t>ך הדברים לעניין מאמריו של שנהב,</w:t>
      </w:r>
      <w:r>
        <w:rPr>
          <w:rFonts w:hint="cs"/>
          <w:rtl/>
        </w:rPr>
        <w:t xml:space="preserve">מה </w:t>
      </w:r>
      <w:r w:rsidR="00E0518F">
        <w:rPr>
          <w:rFonts w:hint="cs"/>
          <w:rtl/>
        </w:rPr>
        <w:t>סמכותה של האוניברסיטה לגבי דבריו</w:t>
      </w:r>
      <w:r>
        <w:rPr>
          <w:rFonts w:hint="cs"/>
          <w:rtl/>
        </w:rPr>
        <w:t xml:space="preserve"> שנאמרים על</w:t>
      </w:r>
      <w:r w:rsidR="00E0518F">
        <w:rPr>
          <w:rFonts w:hint="cs"/>
          <w:rtl/>
        </w:rPr>
        <w:t xml:space="preserve"> </w:t>
      </w:r>
      <w:r>
        <w:rPr>
          <w:rFonts w:hint="cs"/>
          <w:rtl/>
        </w:rPr>
        <w:t>גלי-האתר בתכניתו?</w:t>
      </w:r>
      <w:r w:rsidR="00BF1B40">
        <w:rPr>
          <w:rFonts w:hint="cs"/>
          <w:rtl/>
        </w:rPr>
        <w:t>לדידו,</w:t>
      </w:r>
      <w:r w:rsidR="00E0518F">
        <w:rPr>
          <w:rFonts w:hint="cs"/>
          <w:rtl/>
        </w:rPr>
        <w:t>על-אף שלא נקבעו מסמרות בדבר בפסיקה</w:t>
      </w:r>
      <w:r w:rsidR="00E0518F">
        <w:rPr>
          <w:rStyle w:val="a6"/>
          <w:rtl/>
        </w:rPr>
        <w:footnoteReference w:id="26"/>
      </w:r>
      <w:r w:rsidR="00E0518F">
        <w:rPr>
          <w:rFonts w:hint="cs"/>
          <w:rtl/>
        </w:rPr>
        <w:t>אין כל סמכות לאוניברסיטה לבקר על מעשיו אלה.</w:t>
      </w:r>
    </w:p>
    <w:p w:rsidR="001F4DD3" w:rsidRDefault="001F4DD3" w:rsidP="001F4DD3">
      <w:pPr>
        <w:jc w:val="both"/>
        <w:rPr>
          <w:rtl/>
        </w:rPr>
      </w:pPr>
    </w:p>
    <w:p w:rsidR="000802E9" w:rsidRDefault="000802E9">
      <w:pPr>
        <w:bidi w:val="0"/>
      </w:pPr>
      <w:r>
        <w:rPr>
          <w:rtl/>
        </w:rPr>
        <w:br w:type="page"/>
      </w:r>
    </w:p>
    <w:p w:rsidR="004B1782" w:rsidRDefault="004B1782" w:rsidP="005906C7">
      <w:pPr>
        <w:jc w:val="both"/>
        <w:rPr>
          <w:rtl/>
        </w:rPr>
      </w:pPr>
    </w:p>
    <w:p w:rsidR="005906C7" w:rsidRDefault="004F7734" w:rsidP="005906C7">
      <w:pPr>
        <w:jc w:val="both"/>
        <w:rPr>
          <w:rtl/>
        </w:rPr>
      </w:pPr>
      <w:r w:rsidRPr="000802E9">
        <w:rPr>
          <w:rFonts w:hint="cs"/>
          <w:rtl/>
        </w:rPr>
        <w:t>האם השינוי הוא לתכלית ראויה?</w:t>
      </w:r>
    </w:p>
    <w:p w:rsidR="004F7734" w:rsidRDefault="004F7734" w:rsidP="00E4276D">
      <w:pPr>
        <w:jc w:val="both"/>
        <w:rPr>
          <w:rtl/>
        </w:rPr>
      </w:pPr>
      <w:r>
        <w:rPr>
          <w:rFonts w:hint="cs"/>
          <w:rtl/>
        </w:rPr>
        <w:t xml:space="preserve">נראה </w:t>
      </w:r>
      <w:r w:rsidR="000D6C97">
        <w:rPr>
          <w:rFonts w:hint="cs"/>
          <w:rtl/>
        </w:rPr>
        <w:t>ש</w:t>
      </w:r>
      <w:r>
        <w:rPr>
          <w:rFonts w:hint="cs"/>
          <w:rtl/>
        </w:rPr>
        <w:t xml:space="preserve">על עניין זה אין </w:t>
      </w:r>
      <w:proofErr w:type="spellStart"/>
      <w:r>
        <w:rPr>
          <w:rFonts w:hint="cs"/>
          <w:rtl/>
        </w:rPr>
        <w:t>ח</w:t>
      </w:r>
      <w:r w:rsidR="00E4276D">
        <w:rPr>
          <w:rFonts w:hint="cs"/>
          <w:rtl/>
        </w:rPr>
        <w:t>ולקין</w:t>
      </w:r>
      <w:proofErr w:type="spellEnd"/>
      <w:r w:rsidR="00E4276D">
        <w:rPr>
          <w:rFonts w:hint="cs"/>
          <w:rtl/>
        </w:rPr>
        <w:t xml:space="preserve"> שכן המטרה בשינוי היא שמה-הטוב </w:t>
      </w:r>
      <w:r>
        <w:rPr>
          <w:rFonts w:hint="cs"/>
          <w:rtl/>
        </w:rPr>
        <w:t xml:space="preserve">של האוניברסיטה ושמירה על בטחון המדינה ורגשות הציבור. </w:t>
      </w:r>
      <w:r w:rsidR="007E0724">
        <w:rPr>
          <w:rFonts w:hint="cs"/>
          <w:rtl/>
        </w:rPr>
        <w:t>עפ"י רובינשטיין-קריאה לחרם אקדמי</w:t>
      </w:r>
      <w:r w:rsidR="006B463A">
        <w:rPr>
          <w:rFonts w:hint="cs"/>
          <w:rtl/>
        </w:rPr>
        <w:t xml:space="preserve"> חותרת תחת החופש-האקדמי עצמו</w:t>
      </w:r>
      <w:r w:rsidR="007E0724">
        <w:rPr>
          <w:rFonts w:hint="cs"/>
          <w:rtl/>
        </w:rPr>
        <w:t>.</w:t>
      </w:r>
    </w:p>
    <w:p w:rsidR="000157D9" w:rsidRDefault="000157D9" w:rsidP="005906C7">
      <w:pPr>
        <w:jc w:val="both"/>
        <w:rPr>
          <w:rtl/>
        </w:rPr>
      </w:pPr>
    </w:p>
    <w:p w:rsidR="004F7734" w:rsidRDefault="004F7734" w:rsidP="000D6C97">
      <w:pPr>
        <w:jc w:val="both"/>
        <w:rPr>
          <w:rtl/>
        </w:rPr>
      </w:pPr>
      <w:r>
        <w:rPr>
          <w:rFonts w:hint="cs"/>
          <w:rtl/>
        </w:rPr>
        <w:t>האם השינוי אינו במידה העולה על הנדרש?</w:t>
      </w:r>
      <w:r w:rsidR="0081505C">
        <w:rPr>
          <w:rStyle w:val="a6"/>
          <w:rtl/>
        </w:rPr>
        <w:footnoteReference w:id="27"/>
      </w:r>
      <w:r>
        <w:rPr>
          <w:rFonts w:hint="cs"/>
          <w:rtl/>
        </w:rPr>
        <w:t xml:space="preserve"> </w:t>
      </w:r>
    </w:p>
    <w:p w:rsidR="009852DD" w:rsidRDefault="004F423E" w:rsidP="00BF1B40">
      <w:pPr>
        <w:pStyle w:val="a7"/>
        <w:numPr>
          <w:ilvl w:val="0"/>
          <w:numId w:val="6"/>
        </w:numPr>
        <w:jc w:val="both"/>
        <w:rPr>
          <w:rtl/>
        </w:rPr>
      </w:pPr>
      <w:r w:rsidRPr="006C3662">
        <w:rPr>
          <w:rFonts w:hint="cs"/>
          <w:u w:val="single"/>
          <w:rtl/>
        </w:rPr>
        <w:t xml:space="preserve">קשר </w:t>
      </w:r>
      <w:proofErr w:type="spellStart"/>
      <w:r w:rsidRPr="006C3662">
        <w:rPr>
          <w:rFonts w:hint="cs"/>
          <w:u w:val="single"/>
          <w:rtl/>
        </w:rPr>
        <w:t>רציונלי</w:t>
      </w:r>
      <w:proofErr w:type="spellEnd"/>
      <w:r w:rsidR="00BF1B40">
        <w:rPr>
          <w:rFonts w:hint="cs"/>
          <w:rtl/>
        </w:rPr>
        <w:t>-</w:t>
      </w:r>
      <w:r>
        <w:rPr>
          <w:rFonts w:hint="cs"/>
          <w:rtl/>
        </w:rPr>
        <w:t xml:space="preserve">הקשר </w:t>
      </w:r>
      <w:r w:rsidR="009F4431">
        <w:rPr>
          <w:rFonts w:hint="cs"/>
          <w:rtl/>
        </w:rPr>
        <w:t>בין ה</w:t>
      </w:r>
      <w:r>
        <w:rPr>
          <w:rFonts w:hint="cs"/>
          <w:rtl/>
        </w:rPr>
        <w:t>גבלת חופש-הביטוי לבין</w:t>
      </w:r>
      <w:r w:rsidR="009F4431">
        <w:rPr>
          <w:rFonts w:hint="cs"/>
          <w:rtl/>
        </w:rPr>
        <w:t xml:space="preserve"> השמירה על</w:t>
      </w:r>
      <w:r>
        <w:rPr>
          <w:rFonts w:hint="cs"/>
          <w:rtl/>
        </w:rPr>
        <w:t xml:space="preserve"> רגשות</w:t>
      </w:r>
      <w:r w:rsidR="009F4431">
        <w:rPr>
          <w:rFonts w:hint="cs"/>
          <w:rtl/>
        </w:rPr>
        <w:t>-</w:t>
      </w:r>
      <w:r>
        <w:rPr>
          <w:rFonts w:hint="cs"/>
          <w:rtl/>
        </w:rPr>
        <w:t xml:space="preserve">הציבור, </w:t>
      </w:r>
      <w:r w:rsidR="009F4431">
        <w:rPr>
          <w:rFonts w:hint="cs"/>
          <w:rtl/>
        </w:rPr>
        <w:t xml:space="preserve">ברור לטענת האוניברסיטה שכן מעתה לא ישמעו שדברים </w:t>
      </w:r>
      <w:r w:rsidR="009F4431" w:rsidRPr="004B1782">
        <w:rPr>
          <w:rFonts w:hint="cs"/>
          <w:rtl/>
        </w:rPr>
        <w:t>הפוגעים</w:t>
      </w:r>
      <w:r w:rsidR="009F4431">
        <w:rPr>
          <w:rFonts w:hint="cs"/>
          <w:rtl/>
        </w:rPr>
        <w:t xml:space="preserve">. </w:t>
      </w:r>
      <w:r>
        <w:rPr>
          <w:rFonts w:hint="cs"/>
          <w:rtl/>
        </w:rPr>
        <w:t>לדעת שנהב, מוטל</w:t>
      </w:r>
      <w:r w:rsidR="009F443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9F4431">
        <w:rPr>
          <w:rFonts w:hint="cs"/>
          <w:rtl/>
        </w:rPr>
        <w:t xml:space="preserve">הנחתם </w:t>
      </w:r>
      <w:r>
        <w:rPr>
          <w:rFonts w:hint="cs"/>
          <w:rtl/>
        </w:rPr>
        <w:t>על יסוד רעוע שכן, לדעת בי</w:t>
      </w:r>
      <w:r w:rsidR="009F4431">
        <w:rPr>
          <w:rFonts w:hint="cs"/>
          <w:rtl/>
        </w:rPr>
        <w:t>ת-המשפט</w:t>
      </w:r>
      <w:r w:rsidR="009F4431">
        <w:rPr>
          <w:rStyle w:val="a6"/>
          <w:rtl/>
        </w:rPr>
        <w:footnoteReference w:id="28"/>
      </w:r>
      <w:r w:rsidR="009F4431">
        <w:rPr>
          <w:rFonts w:hint="cs"/>
          <w:rtl/>
        </w:rPr>
        <w:t xml:space="preserve">דוקטרינות נפסדות (לכאורה בעניינו) רק נעזרות על-ידי דיכוין. </w:t>
      </w:r>
    </w:p>
    <w:p w:rsidR="006C3662" w:rsidRDefault="001E7E3D" w:rsidP="00152353">
      <w:pPr>
        <w:pStyle w:val="a7"/>
        <w:numPr>
          <w:ilvl w:val="0"/>
          <w:numId w:val="6"/>
        </w:numPr>
        <w:jc w:val="both"/>
      </w:pPr>
      <w:r w:rsidRPr="006C3662">
        <w:rPr>
          <w:rFonts w:hint="cs"/>
          <w:u w:val="single"/>
          <w:rtl/>
        </w:rPr>
        <w:t>אמצעי שפגיעתו פחותה</w:t>
      </w:r>
      <w:r w:rsidR="00E4276D">
        <w:rPr>
          <w:rFonts w:hint="cs"/>
          <w:rtl/>
        </w:rPr>
        <w:t xml:space="preserve">(איזון-אופקי) </w:t>
      </w:r>
      <w:r w:rsidR="00BF1B40">
        <w:rPr>
          <w:rFonts w:hint="cs"/>
          <w:rtl/>
        </w:rPr>
        <w:t>-</w:t>
      </w:r>
      <w:r>
        <w:rPr>
          <w:rFonts w:hint="cs"/>
          <w:rtl/>
        </w:rPr>
        <w:t xml:space="preserve">שנהב </w:t>
      </w:r>
      <w:r w:rsidR="00AB49AF">
        <w:rPr>
          <w:rFonts w:hint="cs"/>
          <w:rtl/>
        </w:rPr>
        <w:t>יטען שהאמצעי קיצוני מדי משני טעמים</w:t>
      </w:r>
      <w:r w:rsidR="00152353">
        <w:rPr>
          <w:rFonts w:hint="cs"/>
          <w:rtl/>
        </w:rPr>
        <w:t>:</w:t>
      </w:r>
      <w:r w:rsidR="00AB49AF">
        <w:rPr>
          <w:rFonts w:hint="cs"/>
          <w:rtl/>
        </w:rPr>
        <w:t xml:space="preserve"> הראשון-מדובר באמצעי </w:t>
      </w:r>
      <w:r w:rsidR="00152353">
        <w:rPr>
          <w:rFonts w:hint="cs"/>
          <w:rtl/>
        </w:rPr>
        <w:t>'</w:t>
      </w:r>
      <w:r w:rsidR="00AB49AF" w:rsidRPr="00AB49AF">
        <w:rPr>
          <w:rFonts w:hint="cs"/>
          <w:rtl/>
        </w:rPr>
        <w:t>מונע</w:t>
      </w:r>
      <w:r w:rsidR="00152353">
        <w:rPr>
          <w:rFonts w:hint="cs"/>
          <w:rtl/>
        </w:rPr>
        <w:t>'</w:t>
      </w:r>
      <w:r w:rsidR="00E4276D">
        <w:rPr>
          <w:rFonts w:hint="cs"/>
          <w:rtl/>
        </w:rPr>
        <w:t>. הלכה-למעשה,</w:t>
      </w:r>
      <w:r w:rsidR="00AB49AF">
        <w:rPr>
          <w:rFonts w:hint="cs"/>
          <w:rtl/>
        </w:rPr>
        <w:t>קביעת התקנון מונעת מעתה השמעת מגוון רחב של ד</w:t>
      </w:r>
      <w:r w:rsidR="00E4276D">
        <w:rPr>
          <w:rFonts w:hint="cs"/>
          <w:rtl/>
        </w:rPr>
        <w:t>עות על-ידי הפחדה של העמדה לדין,</w:t>
      </w:r>
      <w:r w:rsidR="00AB49AF">
        <w:rPr>
          <w:rFonts w:hint="cs"/>
          <w:rtl/>
        </w:rPr>
        <w:t>זאת ע</w:t>
      </w:r>
      <w:r w:rsidR="00BF1B40">
        <w:rPr>
          <w:rFonts w:hint="cs"/>
          <w:rtl/>
        </w:rPr>
        <w:t>ל-בסיס הנחה של "</w:t>
      </w:r>
      <w:proofErr w:type="spellStart"/>
      <w:r w:rsidR="00BF1B40">
        <w:rPr>
          <w:rFonts w:hint="cs"/>
          <w:rtl/>
        </w:rPr>
        <w:t>נטיה</w:t>
      </w:r>
      <w:proofErr w:type="spellEnd"/>
      <w:r w:rsidR="00BF1B40">
        <w:rPr>
          <w:rFonts w:hint="cs"/>
          <w:rtl/>
        </w:rPr>
        <w:t xml:space="preserve"> רעה מדומה"-</w:t>
      </w:r>
      <w:r w:rsidR="00B42DC8">
        <w:rPr>
          <w:rFonts w:hint="cs"/>
          <w:rtl/>
        </w:rPr>
        <w:t>אמצעי זה הוא חריף וחמור ביותר</w:t>
      </w:r>
      <w:r w:rsidR="00B42DC8">
        <w:rPr>
          <w:rStyle w:val="a6"/>
          <w:rtl/>
        </w:rPr>
        <w:footnoteReference w:id="29"/>
      </w:r>
      <w:r w:rsidR="00AB49AF">
        <w:rPr>
          <w:rFonts w:hint="cs"/>
          <w:rtl/>
        </w:rPr>
        <w:t>.</w:t>
      </w:r>
      <w:r w:rsidR="00F700D9">
        <w:rPr>
          <w:rFonts w:hint="cs"/>
          <w:rtl/>
        </w:rPr>
        <w:t>דיכוי כנ"ל מטיל אימה ופחד וגורם לצנזורה עצמית</w:t>
      </w:r>
      <w:r w:rsidR="00152353">
        <w:rPr>
          <w:rFonts w:hint="cs"/>
          <w:rtl/>
        </w:rPr>
        <w:t>,</w:t>
      </w:r>
      <w:r w:rsidR="00F700D9">
        <w:rPr>
          <w:rFonts w:hint="cs"/>
          <w:rtl/>
        </w:rPr>
        <w:t xml:space="preserve">תוצאה שלכל הדעות אינה רצויה. </w:t>
      </w:r>
      <w:r w:rsidR="00BF1B40">
        <w:rPr>
          <w:rFonts w:hint="cs"/>
          <w:rtl/>
        </w:rPr>
        <w:t>השני-</w:t>
      </w:r>
      <w:r w:rsidR="00B42DC8">
        <w:rPr>
          <w:rFonts w:hint="cs"/>
          <w:rtl/>
        </w:rPr>
        <w:t>קיימות חלופות רבות</w:t>
      </w:r>
      <w:r w:rsidR="007A2417">
        <w:rPr>
          <w:rFonts w:hint="cs"/>
          <w:rtl/>
        </w:rPr>
        <w:t xml:space="preserve"> ורצויות ע"מ להביא לפשרה</w:t>
      </w:r>
      <w:r w:rsidR="007A2417">
        <w:rPr>
          <w:rStyle w:val="a6"/>
          <w:rtl/>
        </w:rPr>
        <w:footnoteReference w:id="30"/>
      </w:r>
      <w:r w:rsidR="00E4276D">
        <w:rPr>
          <w:rFonts w:hint="cs"/>
          <w:rtl/>
        </w:rPr>
        <w:t xml:space="preserve"> במשטר דמוקרטי כגון:</w:t>
      </w:r>
      <w:r w:rsidR="00152353">
        <w:rPr>
          <w:rFonts w:hint="cs"/>
          <w:rtl/>
        </w:rPr>
        <w:t>הסברות,</w:t>
      </w:r>
      <w:r w:rsidR="00B42DC8">
        <w:rPr>
          <w:rFonts w:hint="cs"/>
          <w:rtl/>
        </w:rPr>
        <w:t>חינוך או לכל היותר נזיפה</w:t>
      </w:r>
      <w:r w:rsidR="00B42DC8">
        <w:rPr>
          <w:rStyle w:val="a6"/>
          <w:rtl/>
        </w:rPr>
        <w:footnoteReference w:id="31"/>
      </w:r>
      <w:r w:rsidR="00B42DC8">
        <w:rPr>
          <w:rFonts w:hint="cs"/>
          <w:rtl/>
        </w:rPr>
        <w:t>.</w:t>
      </w:r>
      <w:r w:rsidR="00F700D9">
        <w:rPr>
          <w:rFonts w:hint="cs"/>
          <w:rtl/>
        </w:rPr>
        <w:t xml:space="preserve"> </w:t>
      </w:r>
    </w:p>
    <w:p w:rsidR="006C3662" w:rsidRDefault="00B42DC8" w:rsidP="006C3662">
      <w:pPr>
        <w:pStyle w:val="a7"/>
        <w:jc w:val="both"/>
        <w:rPr>
          <w:rtl/>
        </w:rPr>
      </w:pPr>
      <w:r>
        <w:rPr>
          <w:rFonts w:hint="cs"/>
          <w:rtl/>
        </w:rPr>
        <w:t>מנגד יטען ש</w:t>
      </w:r>
      <w:r w:rsidR="00A34DD4">
        <w:rPr>
          <w:rFonts w:hint="cs"/>
          <w:rtl/>
        </w:rPr>
        <w:t>החו</w:t>
      </w:r>
      <w:r w:rsidR="00BF1B40">
        <w:rPr>
          <w:rFonts w:hint="cs"/>
          <w:rtl/>
        </w:rPr>
        <w:t>פש-האקדמי נשמר שכן על-אף הנאמר,</w:t>
      </w:r>
      <w:r w:rsidR="00A34DD4">
        <w:rPr>
          <w:rFonts w:hint="cs"/>
          <w:rtl/>
        </w:rPr>
        <w:t>העמדה-לדין מ</w:t>
      </w:r>
      <w:r w:rsidR="00152353">
        <w:rPr>
          <w:rFonts w:hint="cs"/>
          <w:rtl/>
        </w:rPr>
        <w:t>בוצעת לאחר שהדברים נאמרו בפועל.</w:t>
      </w:r>
      <w:r w:rsidR="00964DA7">
        <w:rPr>
          <w:rFonts w:hint="cs"/>
          <w:rtl/>
        </w:rPr>
        <w:t>חומרת הדברים שנאמרים לרבות הקריאה לחרם-אקדמי מצדיקים את שינוי התקנון</w:t>
      </w:r>
      <w:r w:rsidR="00964DA7">
        <w:rPr>
          <w:rStyle w:val="a6"/>
          <w:rtl/>
        </w:rPr>
        <w:footnoteReference w:id="32"/>
      </w:r>
      <w:r w:rsidR="00964DA7">
        <w:rPr>
          <w:rFonts w:hint="cs"/>
          <w:rtl/>
        </w:rPr>
        <w:t>.</w:t>
      </w:r>
      <w:r w:rsidR="006C3662">
        <w:rPr>
          <w:rFonts w:hint="cs"/>
          <w:rtl/>
        </w:rPr>
        <w:t xml:space="preserve"> </w:t>
      </w:r>
    </w:p>
    <w:p w:rsidR="00964DA7" w:rsidRDefault="00964DA7" w:rsidP="000802E9">
      <w:pPr>
        <w:pStyle w:val="a7"/>
        <w:numPr>
          <w:ilvl w:val="0"/>
          <w:numId w:val="6"/>
        </w:numPr>
        <w:jc w:val="both"/>
        <w:rPr>
          <w:u w:val="single"/>
        </w:rPr>
      </w:pPr>
      <w:r w:rsidRPr="00BE08DA">
        <w:rPr>
          <w:rFonts w:hint="cs"/>
          <w:u w:val="single"/>
          <w:rtl/>
        </w:rPr>
        <w:t>האמצעי המידתי(במובן הצר)</w:t>
      </w:r>
      <w:r w:rsidR="00610969">
        <w:rPr>
          <w:rFonts w:hint="cs"/>
          <w:rtl/>
        </w:rPr>
        <w:t>-בעניינו,</w:t>
      </w:r>
      <w:r w:rsidR="0033105D" w:rsidRPr="0033105D">
        <w:rPr>
          <w:rFonts w:hint="cs"/>
          <w:rtl/>
        </w:rPr>
        <w:t xml:space="preserve">האינטרס יגבר על הזכות אם תוכח </w:t>
      </w:r>
      <w:r w:rsidR="0033105D" w:rsidRPr="00152353">
        <w:rPr>
          <w:rFonts w:hint="cs"/>
          <w:b/>
          <w:bCs/>
          <w:rtl/>
        </w:rPr>
        <w:t>פגיעה קשה בהסתברות גבוהה</w:t>
      </w:r>
      <w:r w:rsidR="00152353">
        <w:rPr>
          <w:rFonts w:hint="cs"/>
          <w:b/>
          <w:bCs/>
          <w:rtl/>
        </w:rPr>
        <w:t>(איזון-אנכי)</w:t>
      </w:r>
      <w:r w:rsidR="0033105D" w:rsidRPr="0033105D">
        <w:rPr>
          <w:rFonts w:hint="cs"/>
          <w:rtl/>
        </w:rPr>
        <w:t>.</w:t>
      </w:r>
      <w:r w:rsidR="0033105D">
        <w:rPr>
          <w:rFonts w:hint="cs"/>
          <w:rtl/>
        </w:rPr>
        <w:t xml:space="preserve">שנהב יטען שהקריטריונים המחמירים שנתנה הפסיקה לפגיעה </w:t>
      </w:r>
      <w:r w:rsidR="006B4B04">
        <w:rPr>
          <w:rFonts w:hint="cs"/>
          <w:rtl/>
        </w:rPr>
        <w:t>בשלום-הציבור ובטחונו</w:t>
      </w:r>
      <w:r w:rsidR="0033105D">
        <w:rPr>
          <w:rFonts w:hint="cs"/>
          <w:rtl/>
        </w:rPr>
        <w:t xml:space="preserve">, על-אף שחמורים הם, לא קיימת סבירות אף </w:t>
      </w:r>
      <w:r w:rsidR="0033105D" w:rsidRPr="006B4B04">
        <w:rPr>
          <w:rFonts w:hint="cs"/>
          <w:b/>
          <w:bCs/>
          <w:rtl/>
        </w:rPr>
        <w:t>רחוקה</w:t>
      </w:r>
      <w:r w:rsidR="0033105D">
        <w:rPr>
          <w:rFonts w:hint="cs"/>
          <w:rtl/>
        </w:rPr>
        <w:t xml:space="preserve"> שיתקיימו, ועל-כן כך פסק בעבר בית-המשפט</w:t>
      </w:r>
      <w:r w:rsidR="006B4B04">
        <w:rPr>
          <w:rFonts w:hint="cs"/>
          <w:rtl/>
        </w:rPr>
        <w:t xml:space="preserve"> בפרשת קול-העם. </w:t>
      </w:r>
      <w:r w:rsidR="006B4B04" w:rsidRPr="004B1782">
        <w:rPr>
          <w:rFonts w:hint="cs"/>
          <w:rtl/>
        </w:rPr>
        <w:t>לעניין הפגיעה ברגשות ובטוב-הטעם גם בנושא זה נתן בית-המשפט את דעתו והעדיף בצורה חד משמעית את חופש-הביטוי בפרשת קידום.</w:t>
      </w:r>
      <w:r w:rsidR="00152353">
        <w:rPr>
          <w:rFonts w:hint="cs"/>
          <w:rtl/>
        </w:rPr>
        <w:t>חופש-הביטוי יקבל משקל מיוחד כאשר ישנה פגיעה בשמו-הטוב של גוף ציבורי</w:t>
      </w:r>
      <w:r w:rsidR="00152353">
        <w:rPr>
          <w:rStyle w:val="a6"/>
          <w:rtl/>
        </w:rPr>
        <w:footnoteReference w:id="33"/>
      </w:r>
    </w:p>
    <w:p w:rsidR="004B1782" w:rsidRPr="00F76E60" w:rsidRDefault="00BF1B40" w:rsidP="000E3E5E">
      <w:pPr>
        <w:pStyle w:val="a7"/>
        <w:jc w:val="both"/>
      </w:pPr>
      <w:r>
        <w:rPr>
          <w:rFonts w:hint="cs"/>
          <w:rtl/>
        </w:rPr>
        <w:t>מנגד,</w:t>
      </w:r>
      <w:r w:rsidR="004B1782" w:rsidRPr="00F76E60">
        <w:rPr>
          <w:rFonts w:hint="cs"/>
          <w:rtl/>
        </w:rPr>
        <w:t>תטען האוניברסיטה</w:t>
      </w:r>
      <w:r w:rsidR="00760212">
        <w:rPr>
          <w:rFonts w:hint="cs"/>
          <w:rtl/>
        </w:rPr>
        <w:t xml:space="preserve"> ששלום הציבור-ידו על העליונה בהתנגשות עם חופש-הביטוי</w:t>
      </w:r>
      <w:r w:rsidR="00760212">
        <w:rPr>
          <w:rStyle w:val="a6"/>
          <w:rtl/>
        </w:rPr>
        <w:footnoteReference w:id="34"/>
      </w:r>
      <w:r w:rsidR="00760212">
        <w:rPr>
          <w:rFonts w:hint="cs"/>
          <w:rtl/>
        </w:rPr>
        <w:t>.</w:t>
      </w:r>
      <w:r w:rsidR="004B1782" w:rsidRPr="00F76E60">
        <w:rPr>
          <w:rFonts w:hint="cs"/>
          <w:rtl/>
        </w:rPr>
        <w:t>ש</w:t>
      </w:r>
      <w:r w:rsidR="007A78E9" w:rsidRPr="00F76E60">
        <w:rPr>
          <w:rFonts w:hint="cs"/>
          <w:rtl/>
        </w:rPr>
        <w:t>כאשר</w:t>
      </w:r>
      <w:r>
        <w:rPr>
          <w:rFonts w:hint="cs"/>
          <w:rtl/>
        </w:rPr>
        <w:t xml:space="preserve"> מבקש איש-סגל להביא לחרם אקדמי,</w:t>
      </w:r>
      <w:r w:rsidR="007A78E9" w:rsidRPr="00F76E60">
        <w:rPr>
          <w:rFonts w:hint="cs"/>
          <w:rtl/>
        </w:rPr>
        <w:t xml:space="preserve">קיימת ודאות קרובה שזה אכן יקרה ושכתוצאה מכך יגרם </w:t>
      </w:r>
      <w:r w:rsidR="007A78E9" w:rsidRPr="000D6C97">
        <w:rPr>
          <w:rFonts w:hint="cs"/>
          <w:rtl/>
        </w:rPr>
        <w:t>נזק חמו</w:t>
      </w:r>
      <w:r>
        <w:rPr>
          <w:rFonts w:hint="cs"/>
          <w:rtl/>
        </w:rPr>
        <w:t>ר שיעלה על הפגיעה בחופש-הביטוי.</w:t>
      </w:r>
      <w:r w:rsidR="007A78E9" w:rsidRPr="000D6C97">
        <w:rPr>
          <w:rFonts w:hint="cs"/>
          <w:rtl/>
        </w:rPr>
        <w:t xml:space="preserve">לאור זאת </w:t>
      </w:r>
      <w:r w:rsidR="00F76E60" w:rsidRPr="000D6C97">
        <w:rPr>
          <w:rFonts w:hint="cs"/>
          <w:rtl/>
        </w:rPr>
        <w:t>כבר נקבע שנקיטת אמצעי כזה הוא לגיטימי</w:t>
      </w:r>
      <w:r w:rsidR="00F76E60" w:rsidRPr="000D6C97">
        <w:rPr>
          <w:rStyle w:val="a6"/>
        </w:rPr>
        <w:footnoteReference w:id="35"/>
      </w:r>
      <w:r w:rsidR="000D6C97" w:rsidRPr="000D6C97">
        <w:rPr>
          <w:rFonts w:hint="cs"/>
          <w:rtl/>
        </w:rPr>
        <w:t>.</w:t>
      </w:r>
      <w:r w:rsidR="000E3E5E">
        <w:rPr>
          <w:rFonts w:hint="cs"/>
          <w:rtl/>
        </w:rPr>
        <w:t>לעניין הפגיעה ברגשות-</w:t>
      </w:r>
      <w:r w:rsidR="000D6C97" w:rsidRPr="000D6C97">
        <w:rPr>
          <w:rFonts w:hint="cs"/>
          <w:rtl/>
        </w:rPr>
        <w:t>אנשי האקדמיה ו</w:t>
      </w:r>
      <w:r w:rsidR="00F76E60" w:rsidRPr="000D6C97">
        <w:rPr>
          <w:rFonts w:hint="cs"/>
          <w:rtl/>
        </w:rPr>
        <w:t>הציבור הרחב</w:t>
      </w:r>
      <w:r w:rsidR="000D6C97" w:rsidRPr="000D6C97">
        <w:rPr>
          <w:rFonts w:hint="cs"/>
          <w:rtl/>
        </w:rPr>
        <w:t xml:space="preserve"> </w:t>
      </w:r>
      <w:r w:rsidR="00F76E60" w:rsidRPr="000D6C97">
        <w:rPr>
          <w:rFonts w:hint="cs"/>
          <w:rtl/>
        </w:rPr>
        <w:t>אשר חשוף לדבריו החד-משמעיים והנוקבים</w:t>
      </w:r>
      <w:r w:rsidR="000D6C97" w:rsidRPr="000D6C97">
        <w:rPr>
          <w:rFonts w:hint="cs"/>
          <w:rtl/>
        </w:rPr>
        <w:t xml:space="preserve"> ברדיו</w:t>
      </w:r>
      <w:r w:rsidR="00F76E60" w:rsidRPr="000D6C97">
        <w:rPr>
          <w:rFonts w:hint="cs"/>
          <w:rtl/>
        </w:rPr>
        <w:t xml:space="preserve"> </w:t>
      </w:r>
      <w:r w:rsidR="000D6C97" w:rsidRPr="000D6C97">
        <w:rPr>
          <w:rFonts w:hint="cs"/>
          <w:rtl/>
        </w:rPr>
        <w:t xml:space="preserve">ובמאמריו </w:t>
      </w:r>
      <w:r>
        <w:rPr>
          <w:rFonts w:hint="cs"/>
          <w:rtl/>
        </w:rPr>
        <w:t>מחה על כך בהמוניו,</w:t>
      </w:r>
      <w:r w:rsidR="00F76E60" w:rsidRPr="000D6C97">
        <w:rPr>
          <w:rFonts w:hint="cs"/>
          <w:rtl/>
        </w:rPr>
        <w:t>על</w:t>
      </w:r>
      <w:r w:rsidR="000D6C97" w:rsidRPr="000D6C97">
        <w:rPr>
          <w:rFonts w:hint="cs"/>
          <w:rtl/>
        </w:rPr>
        <w:t>-כן</w:t>
      </w:r>
      <w:r w:rsidR="00F76E60" w:rsidRPr="000D6C97">
        <w:rPr>
          <w:rFonts w:hint="cs"/>
          <w:rtl/>
        </w:rPr>
        <w:t xml:space="preserve"> בית-המשפט</w:t>
      </w:r>
      <w:r w:rsidR="000D6C97" w:rsidRPr="000D6C97">
        <w:rPr>
          <w:rFonts w:hint="cs"/>
          <w:rtl/>
        </w:rPr>
        <w:t xml:space="preserve"> צריך</w:t>
      </w:r>
      <w:r w:rsidR="00F76E60" w:rsidRPr="000D6C97">
        <w:rPr>
          <w:rFonts w:hint="cs"/>
          <w:rtl/>
        </w:rPr>
        <w:t xml:space="preserve"> להניח מכך</w:t>
      </w:r>
      <w:r w:rsidR="00363ECD" w:rsidRPr="000D6C97">
        <w:rPr>
          <w:rFonts w:hint="cs"/>
          <w:rtl/>
        </w:rPr>
        <w:t xml:space="preserve"> שהפגיעה ברגשות-הציבור היא ודאית וחמורה.</w:t>
      </w:r>
    </w:p>
    <w:sectPr w:rsidR="004B1782" w:rsidRPr="00F76E60" w:rsidSect="00490225">
      <w:pgSz w:w="11906" w:h="16838"/>
      <w:pgMar w:top="1440" w:right="1416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814" w:rsidRDefault="00CB7814" w:rsidP="00405AE6">
      <w:r>
        <w:separator/>
      </w:r>
    </w:p>
  </w:endnote>
  <w:endnote w:type="continuationSeparator" w:id="0">
    <w:p w:rsidR="00CB7814" w:rsidRDefault="00CB7814" w:rsidP="00405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814" w:rsidRDefault="00CB7814" w:rsidP="00405AE6">
      <w:r>
        <w:separator/>
      </w:r>
    </w:p>
  </w:footnote>
  <w:footnote w:type="continuationSeparator" w:id="0">
    <w:p w:rsidR="00CB7814" w:rsidRDefault="00CB7814" w:rsidP="00405AE6">
      <w:r>
        <w:continuationSeparator/>
      </w:r>
    </w:p>
  </w:footnote>
  <w:footnote w:id="1">
    <w:p w:rsidR="00BE0868" w:rsidRDefault="00BE0868" w:rsidP="00BE0868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השנה בה חוקקו חוק-היסוד: כבוד האדם וחירותו וחוק-יסוד: חופש העיסוק.</w:t>
      </w:r>
    </w:p>
  </w:footnote>
  <w:footnote w:id="2">
    <w:p w:rsidR="00BE0868" w:rsidRPr="001F2F57" w:rsidRDefault="00BE0868" w:rsidP="00BC00F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="00D97002">
        <w:rPr>
          <w:rFonts w:hint="cs"/>
          <w:rtl/>
        </w:rPr>
        <w:t>דוגמא לפסיקות אלו:</w:t>
      </w:r>
      <w:r w:rsidR="00D97002">
        <w:t xml:space="preserve"> </w:t>
      </w:r>
      <w:r>
        <w:rPr>
          <w:rFonts w:hint="cs"/>
          <w:rtl/>
        </w:rPr>
        <w:t>ע"פ 2831</w:t>
      </w:r>
      <w:r w:rsidRPr="00A20869">
        <w:rPr>
          <w:rFonts w:hint="cs"/>
          <w:rtl/>
        </w:rPr>
        <w:t xml:space="preserve">/95 </w:t>
      </w:r>
      <w:hyperlink r:id="rId1" w:history="1">
        <w:r w:rsidRPr="00A20869">
          <w:rPr>
            <w:rStyle w:val="Hyperlink"/>
            <w:rFonts w:hint="cs"/>
            <w:color w:val="auto"/>
            <w:u w:val="none"/>
            <w:rtl/>
          </w:rPr>
          <w:t>אלבה נ' מדינת ישראל</w:t>
        </w:r>
      </w:hyperlink>
      <w:r w:rsidR="00BC00F6">
        <w:t xml:space="preserve"> </w:t>
      </w:r>
      <w:r w:rsidR="00BC00F6">
        <w:rPr>
          <w:rFonts w:hint="cs"/>
          <w:rtl/>
        </w:rPr>
        <w:t xml:space="preserve">(להלן: פרשת אלבה),  </w:t>
      </w:r>
      <w:proofErr w:type="spellStart"/>
      <w:r w:rsidRPr="00A20869">
        <w:rPr>
          <w:rFonts w:hint="cs"/>
          <w:rtl/>
        </w:rPr>
        <w:t>בג”צ</w:t>
      </w:r>
      <w:proofErr w:type="spellEnd"/>
      <w:r w:rsidRPr="00A20869">
        <w:rPr>
          <w:rFonts w:hint="cs"/>
          <w:rtl/>
        </w:rPr>
        <w:t xml:space="preserve">  2481/93 </w:t>
      </w:r>
      <w:hyperlink r:id="rId2" w:history="1">
        <w:r w:rsidRPr="00A20869">
          <w:rPr>
            <w:rStyle w:val="Hyperlink"/>
            <w:rFonts w:hint="cs"/>
            <w:color w:val="auto"/>
            <w:u w:val="none"/>
            <w:rtl/>
          </w:rPr>
          <w:t>דיין נ' מפקד מחוז ירושלים</w:t>
        </w:r>
      </w:hyperlink>
      <w:r w:rsidR="00490225">
        <w:rPr>
          <w:rFonts w:hint="cs"/>
          <w:rtl/>
        </w:rPr>
        <w:t xml:space="preserve"> (להלן: פרשת דיין)</w:t>
      </w:r>
      <w:r w:rsidR="00D97002">
        <w:rPr>
          <w:rFonts w:hint="cs"/>
          <w:rtl/>
        </w:rPr>
        <w:t xml:space="preserve">, בג"צ </w:t>
      </w:r>
      <w:r w:rsidR="00D97002" w:rsidRPr="00D97002">
        <w:rPr>
          <w:rStyle w:val="Hyperlink"/>
          <w:rFonts w:hint="cs"/>
          <w:color w:val="auto"/>
          <w:u w:val="none"/>
          <w:rtl/>
        </w:rPr>
        <w:t xml:space="preserve">4463/94 </w:t>
      </w:r>
      <w:hyperlink r:id="rId3" w:history="1">
        <w:r w:rsidR="00D97002" w:rsidRPr="00D97002">
          <w:rPr>
            <w:rStyle w:val="Hyperlink"/>
            <w:rFonts w:hint="cs"/>
            <w:b/>
            <w:bCs/>
            <w:color w:val="auto"/>
            <w:u w:val="none"/>
            <w:rtl/>
          </w:rPr>
          <w:t>גולן נ' שירות בתי הסוהר</w:t>
        </w:r>
      </w:hyperlink>
      <w:r w:rsidR="001F2F57">
        <w:rPr>
          <w:rStyle w:val="Hyperlink"/>
          <w:rFonts w:hint="cs"/>
          <w:b/>
          <w:bCs/>
          <w:color w:val="auto"/>
          <w:u w:val="none"/>
          <w:rtl/>
        </w:rPr>
        <w:t xml:space="preserve"> </w:t>
      </w:r>
      <w:r w:rsidR="001F2F57" w:rsidRPr="001F2F57">
        <w:rPr>
          <w:rStyle w:val="Hyperlink"/>
          <w:rFonts w:hint="cs"/>
          <w:color w:val="auto"/>
          <w:u w:val="none"/>
          <w:rtl/>
        </w:rPr>
        <w:t>(להלן: פרשת גולן)</w:t>
      </w:r>
      <w:r w:rsidRPr="001F2F57">
        <w:rPr>
          <w:rFonts w:hint="cs"/>
          <w:rtl/>
        </w:rPr>
        <w:t>.</w:t>
      </w:r>
      <w:r w:rsidR="00D97002" w:rsidRPr="001F2F57">
        <w:rPr>
          <w:rFonts w:hint="cs"/>
          <w:rtl/>
        </w:rPr>
        <w:t xml:space="preserve"> </w:t>
      </w:r>
    </w:p>
  </w:footnote>
  <w:footnote w:id="3">
    <w:p w:rsidR="001C1774" w:rsidRDefault="001C1774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כפי שמובא מפרשת גולן.</w:t>
      </w:r>
    </w:p>
  </w:footnote>
  <w:footnote w:id="4">
    <w:p w:rsidR="008C44A4" w:rsidRDefault="008C44A4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חוק יסוד: כבוד האדם וחירותו</w:t>
      </w:r>
      <w:r w:rsidR="00C96644">
        <w:rPr>
          <w:rFonts w:hint="cs"/>
          <w:rtl/>
        </w:rPr>
        <w:t xml:space="preserve"> (להלן: חוק-היסוד)</w:t>
      </w:r>
      <w:r>
        <w:rPr>
          <w:rFonts w:hint="cs"/>
          <w:rtl/>
        </w:rPr>
        <w:t xml:space="preserve">. </w:t>
      </w:r>
    </w:p>
  </w:footnote>
  <w:footnote w:id="5">
    <w:p w:rsidR="00BF1B40" w:rsidRDefault="00BF1B40" w:rsidP="00BF1B40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BF1B40">
        <w:rPr>
          <w:rFonts w:hint="cs"/>
          <w:rtl/>
        </w:rPr>
        <w:t>אילנה דיין-</w:t>
      </w:r>
      <w:proofErr w:type="spellStart"/>
      <w:r w:rsidRPr="00BF1B40">
        <w:rPr>
          <w:rFonts w:hint="cs"/>
          <w:rtl/>
        </w:rPr>
        <w:t>אורבך</w:t>
      </w:r>
      <w:proofErr w:type="spellEnd"/>
      <w:r w:rsidRPr="00BF1B40">
        <w:rPr>
          <w:rFonts w:hint="cs"/>
          <w:rtl/>
        </w:rPr>
        <w:t xml:space="preserve">, </w:t>
      </w:r>
      <w:hyperlink r:id="rId4" w:history="1">
        <w:r w:rsidRPr="00BF1B40">
          <w:rPr>
            <w:rFonts w:hint="cs"/>
            <w:b/>
            <w:bCs/>
            <w:rtl/>
          </w:rPr>
          <w:t>המודל הדמוקרטי של חופש הביטוי</w:t>
        </w:r>
      </w:hyperlink>
      <w:r w:rsidRPr="00BF1B40">
        <w:rPr>
          <w:rFonts w:hint="cs"/>
          <w:rtl/>
        </w:rPr>
        <w:t>, עיוני משפט</w:t>
      </w:r>
      <w:r>
        <w:rPr>
          <w:rFonts w:hint="cs"/>
          <w:rtl/>
        </w:rPr>
        <w:t xml:space="preserve"> כ 377 (תשנ"ז).</w:t>
      </w:r>
    </w:p>
  </w:footnote>
  <w:footnote w:id="6">
    <w:p w:rsidR="001F2F57" w:rsidRDefault="001F2F57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לדוגמא: דברי השופט חשין שהיה בפרשת גולן בדעת יחיד ואף מדברי השופטת </w:t>
      </w:r>
      <w:proofErr w:type="spellStart"/>
      <w:r>
        <w:rPr>
          <w:rFonts w:hint="cs"/>
          <w:rtl/>
        </w:rPr>
        <w:t>דורנר</w:t>
      </w:r>
      <w:proofErr w:type="spellEnd"/>
      <w:r>
        <w:rPr>
          <w:rFonts w:hint="cs"/>
          <w:rtl/>
        </w:rPr>
        <w:t xml:space="preserve"> באותה פרשה בה ס</w:t>
      </w:r>
      <w:r w:rsidR="0083390A">
        <w:rPr>
          <w:rFonts w:hint="cs"/>
          <w:rtl/>
        </w:rPr>
        <w:t>י</w:t>
      </w:r>
      <w:r>
        <w:rPr>
          <w:rFonts w:hint="cs"/>
          <w:rtl/>
        </w:rPr>
        <w:t>רבה לקבוע מסמרות בעניין זה.</w:t>
      </w:r>
    </w:p>
  </w:footnote>
  <w:footnote w:id="7">
    <w:p w:rsidR="005D41D0" w:rsidRDefault="005D41D0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הלל סומר, </w:t>
      </w:r>
      <w:hyperlink r:id="rId5" w:history="1">
        <w:r w:rsidRPr="005D41D0">
          <w:rPr>
            <w:rStyle w:val="Hyperlink"/>
            <w:rFonts w:hint="cs"/>
            <w:b/>
            <w:bCs/>
            <w:color w:val="000000" w:themeColor="text1"/>
            <w:u w:val="none"/>
            <w:rtl/>
          </w:rPr>
          <w:t>הזכויות הבלתי מנויות</w:t>
        </w:r>
        <w:r w:rsidRPr="005D41D0">
          <w:rPr>
            <w:rStyle w:val="Hyperlink"/>
            <w:rFonts w:hint="cs"/>
            <w:b/>
            <w:bCs/>
            <w:color w:val="000000" w:themeColor="text1"/>
            <w:u w:val="none"/>
          </w:rPr>
          <w:t>—</w:t>
        </w:r>
        <w:r w:rsidRPr="005D41D0">
          <w:rPr>
            <w:rStyle w:val="Hyperlink"/>
            <w:rFonts w:hint="cs"/>
            <w:b/>
            <w:bCs/>
            <w:color w:val="000000" w:themeColor="text1"/>
            <w:u w:val="none"/>
            <w:rtl/>
          </w:rPr>
          <w:t>על היקפה של המהפכה החוקתית</w:t>
        </w:r>
      </w:hyperlink>
      <w:r>
        <w:rPr>
          <w:rFonts w:hint="cs"/>
          <w:rtl/>
        </w:rPr>
        <w:t>.</w:t>
      </w:r>
    </w:p>
  </w:footnote>
  <w:footnote w:id="8">
    <w:p w:rsidR="008C44A4" w:rsidRDefault="008C44A4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כפי שנפסק </w:t>
      </w:r>
      <w:proofErr w:type="spellStart"/>
      <w:r>
        <w:rPr>
          <w:rFonts w:hint="cs"/>
          <w:rtl/>
        </w:rPr>
        <w:t>בבג”צ</w:t>
      </w:r>
      <w:proofErr w:type="spellEnd"/>
      <w:r>
        <w:rPr>
          <w:rFonts w:hint="cs"/>
          <w:rtl/>
        </w:rPr>
        <w:t xml:space="preserve"> 606/93 </w:t>
      </w:r>
      <w:hyperlink r:id="rId6" w:history="1">
        <w:r w:rsidRPr="008C44A4">
          <w:rPr>
            <w:rFonts w:hint="cs"/>
            <w:b/>
            <w:bCs/>
            <w:rtl/>
          </w:rPr>
          <w:t>קידום נ' רשות השידור</w:t>
        </w:r>
      </w:hyperlink>
      <w:r>
        <w:rPr>
          <w:rFonts w:hint="cs"/>
          <w:rtl/>
        </w:rPr>
        <w:t xml:space="preserve"> (להלן: פרשת קידום)</w:t>
      </w:r>
    </w:p>
  </w:footnote>
  <w:footnote w:id="9">
    <w:p w:rsidR="005E4351" w:rsidRDefault="005E4351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ע"א 294/91 </w:t>
      </w:r>
      <w:hyperlink r:id="rId7" w:history="1">
        <w:r w:rsidRPr="00851E2D">
          <w:rPr>
            <w:rStyle w:val="Hyperlink"/>
            <w:rFonts w:hint="cs"/>
            <w:b/>
            <w:bCs/>
            <w:color w:val="000000" w:themeColor="text1"/>
            <w:u w:val="none"/>
            <w:rtl/>
          </w:rPr>
          <w:t>חברה קדישא גחש"א "קהילת ירושלים</w:t>
        </w:r>
      </w:hyperlink>
      <w:r w:rsidRPr="00851E2D">
        <w:rPr>
          <w:rFonts w:hint="cs"/>
          <w:b/>
          <w:bCs/>
          <w:rtl/>
        </w:rPr>
        <w:t xml:space="preserve"> נ' </w:t>
      </w:r>
      <w:proofErr w:type="spellStart"/>
      <w:r w:rsidRPr="00851E2D">
        <w:rPr>
          <w:rFonts w:hint="cs"/>
          <w:b/>
          <w:bCs/>
          <w:rtl/>
        </w:rPr>
        <w:t>קסטנבאום</w:t>
      </w:r>
      <w:proofErr w:type="spellEnd"/>
      <w:r w:rsidRPr="00851E2D">
        <w:rPr>
          <w:rFonts w:hint="cs"/>
          <w:rtl/>
        </w:rPr>
        <w:t>.</w:t>
      </w:r>
    </w:p>
  </w:footnote>
  <w:footnote w:id="10">
    <w:p w:rsidR="004B1782" w:rsidRDefault="004B1782" w:rsidP="004B1782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על-פי דבריו של חשין בפרשת קידום.</w:t>
      </w:r>
    </w:p>
  </w:footnote>
  <w:footnote w:id="11">
    <w:p w:rsidR="004B1782" w:rsidRDefault="004B1782" w:rsidP="004B1782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פסיקות אשר מוזכרות במאמרו של </w:t>
      </w:r>
      <w:r w:rsidRPr="00DF34F9">
        <w:rPr>
          <w:rFonts w:hint="cs"/>
          <w:rtl/>
        </w:rPr>
        <w:t>אמנון רובינשטיין</w:t>
      </w:r>
      <w:r>
        <w:rPr>
          <w:rFonts w:hint="cs"/>
          <w:rtl/>
        </w:rPr>
        <w:t>,</w:t>
      </w:r>
      <w:r w:rsidRPr="00DF34F9">
        <w:rPr>
          <w:rtl/>
        </w:rPr>
        <w:t xml:space="preserve"> </w:t>
      </w:r>
      <w:r w:rsidRPr="00DF34F9">
        <w:rPr>
          <w:rFonts w:hint="cs"/>
          <w:rtl/>
        </w:rPr>
        <w:t>חופש</w:t>
      </w:r>
      <w:r w:rsidRPr="00DF34F9">
        <w:rPr>
          <w:b/>
          <w:bCs/>
          <w:rtl/>
        </w:rPr>
        <w:t xml:space="preserve"> </w:t>
      </w:r>
      <w:r w:rsidRPr="00DF34F9">
        <w:rPr>
          <w:rFonts w:hint="cs"/>
          <w:b/>
          <w:bCs/>
          <w:rtl/>
        </w:rPr>
        <w:t>הביטוי</w:t>
      </w:r>
      <w:r w:rsidRPr="00DF34F9">
        <w:rPr>
          <w:b/>
          <w:bCs/>
          <w:rtl/>
        </w:rPr>
        <w:t xml:space="preserve"> </w:t>
      </w:r>
      <w:r w:rsidRPr="00DF34F9">
        <w:rPr>
          <w:rFonts w:hint="cs"/>
          <w:b/>
          <w:bCs/>
          <w:rtl/>
        </w:rPr>
        <w:t>האקדמי</w:t>
      </w:r>
      <w:r>
        <w:rPr>
          <w:rFonts w:hint="cs"/>
          <w:rtl/>
        </w:rPr>
        <w:t>,</w:t>
      </w:r>
      <w:r w:rsidRPr="00DF34F9">
        <w:rPr>
          <w:rtl/>
        </w:rPr>
        <w:t xml:space="preserve"> </w:t>
      </w:r>
      <w:r w:rsidRPr="00DF34F9">
        <w:rPr>
          <w:rFonts w:hint="cs"/>
          <w:rtl/>
        </w:rPr>
        <w:t>משפט</w:t>
      </w:r>
      <w:r w:rsidRPr="00DF34F9">
        <w:rPr>
          <w:rtl/>
        </w:rPr>
        <w:t xml:space="preserve"> </w:t>
      </w:r>
      <w:r w:rsidRPr="00DF34F9">
        <w:rPr>
          <w:rFonts w:hint="cs"/>
          <w:rtl/>
        </w:rPr>
        <w:t>ועסקים</w:t>
      </w:r>
      <w:r w:rsidRPr="00DF34F9">
        <w:rPr>
          <w:rtl/>
        </w:rPr>
        <w:t xml:space="preserve"> </w:t>
      </w:r>
      <w:proofErr w:type="spellStart"/>
      <w:r w:rsidRPr="00DF34F9">
        <w:rPr>
          <w:rFonts w:hint="cs"/>
          <w:rtl/>
        </w:rPr>
        <w:t>יג</w:t>
      </w:r>
      <w:proofErr w:type="spellEnd"/>
      <w:r w:rsidRPr="00DF34F9">
        <w:rPr>
          <w:rtl/>
        </w:rPr>
        <w:t xml:space="preserve"> 11 (2010)</w:t>
      </w:r>
      <w:r>
        <w:rPr>
          <w:rFonts w:hint="cs"/>
          <w:rtl/>
        </w:rPr>
        <w:t xml:space="preserve"> (להלן</w:t>
      </w:r>
      <w:r>
        <w:t>:</w:t>
      </w:r>
      <w:r>
        <w:rPr>
          <w:rFonts w:hint="cs"/>
          <w:rtl/>
        </w:rPr>
        <w:t xml:space="preserve"> מאמרו של רובינשטיין)</w:t>
      </w:r>
    </w:p>
  </w:footnote>
  <w:footnote w:id="12">
    <w:p w:rsidR="00A07CD6" w:rsidRDefault="00A07CD6" w:rsidP="00A07CD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הסוכנות לזכויות יסוד של האיחוד האירופי (</w:t>
      </w:r>
      <w:r>
        <w:rPr>
          <w:rFonts w:hint="cs"/>
        </w:rPr>
        <w:t>F</w:t>
      </w:r>
      <w:r>
        <w:t>R</w:t>
      </w:r>
      <w:r>
        <w:rPr>
          <w:rFonts w:hint="cs"/>
        </w:rPr>
        <w:t>A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ומחלקת המדינה של ארה"ב כפי שמובא במאמרו של רובינשטיין.  </w:t>
      </w:r>
    </w:p>
  </w:footnote>
  <w:footnote w:id="13">
    <w:p w:rsidR="00A07CD6" w:rsidRDefault="00A07CD6" w:rsidP="00A07CD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מאמרו של רובינשטיין.</w:t>
      </w:r>
    </w:p>
  </w:footnote>
  <w:footnote w:id="14">
    <w:p w:rsidR="0015503F" w:rsidRDefault="0015503F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73/53 </w:t>
      </w:r>
      <w:hyperlink r:id="rId8" w:history="1">
        <w:r w:rsidRPr="0015503F">
          <w:rPr>
            <w:rStyle w:val="Hyperlink"/>
            <w:rFonts w:hint="cs"/>
            <w:b/>
            <w:bCs/>
            <w:color w:val="000000" w:themeColor="text1"/>
            <w:u w:val="none"/>
            <w:rtl/>
          </w:rPr>
          <w:t>קול העם נ' שר הפנים</w:t>
        </w:r>
      </w:hyperlink>
      <w:r>
        <w:rPr>
          <w:rFonts w:hint="cs"/>
          <w:rtl/>
        </w:rPr>
        <w:t>. (להלן: פרשת קול-העם)</w:t>
      </w:r>
    </w:p>
  </w:footnote>
  <w:footnote w:id="15">
    <w:p w:rsidR="00851E2D" w:rsidRDefault="00851E2D" w:rsidP="00BC00F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="00BC00F6">
        <w:rPr>
          <w:rFonts w:hint="cs"/>
          <w:rtl/>
        </w:rPr>
        <w:t xml:space="preserve">פרשת אלבה, </w:t>
      </w:r>
      <w:proofErr w:type="spellStart"/>
      <w:r w:rsidR="00BC00F6">
        <w:rPr>
          <w:rFonts w:hint="cs"/>
          <w:rtl/>
        </w:rPr>
        <w:t>בג”צ</w:t>
      </w:r>
      <w:proofErr w:type="spellEnd"/>
      <w:r w:rsidR="00BC00F6">
        <w:rPr>
          <w:rFonts w:hint="cs"/>
          <w:rtl/>
        </w:rPr>
        <w:t xml:space="preserve"> 399/85 </w:t>
      </w:r>
      <w:hyperlink r:id="rId9" w:history="1">
        <w:r w:rsidR="00BC00F6" w:rsidRPr="00BC00F6">
          <w:rPr>
            <w:rFonts w:hint="cs"/>
            <w:b/>
            <w:bCs/>
            <w:rtl/>
          </w:rPr>
          <w:t>כהנא נ' הועד המנהל של רשות השידור</w:t>
        </w:r>
      </w:hyperlink>
      <w:r w:rsidR="00AF4376">
        <w:rPr>
          <w:rFonts w:hint="cs"/>
          <w:rtl/>
        </w:rPr>
        <w:t xml:space="preserve"> (להלן: פרשת כהנא)</w:t>
      </w:r>
      <w:r w:rsidR="00BC00F6">
        <w:rPr>
          <w:rFonts w:hint="cs"/>
          <w:rtl/>
        </w:rPr>
        <w:t>.</w:t>
      </w:r>
    </w:p>
  </w:footnote>
  <w:footnote w:id="16">
    <w:p w:rsidR="00587F19" w:rsidRDefault="00587F19" w:rsidP="00587F19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ע"א 214/89 </w:t>
      </w:r>
      <w:hyperlink r:id="rId10" w:history="1">
        <w:r w:rsidRPr="00851E2D">
          <w:rPr>
            <w:rStyle w:val="Hyperlink"/>
            <w:rFonts w:hint="cs"/>
            <w:b/>
            <w:bCs/>
            <w:color w:val="000000" w:themeColor="text1"/>
            <w:u w:val="none"/>
            <w:rtl/>
          </w:rPr>
          <w:t>אבנרי נ' שפירא</w:t>
        </w:r>
      </w:hyperlink>
      <w:r>
        <w:rPr>
          <w:rFonts w:hint="cs"/>
          <w:rtl/>
        </w:rPr>
        <w:t xml:space="preserve"> (להלן: פרשת אבנרי)</w:t>
      </w:r>
    </w:p>
  </w:footnote>
  <w:footnote w:id="17">
    <w:p w:rsidR="00627DA0" w:rsidRDefault="00627DA0" w:rsidP="00AF4376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="00AF4376">
        <w:rPr>
          <w:rFonts w:hint="cs"/>
          <w:rtl/>
        </w:rPr>
        <w:t>כפי שנאמר בפרשת כהנא.</w:t>
      </w:r>
    </w:p>
  </w:footnote>
  <w:footnote w:id="18">
    <w:p w:rsidR="00680A28" w:rsidRDefault="00680A28" w:rsidP="00680A28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עפ"י מאמרו של רובינשטיין.</w:t>
      </w:r>
    </w:p>
  </w:footnote>
  <w:footnote w:id="19">
    <w:p w:rsidR="00232CA0" w:rsidRDefault="00232CA0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הגדרה זו </w:t>
      </w:r>
      <w:proofErr w:type="spellStart"/>
      <w:r>
        <w:rPr>
          <w:rFonts w:hint="cs"/>
          <w:rtl/>
        </w:rPr>
        <w:t>לבטחון</w:t>
      </w:r>
      <w:proofErr w:type="spellEnd"/>
      <w:r>
        <w:rPr>
          <w:rFonts w:hint="cs"/>
          <w:rtl/>
        </w:rPr>
        <w:t xml:space="preserve"> הציבור מובאת בפרשת קול-העם.</w:t>
      </w:r>
    </w:p>
  </w:footnote>
  <w:footnote w:id="20">
    <w:p w:rsidR="000157D9" w:rsidRDefault="000157D9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הגדרה זו למושג "טוב טעם" מובא בפרשת קידום.</w:t>
      </w:r>
    </w:p>
  </w:footnote>
  <w:footnote w:id="21">
    <w:p w:rsidR="00923CD3" w:rsidRDefault="00923CD3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מבחנים אלו באו </w:t>
      </w:r>
      <w:r w:rsidR="00AC6C30">
        <w:rPr>
          <w:rFonts w:hint="cs"/>
          <w:rtl/>
        </w:rPr>
        <w:t>לידי ביטוי בפרשת קידום ובחלקם בפרשת</w:t>
      </w:r>
      <w:r>
        <w:rPr>
          <w:rFonts w:hint="cs"/>
          <w:rtl/>
        </w:rPr>
        <w:t xml:space="preserve"> קול העם, אבנרי</w:t>
      </w:r>
      <w:r w:rsidR="00C96644">
        <w:rPr>
          <w:rFonts w:hint="cs"/>
          <w:rtl/>
        </w:rPr>
        <w:t>, דיין</w:t>
      </w:r>
      <w:r>
        <w:rPr>
          <w:rFonts w:hint="cs"/>
          <w:rtl/>
        </w:rPr>
        <w:t xml:space="preserve"> וכהנא.</w:t>
      </w:r>
    </w:p>
  </w:footnote>
  <w:footnote w:id="22">
    <w:p w:rsidR="00923CD3" w:rsidRDefault="00923CD3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כפי שבא לידי ביטוי בפרשת אלבה. </w:t>
      </w:r>
    </w:p>
  </w:footnote>
  <w:footnote w:id="23">
    <w:p w:rsidR="008542E9" w:rsidRPr="008542E9" w:rsidRDefault="008542E9">
      <w:pPr>
        <w:pStyle w:val="a5"/>
        <w:rPr>
          <w:b/>
          <w:bCs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גדעון ספיר, </w:t>
      </w:r>
      <w:hyperlink r:id="rId11" w:history="1">
        <w:r w:rsidRPr="008542E9">
          <w:rPr>
            <w:rFonts w:hint="cs"/>
            <w:b/>
            <w:bCs/>
            <w:rtl/>
          </w:rPr>
          <w:t>ישן מול חדש – על איזון אנכי ומידתיות</w:t>
        </w:r>
      </w:hyperlink>
      <w:r w:rsidR="00490225">
        <w:rPr>
          <w:rFonts w:hint="cs"/>
          <w:b/>
          <w:bCs/>
          <w:rtl/>
        </w:rPr>
        <w:t>.</w:t>
      </w:r>
    </w:p>
  </w:footnote>
  <w:footnote w:id="24">
    <w:p w:rsidR="00F1778F" w:rsidRDefault="00F1778F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בג”צ</w:t>
      </w:r>
      <w:proofErr w:type="spellEnd"/>
      <w:r>
        <w:rPr>
          <w:rFonts w:hint="cs"/>
          <w:rtl/>
        </w:rPr>
        <w:t xml:space="preserve"> 1715/97 </w:t>
      </w:r>
      <w:hyperlink r:id="rId12" w:history="1">
        <w:r w:rsidRPr="000157D9">
          <w:rPr>
            <w:rFonts w:hint="cs"/>
            <w:b/>
            <w:bCs/>
            <w:rtl/>
          </w:rPr>
          <w:t>לשכת מנהלי ההשקעות בישראל נ' שר האוצר</w:t>
        </w:r>
      </w:hyperlink>
      <w:r>
        <w:rPr>
          <w:rFonts w:hint="cs"/>
          <w:b/>
          <w:bCs/>
          <w:rtl/>
        </w:rPr>
        <w:t xml:space="preserve"> </w:t>
      </w:r>
      <w:r w:rsidRPr="00F1778F">
        <w:rPr>
          <w:rFonts w:hint="cs"/>
          <w:rtl/>
        </w:rPr>
        <w:t>מבחני המשנה לעניין המידתיות בפסקת ההגבלה.</w:t>
      </w:r>
    </w:p>
  </w:footnote>
  <w:footnote w:id="25">
    <w:p w:rsidR="00A9484A" w:rsidRDefault="00A9484A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Pr="00A9484A">
        <w:rPr>
          <w:rtl/>
        </w:rPr>
        <w:t>חוק המועצה להשכלה גבוהה, תשי"ח-1958</w:t>
      </w:r>
    </w:p>
  </w:footnote>
  <w:footnote w:id="26">
    <w:p w:rsidR="00E0518F" w:rsidRDefault="00E0518F" w:rsidP="00E0518F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רובינשטיין במאמרו מביא לדוגמא את פרשת אלבה שבה לא הכריעו השופטים בסוגיה הנ"ל.</w:t>
      </w:r>
    </w:p>
  </w:footnote>
  <w:footnote w:id="27">
    <w:p w:rsidR="0081505C" w:rsidRPr="006C3662" w:rsidRDefault="0081505C" w:rsidP="0081505C">
      <w:pPr>
        <w:pStyle w:val="a5"/>
      </w:pPr>
      <w:r w:rsidRPr="006C3662">
        <w:rPr>
          <w:rStyle w:val="a6"/>
        </w:rPr>
        <w:footnoteRef/>
      </w:r>
      <w:r w:rsidRPr="006C3662">
        <w:rPr>
          <w:rtl/>
        </w:rPr>
        <w:t xml:space="preserve"> </w:t>
      </w:r>
      <w:r w:rsidRPr="006C3662">
        <w:rPr>
          <w:rFonts w:hint="cs"/>
          <w:rtl/>
        </w:rPr>
        <w:t>פרשת לשכת מנהלי השקעות.</w:t>
      </w:r>
    </w:p>
  </w:footnote>
  <w:footnote w:id="28">
    <w:p w:rsidR="00AB49AF" w:rsidRDefault="009F4431" w:rsidP="00AB49AF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בעניין קול העם. </w:t>
      </w:r>
    </w:p>
  </w:footnote>
  <w:footnote w:id="29">
    <w:p w:rsidR="00B42DC8" w:rsidRDefault="00B42DC8" w:rsidP="000802E9">
      <w:pPr>
        <w:pStyle w:val="a5"/>
        <w:tabs>
          <w:tab w:val="left" w:pos="2510"/>
        </w:tabs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="00964DA7">
        <w:rPr>
          <w:rFonts w:hint="cs"/>
          <w:rtl/>
        </w:rPr>
        <w:t>עניין קול העם</w:t>
      </w:r>
      <w:r>
        <w:rPr>
          <w:rFonts w:hint="cs"/>
          <w:rtl/>
        </w:rPr>
        <w:t>.</w:t>
      </w:r>
      <w:r w:rsidR="000802E9">
        <w:rPr>
          <w:rtl/>
        </w:rPr>
        <w:tab/>
      </w:r>
    </w:p>
  </w:footnote>
  <w:footnote w:id="30">
    <w:p w:rsidR="007A2417" w:rsidRDefault="007A2417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הגעה לפשרה עפ"י </w:t>
      </w:r>
      <w:proofErr w:type="spellStart"/>
      <w:r>
        <w:rPr>
          <w:rFonts w:hint="cs"/>
          <w:rtl/>
        </w:rPr>
        <w:t>פרופ</w:t>
      </w:r>
      <w:proofErr w:type="spellEnd"/>
      <w:r>
        <w:rPr>
          <w:rFonts w:hint="cs"/>
          <w:rtl/>
        </w:rPr>
        <w:t>' ספיר תבוא במבחן-משנה זה, באם ימצא שאין ניתן לעשות זאת נעבור להכרעה עפ"י מבחן-המשנה השלישי</w:t>
      </w:r>
    </w:p>
  </w:footnote>
  <w:footnote w:id="31">
    <w:p w:rsidR="00B42DC8" w:rsidRDefault="00B42DC8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פרשת כהנא, מאמרו של רובינשטיין. </w:t>
      </w:r>
    </w:p>
  </w:footnote>
  <w:footnote w:id="32">
    <w:p w:rsidR="00964DA7" w:rsidRDefault="00964DA7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מאמרו של רובינשטיין</w:t>
      </w:r>
    </w:p>
  </w:footnote>
  <w:footnote w:id="33">
    <w:p w:rsidR="00152353" w:rsidRDefault="00152353">
      <w:pPr>
        <w:pStyle w:val="a5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פרשת אבנרי.</w:t>
      </w:r>
    </w:p>
  </w:footnote>
  <w:footnote w:id="34">
    <w:p w:rsidR="00760212" w:rsidRDefault="00760212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פרשת כהנא.</w:t>
      </w:r>
    </w:p>
  </w:footnote>
  <w:footnote w:id="35">
    <w:p w:rsidR="00F76E60" w:rsidRDefault="00F76E60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דעתו של רובינשטיין במאמרו בנוגע לקריאה לחרם אקדמי.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17377"/>
    <w:multiLevelType w:val="hybridMultilevel"/>
    <w:tmpl w:val="2918C412"/>
    <w:lvl w:ilvl="0" w:tplc="94007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23ABC"/>
    <w:multiLevelType w:val="hybridMultilevel"/>
    <w:tmpl w:val="D1C29E92"/>
    <w:lvl w:ilvl="0" w:tplc="F4C24E6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D10D3"/>
    <w:multiLevelType w:val="hybridMultilevel"/>
    <w:tmpl w:val="E4EA8F06"/>
    <w:lvl w:ilvl="0" w:tplc="5126A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D2AAE"/>
    <w:multiLevelType w:val="hybridMultilevel"/>
    <w:tmpl w:val="11E60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A76472"/>
    <w:multiLevelType w:val="hybridMultilevel"/>
    <w:tmpl w:val="41E6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A60F5"/>
    <w:multiLevelType w:val="hybridMultilevel"/>
    <w:tmpl w:val="CBB2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D5BCE"/>
    <w:multiLevelType w:val="hybridMultilevel"/>
    <w:tmpl w:val="BA5E2DAA"/>
    <w:lvl w:ilvl="0" w:tplc="25569BF8">
      <w:start w:val="1"/>
      <w:numFmt w:val="decimal"/>
      <w:lvlText w:val="(%1)"/>
      <w:lvlJc w:val="left"/>
      <w:pPr>
        <w:ind w:left="720" w:hanging="360"/>
      </w:pPr>
      <w:rPr>
        <w:rFonts w:ascii="Times New Roman" w:eastAsia="SimSun" w:hAnsi="Times New Roman" w:cs="Times New Roman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535041"/>
    <w:rsid w:val="000157D9"/>
    <w:rsid w:val="000165E7"/>
    <w:rsid w:val="000250BA"/>
    <w:rsid w:val="00031AE1"/>
    <w:rsid w:val="00037A81"/>
    <w:rsid w:val="00051BAF"/>
    <w:rsid w:val="000521EE"/>
    <w:rsid w:val="00057FBE"/>
    <w:rsid w:val="0007359F"/>
    <w:rsid w:val="00075B8F"/>
    <w:rsid w:val="000802E9"/>
    <w:rsid w:val="00080644"/>
    <w:rsid w:val="00086BCA"/>
    <w:rsid w:val="000873C6"/>
    <w:rsid w:val="000A42B9"/>
    <w:rsid w:val="000B42DD"/>
    <w:rsid w:val="000D2E7C"/>
    <w:rsid w:val="000D6C97"/>
    <w:rsid w:val="000E399E"/>
    <w:rsid w:val="000E3E5E"/>
    <w:rsid w:val="000F2286"/>
    <w:rsid w:val="00127831"/>
    <w:rsid w:val="00136141"/>
    <w:rsid w:val="001365DE"/>
    <w:rsid w:val="0014505F"/>
    <w:rsid w:val="00152353"/>
    <w:rsid w:val="0015503F"/>
    <w:rsid w:val="00156156"/>
    <w:rsid w:val="00156300"/>
    <w:rsid w:val="00163E2B"/>
    <w:rsid w:val="00164539"/>
    <w:rsid w:val="00173146"/>
    <w:rsid w:val="001743E6"/>
    <w:rsid w:val="00180994"/>
    <w:rsid w:val="001A25B2"/>
    <w:rsid w:val="001C1774"/>
    <w:rsid w:val="001C20A8"/>
    <w:rsid w:val="001C27AF"/>
    <w:rsid w:val="001E7AB5"/>
    <w:rsid w:val="001E7E3D"/>
    <w:rsid w:val="001F2F57"/>
    <w:rsid w:val="001F4DD3"/>
    <w:rsid w:val="002003C8"/>
    <w:rsid w:val="002005A4"/>
    <w:rsid w:val="00213A5D"/>
    <w:rsid w:val="00232155"/>
    <w:rsid w:val="00232CA0"/>
    <w:rsid w:val="002408C7"/>
    <w:rsid w:val="00260DEB"/>
    <w:rsid w:val="00265BA3"/>
    <w:rsid w:val="00270BD4"/>
    <w:rsid w:val="00272673"/>
    <w:rsid w:val="00274CF7"/>
    <w:rsid w:val="002C007C"/>
    <w:rsid w:val="002C5BE3"/>
    <w:rsid w:val="002D19F3"/>
    <w:rsid w:val="002E6938"/>
    <w:rsid w:val="00300189"/>
    <w:rsid w:val="00303B56"/>
    <w:rsid w:val="00304C00"/>
    <w:rsid w:val="00305200"/>
    <w:rsid w:val="003066C9"/>
    <w:rsid w:val="00311EE0"/>
    <w:rsid w:val="003274E7"/>
    <w:rsid w:val="0033105D"/>
    <w:rsid w:val="003458EC"/>
    <w:rsid w:val="00347E55"/>
    <w:rsid w:val="00355520"/>
    <w:rsid w:val="00361F9D"/>
    <w:rsid w:val="00363ECD"/>
    <w:rsid w:val="0037358F"/>
    <w:rsid w:val="00376609"/>
    <w:rsid w:val="00377EF4"/>
    <w:rsid w:val="00380AF1"/>
    <w:rsid w:val="00386567"/>
    <w:rsid w:val="003A1B8B"/>
    <w:rsid w:val="003C27E9"/>
    <w:rsid w:val="003C31EC"/>
    <w:rsid w:val="003E090E"/>
    <w:rsid w:val="003E4EEA"/>
    <w:rsid w:val="003F2017"/>
    <w:rsid w:val="0040350E"/>
    <w:rsid w:val="00405AE6"/>
    <w:rsid w:val="00405D15"/>
    <w:rsid w:val="0043391D"/>
    <w:rsid w:val="00441FA0"/>
    <w:rsid w:val="00452D67"/>
    <w:rsid w:val="00467DF4"/>
    <w:rsid w:val="00473658"/>
    <w:rsid w:val="004872CF"/>
    <w:rsid w:val="00490225"/>
    <w:rsid w:val="00495645"/>
    <w:rsid w:val="00497CD5"/>
    <w:rsid w:val="004B1782"/>
    <w:rsid w:val="004C3F72"/>
    <w:rsid w:val="004D5A65"/>
    <w:rsid w:val="004F1866"/>
    <w:rsid w:val="004F423E"/>
    <w:rsid w:val="004F7734"/>
    <w:rsid w:val="004F7D94"/>
    <w:rsid w:val="005036E9"/>
    <w:rsid w:val="005129B3"/>
    <w:rsid w:val="0053455D"/>
    <w:rsid w:val="00535041"/>
    <w:rsid w:val="0054463F"/>
    <w:rsid w:val="0055488E"/>
    <w:rsid w:val="0055728F"/>
    <w:rsid w:val="00576DB0"/>
    <w:rsid w:val="0057707A"/>
    <w:rsid w:val="00583830"/>
    <w:rsid w:val="00587F19"/>
    <w:rsid w:val="005906C7"/>
    <w:rsid w:val="005A0FCD"/>
    <w:rsid w:val="005D1C67"/>
    <w:rsid w:val="005D3D67"/>
    <w:rsid w:val="005D41D0"/>
    <w:rsid w:val="005D5474"/>
    <w:rsid w:val="005E4351"/>
    <w:rsid w:val="00607038"/>
    <w:rsid w:val="0060754D"/>
    <w:rsid w:val="00610969"/>
    <w:rsid w:val="00611FA0"/>
    <w:rsid w:val="006151EF"/>
    <w:rsid w:val="0062482B"/>
    <w:rsid w:val="00627963"/>
    <w:rsid w:val="00627DA0"/>
    <w:rsid w:val="00637198"/>
    <w:rsid w:val="00655FD3"/>
    <w:rsid w:val="00660A18"/>
    <w:rsid w:val="006636B1"/>
    <w:rsid w:val="00664F2E"/>
    <w:rsid w:val="00671125"/>
    <w:rsid w:val="00671338"/>
    <w:rsid w:val="00680A28"/>
    <w:rsid w:val="006829F9"/>
    <w:rsid w:val="006839F8"/>
    <w:rsid w:val="0069630A"/>
    <w:rsid w:val="006B463A"/>
    <w:rsid w:val="006B4B04"/>
    <w:rsid w:val="006C3662"/>
    <w:rsid w:val="006C6048"/>
    <w:rsid w:val="006D06B8"/>
    <w:rsid w:val="006E0453"/>
    <w:rsid w:val="006E110C"/>
    <w:rsid w:val="006E2A11"/>
    <w:rsid w:val="006E4DF5"/>
    <w:rsid w:val="0070545C"/>
    <w:rsid w:val="007153B6"/>
    <w:rsid w:val="00720A93"/>
    <w:rsid w:val="00735745"/>
    <w:rsid w:val="00751DB6"/>
    <w:rsid w:val="00753E6E"/>
    <w:rsid w:val="0075668D"/>
    <w:rsid w:val="00760212"/>
    <w:rsid w:val="007660D1"/>
    <w:rsid w:val="00783B54"/>
    <w:rsid w:val="00793B7A"/>
    <w:rsid w:val="00796587"/>
    <w:rsid w:val="00797086"/>
    <w:rsid w:val="007A2417"/>
    <w:rsid w:val="007A31BD"/>
    <w:rsid w:val="007A364F"/>
    <w:rsid w:val="007A3B44"/>
    <w:rsid w:val="007A78E9"/>
    <w:rsid w:val="007C7F85"/>
    <w:rsid w:val="007D494B"/>
    <w:rsid w:val="007E0724"/>
    <w:rsid w:val="007E5A5C"/>
    <w:rsid w:val="00815040"/>
    <w:rsid w:val="0081505C"/>
    <w:rsid w:val="0083390A"/>
    <w:rsid w:val="0083553A"/>
    <w:rsid w:val="00847F0E"/>
    <w:rsid w:val="00847FB5"/>
    <w:rsid w:val="00851E2D"/>
    <w:rsid w:val="008542E9"/>
    <w:rsid w:val="00856F4F"/>
    <w:rsid w:val="00866B7D"/>
    <w:rsid w:val="00870235"/>
    <w:rsid w:val="008730F1"/>
    <w:rsid w:val="00890F79"/>
    <w:rsid w:val="008B7963"/>
    <w:rsid w:val="008C44A4"/>
    <w:rsid w:val="008D010B"/>
    <w:rsid w:val="008E071B"/>
    <w:rsid w:val="008E2AC0"/>
    <w:rsid w:val="008E42DD"/>
    <w:rsid w:val="00915B8B"/>
    <w:rsid w:val="00923CD3"/>
    <w:rsid w:val="00926627"/>
    <w:rsid w:val="00932E8E"/>
    <w:rsid w:val="00943752"/>
    <w:rsid w:val="00964DA7"/>
    <w:rsid w:val="009852DD"/>
    <w:rsid w:val="00987820"/>
    <w:rsid w:val="009939FC"/>
    <w:rsid w:val="0099766D"/>
    <w:rsid w:val="009A204F"/>
    <w:rsid w:val="009A4195"/>
    <w:rsid w:val="009B205F"/>
    <w:rsid w:val="009B20CA"/>
    <w:rsid w:val="009C5DF9"/>
    <w:rsid w:val="009E15EA"/>
    <w:rsid w:val="009F4431"/>
    <w:rsid w:val="009F4F92"/>
    <w:rsid w:val="009F5995"/>
    <w:rsid w:val="00A01D81"/>
    <w:rsid w:val="00A0412D"/>
    <w:rsid w:val="00A0791F"/>
    <w:rsid w:val="00A07CD6"/>
    <w:rsid w:val="00A130A7"/>
    <w:rsid w:val="00A2050A"/>
    <w:rsid w:val="00A20869"/>
    <w:rsid w:val="00A253DF"/>
    <w:rsid w:val="00A264C0"/>
    <w:rsid w:val="00A34DD4"/>
    <w:rsid w:val="00A74341"/>
    <w:rsid w:val="00A80FE8"/>
    <w:rsid w:val="00A85958"/>
    <w:rsid w:val="00A87711"/>
    <w:rsid w:val="00A9484A"/>
    <w:rsid w:val="00AA1962"/>
    <w:rsid w:val="00AB49AF"/>
    <w:rsid w:val="00AB73A9"/>
    <w:rsid w:val="00AC27AE"/>
    <w:rsid w:val="00AC6C30"/>
    <w:rsid w:val="00AD0DC0"/>
    <w:rsid w:val="00AE27F9"/>
    <w:rsid w:val="00AF374C"/>
    <w:rsid w:val="00AF4376"/>
    <w:rsid w:val="00AF50E1"/>
    <w:rsid w:val="00B04175"/>
    <w:rsid w:val="00B04852"/>
    <w:rsid w:val="00B10D7E"/>
    <w:rsid w:val="00B16F19"/>
    <w:rsid w:val="00B207ED"/>
    <w:rsid w:val="00B21DBF"/>
    <w:rsid w:val="00B23D22"/>
    <w:rsid w:val="00B32E95"/>
    <w:rsid w:val="00B42DC8"/>
    <w:rsid w:val="00B44632"/>
    <w:rsid w:val="00B44936"/>
    <w:rsid w:val="00B5020C"/>
    <w:rsid w:val="00B621EE"/>
    <w:rsid w:val="00B91A7E"/>
    <w:rsid w:val="00BA5C1A"/>
    <w:rsid w:val="00BA6E42"/>
    <w:rsid w:val="00BA7307"/>
    <w:rsid w:val="00BB09C8"/>
    <w:rsid w:val="00BB36AA"/>
    <w:rsid w:val="00BC00F6"/>
    <w:rsid w:val="00BD3C0E"/>
    <w:rsid w:val="00BD6A8F"/>
    <w:rsid w:val="00BE0868"/>
    <w:rsid w:val="00BE08DA"/>
    <w:rsid w:val="00BF1B40"/>
    <w:rsid w:val="00C02D21"/>
    <w:rsid w:val="00C034EE"/>
    <w:rsid w:val="00C05C5B"/>
    <w:rsid w:val="00C14A92"/>
    <w:rsid w:val="00C2173D"/>
    <w:rsid w:val="00C23181"/>
    <w:rsid w:val="00C2520D"/>
    <w:rsid w:val="00C364E2"/>
    <w:rsid w:val="00C3659B"/>
    <w:rsid w:val="00C36E76"/>
    <w:rsid w:val="00C50588"/>
    <w:rsid w:val="00C51BAB"/>
    <w:rsid w:val="00C52807"/>
    <w:rsid w:val="00C5335E"/>
    <w:rsid w:val="00C543AD"/>
    <w:rsid w:val="00C570C5"/>
    <w:rsid w:val="00C649D3"/>
    <w:rsid w:val="00C709D0"/>
    <w:rsid w:val="00C70DBB"/>
    <w:rsid w:val="00C72E77"/>
    <w:rsid w:val="00C74174"/>
    <w:rsid w:val="00C75E08"/>
    <w:rsid w:val="00C86E19"/>
    <w:rsid w:val="00C95396"/>
    <w:rsid w:val="00C96644"/>
    <w:rsid w:val="00CA2110"/>
    <w:rsid w:val="00CB4A8B"/>
    <w:rsid w:val="00CB7814"/>
    <w:rsid w:val="00CC7E60"/>
    <w:rsid w:val="00CD29C4"/>
    <w:rsid w:val="00CD678D"/>
    <w:rsid w:val="00CE2132"/>
    <w:rsid w:val="00D207A3"/>
    <w:rsid w:val="00D3772D"/>
    <w:rsid w:val="00D61003"/>
    <w:rsid w:val="00D647B9"/>
    <w:rsid w:val="00D6725E"/>
    <w:rsid w:val="00D71842"/>
    <w:rsid w:val="00D94FF2"/>
    <w:rsid w:val="00D97002"/>
    <w:rsid w:val="00DA06DC"/>
    <w:rsid w:val="00DA1C38"/>
    <w:rsid w:val="00DB49E6"/>
    <w:rsid w:val="00DC0947"/>
    <w:rsid w:val="00DE40AB"/>
    <w:rsid w:val="00DE429D"/>
    <w:rsid w:val="00DE6367"/>
    <w:rsid w:val="00DF34F9"/>
    <w:rsid w:val="00E02F73"/>
    <w:rsid w:val="00E03B27"/>
    <w:rsid w:val="00E0518F"/>
    <w:rsid w:val="00E139AB"/>
    <w:rsid w:val="00E16291"/>
    <w:rsid w:val="00E26750"/>
    <w:rsid w:val="00E42616"/>
    <w:rsid w:val="00E4276D"/>
    <w:rsid w:val="00E47D8C"/>
    <w:rsid w:val="00E57ACA"/>
    <w:rsid w:val="00E665C4"/>
    <w:rsid w:val="00E752D2"/>
    <w:rsid w:val="00E82C21"/>
    <w:rsid w:val="00EA12F1"/>
    <w:rsid w:val="00EA28D3"/>
    <w:rsid w:val="00EA5844"/>
    <w:rsid w:val="00EB7919"/>
    <w:rsid w:val="00EB7A24"/>
    <w:rsid w:val="00EC51FF"/>
    <w:rsid w:val="00ED201A"/>
    <w:rsid w:val="00EE1F28"/>
    <w:rsid w:val="00EE61A4"/>
    <w:rsid w:val="00EF26E4"/>
    <w:rsid w:val="00F02B48"/>
    <w:rsid w:val="00F05083"/>
    <w:rsid w:val="00F10A11"/>
    <w:rsid w:val="00F1778F"/>
    <w:rsid w:val="00F215F6"/>
    <w:rsid w:val="00F239D1"/>
    <w:rsid w:val="00F44164"/>
    <w:rsid w:val="00F45E9E"/>
    <w:rsid w:val="00F6551B"/>
    <w:rsid w:val="00F66668"/>
    <w:rsid w:val="00F700D9"/>
    <w:rsid w:val="00F76E60"/>
    <w:rsid w:val="00F77B81"/>
    <w:rsid w:val="00F90F65"/>
    <w:rsid w:val="00FA4282"/>
    <w:rsid w:val="00FB5BE2"/>
    <w:rsid w:val="00FD1F9C"/>
    <w:rsid w:val="00FD4161"/>
    <w:rsid w:val="00FE16E5"/>
    <w:rsid w:val="00FF19FC"/>
    <w:rsid w:val="00FF56B7"/>
    <w:rsid w:val="00FF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F3"/>
    <w:pPr>
      <w:bidi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">
    <w:name w:val="default"/>
    <w:basedOn w:val="a0"/>
    <w:rsid w:val="00F66668"/>
    <w:rPr>
      <w:rFonts w:ascii="Times New Roman" w:hAnsi="Times New Roman" w:cs="Times New Roman"/>
      <w:sz w:val="26"/>
      <w:szCs w:val="26"/>
    </w:rPr>
  </w:style>
  <w:style w:type="paragraph" w:customStyle="1" w:styleId="page">
    <w:name w:val="page"/>
    <w:rsid w:val="00F66668"/>
    <w:pPr>
      <w:widowControl w:val="0"/>
      <w:autoSpaceDE w:val="0"/>
      <w:autoSpaceDN w:val="0"/>
      <w:bidi/>
    </w:pPr>
    <w:rPr>
      <w:rFonts w:eastAsia="Times New Roman"/>
      <w:noProof/>
      <w:position w:val="4"/>
      <w:szCs w:val="22"/>
      <w:lang w:eastAsia="he-IL"/>
    </w:rPr>
  </w:style>
  <w:style w:type="character" w:styleId="Hyperlink">
    <w:name w:val="Hyperlink"/>
    <w:basedOn w:val="a0"/>
    <w:rsid w:val="0099766D"/>
    <w:rPr>
      <w:color w:val="0000FF"/>
      <w:u w:val="single"/>
    </w:rPr>
  </w:style>
  <w:style w:type="paragraph" w:customStyle="1" w:styleId="P00">
    <w:name w:val="P00"/>
    <w:rsid w:val="00B21DBF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eastAsia="Times New Roman"/>
      <w:noProof/>
      <w:szCs w:val="26"/>
      <w:lang w:eastAsia="he-IL"/>
    </w:rPr>
  </w:style>
  <w:style w:type="paragraph" w:customStyle="1" w:styleId="P22">
    <w:name w:val="P22"/>
    <w:basedOn w:val="P00"/>
    <w:rsid w:val="00B21DBF"/>
    <w:pPr>
      <w:tabs>
        <w:tab w:val="clear" w:pos="624"/>
        <w:tab w:val="clear" w:pos="1021"/>
      </w:tabs>
      <w:ind w:right="1021"/>
    </w:pPr>
  </w:style>
  <w:style w:type="paragraph" w:styleId="a3">
    <w:name w:val="header"/>
    <w:basedOn w:val="a"/>
    <w:rsid w:val="00C709D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709D0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735745"/>
    <w:rPr>
      <w:sz w:val="20"/>
      <w:szCs w:val="20"/>
    </w:rPr>
  </w:style>
  <w:style w:type="character" w:styleId="a6">
    <w:name w:val="footnote reference"/>
    <w:basedOn w:val="a0"/>
    <w:semiHidden/>
    <w:rsid w:val="00735745"/>
    <w:rPr>
      <w:vertAlign w:val="superscript"/>
    </w:rPr>
  </w:style>
  <w:style w:type="paragraph" w:customStyle="1" w:styleId="Ruller5">
    <w:name w:val="Ruller5"/>
    <w:basedOn w:val="a"/>
    <w:rsid w:val="00EA28D3"/>
    <w:pPr>
      <w:overflowPunct w:val="0"/>
      <w:autoSpaceDE w:val="0"/>
      <w:autoSpaceDN w:val="0"/>
      <w:adjustRightInd w:val="0"/>
      <w:ind w:left="1642" w:right="1282"/>
      <w:jc w:val="both"/>
      <w:textAlignment w:val="baseline"/>
    </w:pPr>
    <w:rPr>
      <w:rFonts w:ascii="Arial TUR" w:eastAsia="Times New Roman" w:hAnsi="Arial TUR" w:cs="FrankRuehl"/>
      <w:spacing w:val="10"/>
      <w:sz w:val="22"/>
      <w:szCs w:val="28"/>
      <w:lang w:eastAsia="en-US"/>
    </w:rPr>
  </w:style>
  <w:style w:type="paragraph" w:styleId="NormalWeb">
    <w:name w:val="Normal (Web)"/>
    <w:basedOn w:val="a"/>
    <w:uiPriority w:val="99"/>
    <w:unhideWhenUsed/>
    <w:rsid w:val="00B91A7E"/>
  </w:style>
  <w:style w:type="paragraph" w:styleId="a7">
    <w:name w:val="List Paragraph"/>
    <w:basedOn w:val="a"/>
    <w:uiPriority w:val="34"/>
    <w:qFormat/>
    <w:rsid w:val="001550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hl2.biu.ac.il/upload/141000/Media/&#1508;&#1505;&#1497;&#1511;&#1492;/&#1511;&#1493;&#1500;%20&#1492;&#1506;&#1501;%2053.pdf" TargetMode="External"/><Relationship Id="rId3" Type="http://schemas.openxmlformats.org/officeDocument/2006/relationships/hyperlink" Target="http://hl2.biu.ac.il/upload/141000/Media/&#1508;&#1505;&#1497;&#1511;&#1492;/&#1490;&#1493;&#1500;&#1503;%2094.doc" TargetMode="External"/><Relationship Id="rId7" Type="http://schemas.openxmlformats.org/officeDocument/2006/relationships/hyperlink" Target="http://hl2.biu.ac.il/upload/141000/Media/&#1508;&#1505;&#1497;&#1511;&#1492;/&#1495;&#1489;&#1512;&#1492;%20&#1511;&#1491;&#1497;&#1513;&#1488;%2091.doc" TargetMode="External"/><Relationship Id="rId12" Type="http://schemas.openxmlformats.org/officeDocument/2006/relationships/hyperlink" Target="http://hl2.biu.ac.il/upload/141000/Media/&#1508;&#1505;&#1497;&#1511;&#1492;/&#1500;&#1513;&#1499;&#1514;%20&#1502;&#1504;&#1492;&#1500;&#1497;%20&#1492;&#1513;&#1511;&#1506;&#1493;&#1514;%20&#1489;&#1497;&#1513;&#1512;&#1488;&#1500;%2097.doc" TargetMode="External"/><Relationship Id="rId2" Type="http://schemas.openxmlformats.org/officeDocument/2006/relationships/hyperlink" Target="http://hl2.biu.ac.il/upload/141000/Media/&#1508;&#1505;&#1497;&#1511;&#1492;/&#1491;&#1497;&#1497;&#1503;%2093.doc" TargetMode="External"/><Relationship Id="rId1" Type="http://schemas.openxmlformats.org/officeDocument/2006/relationships/hyperlink" Target="http://hl2.biu.ac.il/upload/141000/Media/&#1508;&#1505;&#1497;&#1511;&#1492;/&#1488;&#1500;&#1489;&#1492;%2095.doc" TargetMode="External"/><Relationship Id="rId6" Type="http://schemas.openxmlformats.org/officeDocument/2006/relationships/hyperlink" Target="http://hl2.biu.ac.il/upload/141000/Media/&#1508;&#1505;&#1497;&#1511;&#1492;/&#1511;&#1497;&#1491;&#1493;&#1501;%2093.doc" TargetMode="External"/><Relationship Id="rId11" Type="http://schemas.openxmlformats.org/officeDocument/2006/relationships/hyperlink" Target="http://hl2.biu.ac.il/upload/141000/Media/&#1502;&#1488;&#1502;&#1512;&#1497;&#1501;/&#1490;&#1491;&#1506;&#1493;&#1503;%20&#1505;&#1508;&#1497;&#1512;%20&#1497;&#1513;&#1503;%20&#1502;&#1493;&#1500;%20&#1495;&#1491;&#1513;.pdf" TargetMode="External"/><Relationship Id="rId5" Type="http://schemas.openxmlformats.org/officeDocument/2006/relationships/hyperlink" Target="http://hl2.biu.ac.il/upload/141000/Media/&#1502;&#1488;&#1502;&#1512;&#1497;&#1501;/&#1492;.&#1505;&#1493;&#1502;&#1512;%20&#1492;&#1494;&#1499;&#1493;&#1497;&#1493;&#1514;%20&#1492;&#1489;&#1500;&#1514;&#1497;%20-&#1502;&#1504;&#1493;&#1497;&#1493;&#1514;.pdf" TargetMode="External"/><Relationship Id="rId10" Type="http://schemas.openxmlformats.org/officeDocument/2006/relationships/hyperlink" Target="http://hl2.biu.ac.il/upload/141000/Media/&#1508;&#1505;&#1497;&#1511;&#1492;/&#1488;&#1489;&#1504;&#1512;&#1497;%2089.doc" TargetMode="External"/><Relationship Id="rId4" Type="http://schemas.openxmlformats.org/officeDocument/2006/relationships/hyperlink" Target="http://hl2.biu.ac.il/upload/141000/Media/&#1502;&#1488;&#1502;&#1512;&#1497;&#1501;/&#1491;&#1497;&#1497;&#1503;%20&#1488;&#1493;&#1512;&#1489;&#1498;%20&#1492;&#1502;&#1493;&#1491;&#1500;%20&#1492;&#1491;&#1502;&#1493;&#1511;&#1512;&#1496;&#1497;.pdf" TargetMode="External"/><Relationship Id="rId9" Type="http://schemas.openxmlformats.org/officeDocument/2006/relationships/hyperlink" Target="http://hl2.biu.ac.il/upload/141000/Media/&#1508;&#1505;&#1497;&#1511;&#1492;/&#1499;&#1492;&#1504;&#1488;%20399-85.do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1081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ד"ר גידי ספיר</vt:lpstr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ד"ר גידי ספיר</dc:title>
  <dc:creator>נועם שוורץ</dc:creator>
  <cp:lastModifiedBy>Segev</cp:lastModifiedBy>
  <cp:revision>28</cp:revision>
  <cp:lastPrinted>2008-11-15T19:47:00Z</cp:lastPrinted>
  <dcterms:created xsi:type="dcterms:W3CDTF">2012-01-03T16:56:00Z</dcterms:created>
  <dcterms:modified xsi:type="dcterms:W3CDTF">2012-01-16T00:18:00Z</dcterms:modified>
</cp:coreProperties>
</file>