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BC3" w:rsidRDefault="00F84BC3" w:rsidP="00F84BC3">
      <w:pPr>
        <w:spacing w:line="456" w:lineRule="auto"/>
        <w:jc w:val="center"/>
        <w:rPr>
          <w:rFonts w:cs="David"/>
          <w:u w:val="single"/>
          <w:rtl/>
        </w:rPr>
      </w:pPr>
    </w:p>
    <w:p w:rsidR="00F84BC3" w:rsidRDefault="00F84BC3" w:rsidP="00F84BC3">
      <w:pPr>
        <w:spacing w:line="456" w:lineRule="auto"/>
        <w:jc w:val="center"/>
        <w:rPr>
          <w:rFonts w:cs="David"/>
          <w:u w:val="single"/>
          <w:rtl/>
        </w:rPr>
      </w:pPr>
      <w:r>
        <w:rPr>
          <w:rFonts w:cs="David" w:hint="cs"/>
          <w:u w:val="single"/>
          <w:rtl/>
        </w:rPr>
        <w:t>דיני תאגידים</w:t>
      </w:r>
    </w:p>
    <w:p w:rsidR="00F84BC3" w:rsidRDefault="00F84BC3" w:rsidP="00F84BC3">
      <w:pPr>
        <w:spacing w:line="456" w:lineRule="auto"/>
        <w:jc w:val="center"/>
        <w:rPr>
          <w:rFonts w:cs="David"/>
          <w:u w:val="single"/>
          <w:rtl/>
        </w:rPr>
      </w:pPr>
    </w:p>
    <w:p w:rsidR="00F84BC3" w:rsidRDefault="00F84BC3" w:rsidP="00F84BC3">
      <w:pPr>
        <w:spacing w:line="456" w:lineRule="auto"/>
        <w:jc w:val="center"/>
        <w:rPr>
          <w:rFonts w:cs="David"/>
          <w:u w:val="single"/>
          <w:rtl/>
        </w:rPr>
      </w:pPr>
      <w:r>
        <w:rPr>
          <w:rFonts w:cs="David" w:hint="cs"/>
          <w:u w:val="single"/>
          <w:rtl/>
        </w:rPr>
        <w:t>עבודה ראשונה</w:t>
      </w:r>
    </w:p>
    <w:p w:rsidR="00F84BC3" w:rsidRDefault="00F84BC3" w:rsidP="00F84BC3">
      <w:pPr>
        <w:spacing w:line="456" w:lineRule="auto"/>
        <w:jc w:val="center"/>
        <w:rPr>
          <w:rFonts w:cs="David"/>
          <w:u w:val="single"/>
          <w:rtl/>
        </w:rPr>
      </w:pPr>
    </w:p>
    <w:p w:rsidR="00F84BC3" w:rsidRDefault="00F84BC3" w:rsidP="00F84BC3">
      <w:pPr>
        <w:spacing w:line="456" w:lineRule="auto"/>
        <w:jc w:val="center"/>
        <w:rPr>
          <w:rFonts w:cs="David"/>
          <w:u w:val="single"/>
          <w:rtl/>
        </w:rPr>
      </w:pPr>
      <w:r>
        <w:rPr>
          <w:rFonts w:cs="David"/>
          <w:u w:val="single"/>
        </w:rPr>
        <w:t>Adam Smith -</w:t>
      </w:r>
      <w:r w:rsidRPr="00F84BC3">
        <w:rPr>
          <w:rFonts w:cs="David"/>
          <w:u w:val="single"/>
        </w:rPr>
        <w:t xml:space="preserve"> </w:t>
      </w:r>
      <w:r w:rsidRPr="00F84BC3">
        <w:rPr>
          <w:i/>
          <w:iCs/>
          <w:u w:val="single"/>
        </w:rPr>
        <w:t>Wealth of Nations</w:t>
      </w:r>
    </w:p>
    <w:p w:rsidR="00F84BC3" w:rsidRDefault="00F84BC3" w:rsidP="00F84BC3">
      <w:pPr>
        <w:spacing w:line="456" w:lineRule="auto"/>
        <w:jc w:val="center"/>
        <w:rPr>
          <w:rFonts w:cs="David"/>
          <w:u w:val="single"/>
          <w:rtl/>
        </w:rPr>
      </w:pPr>
    </w:p>
    <w:p w:rsidR="00F84BC3" w:rsidRDefault="00F84BC3" w:rsidP="00F84BC3">
      <w:pPr>
        <w:spacing w:line="456" w:lineRule="auto"/>
        <w:jc w:val="center"/>
        <w:rPr>
          <w:rFonts w:cs="David"/>
          <w:u w:val="single"/>
          <w:rtl/>
        </w:rPr>
      </w:pPr>
      <w:r>
        <w:rPr>
          <w:rFonts w:cs="David" w:hint="cs"/>
          <w:u w:val="single"/>
          <w:rtl/>
        </w:rPr>
        <w:t>14.3.11</w:t>
      </w: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F84BC3" w:rsidRDefault="00F84BC3" w:rsidP="00CE7661">
      <w:pPr>
        <w:spacing w:line="456" w:lineRule="auto"/>
        <w:rPr>
          <w:rFonts w:cs="David"/>
          <w:u w:val="single"/>
          <w:rtl/>
        </w:rPr>
      </w:pPr>
    </w:p>
    <w:p w:rsidR="001E366B" w:rsidRPr="00903E7C" w:rsidRDefault="001E366B" w:rsidP="001E366B">
      <w:pPr>
        <w:jc w:val="center"/>
        <w:rPr>
          <w:b/>
          <w:bCs/>
          <w:u w:val="single"/>
          <w:rtl/>
        </w:rPr>
      </w:pPr>
      <w:r w:rsidRPr="00903E7C">
        <w:rPr>
          <w:rFonts w:hint="cs"/>
          <w:b/>
          <w:bCs/>
          <w:u w:val="single"/>
          <w:rtl/>
        </w:rPr>
        <w:t>דיני תאגידים תשע"א</w:t>
      </w:r>
    </w:p>
    <w:p w:rsidR="001E366B" w:rsidRDefault="001E366B" w:rsidP="001E366B">
      <w:pPr>
        <w:jc w:val="center"/>
        <w:rPr>
          <w:rtl/>
        </w:rPr>
      </w:pPr>
      <w:r w:rsidRPr="00903E7C">
        <w:rPr>
          <w:rFonts w:hint="cs"/>
          <w:b/>
          <w:bCs/>
          <w:u w:val="single"/>
          <w:rtl/>
        </w:rPr>
        <w:lastRenderedPageBreak/>
        <w:t>עבודה מס' 1</w:t>
      </w:r>
    </w:p>
    <w:p w:rsidR="001E366B" w:rsidRDefault="001E366B" w:rsidP="001E366B">
      <w:pPr>
        <w:rPr>
          <w:rtl/>
        </w:rPr>
      </w:pPr>
      <w:proofErr w:type="spellStart"/>
      <w:r>
        <w:rPr>
          <w:rFonts w:hint="cs"/>
          <w:rtl/>
        </w:rPr>
        <w:t>קיראו</w:t>
      </w:r>
      <w:proofErr w:type="spellEnd"/>
      <w:r>
        <w:rPr>
          <w:rFonts w:hint="cs"/>
          <w:rtl/>
        </w:rPr>
        <w:t xml:space="preserve"> את הקטע של </w:t>
      </w:r>
      <w:r>
        <w:t>Adam Smith</w:t>
      </w:r>
      <w:r>
        <w:rPr>
          <w:rFonts w:hint="cs"/>
          <w:rtl/>
        </w:rPr>
        <w:t xml:space="preserve"> שהפנייה אליו תמצאו ברשימת הקריאה תחת הכותרת "תורת הפירמה", </w:t>
      </w:r>
      <w:proofErr w:type="spellStart"/>
      <w:r>
        <w:rPr>
          <w:rFonts w:hint="cs"/>
          <w:rtl/>
        </w:rPr>
        <w:t>בעמ</w:t>
      </w:r>
      <w:proofErr w:type="spellEnd"/>
      <w:r>
        <w:rPr>
          <w:rFonts w:hint="cs"/>
          <w:rtl/>
        </w:rPr>
        <w:t xml:space="preserve">' 32-42 בקובץ שייפתח.  התייחסו בקצרה לכל אחת מן השאלות, ונסו להביא דוגמאות רלוונטיות מפסקי דין או מנגנונים בדיני התאגידים כדי להמחיש את טיעוניכם.  </w:t>
      </w:r>
    </w:p>
    <w:p w:rsidR="001E366B" w:rsidRDefault="001E366B" w:rsidP="001E366B">
      <w:pPr>
        <w:rPr>
          <w:rtl/>
        </w:rPr>
      </w:pPr>
      <w:r>
        <w:rPr>
          <w:rFonts w:hint="cs"/>
          <w:rtl/>
        </w:rPr>
        <w:t>אורך מקסימאלי לעבודה</w:t>
      </w:r>
      <w:r>
        <w:t>:</w:t>
      </w:r>
      <w:r>
        <w:rPr>
          <w:rFonts w:hint="cs"/>
          <w:rtl/>
        </w:rPr>
        <w:t xml:space="preserve"> 4 עמודים ברווח כפול.  הגשה: בשיעור ביום </w:t>
      </w:r>
    </w:p>
    <w:p w:rsidR="001E366B" w:rsidRDefault="001E366B" w:rsidP="001E366B">
      <w:pPr>
        <w:numPr>
          <w:ilvl w:val="0"/>
          <w:numId w:val="1"/>
        </w:numPr>
        <w:spacing w:before="120" w:line="312" w:lineRule="auto"/>
        <w:jc w:val="left"/>
        <w:rPr>
          <w:rtl/>
        </w:rPr>
      </w:pPr>
      <w:r>
        <w:rPr>
          <w:rFonts w:hint="cs"/>
          <w:rtl/>
        </w:rPr>
        <w:t>איזה קשר אתם רואים בין חלוקת העבודה שהוא מדבר עליה לבין התאגידים המסחריים המודרניים?  הדגימו כיצד דיני התאגידים תורמים לאפשרות לבצעה.</w:t>
      </w:r>
    </w:p>
    <w:p w:rsidR="001E366B" w:rsidRDefault="001E366B" w:rsidP="001E366B">
      <w:pPr>
        <w:numPr>
          <w:ilvl w:val="0"/>
          <w:numId w:val="1"/>
        </w:numPr>
        <w:spacing w:before="120" w:line="312" w:lineRule="auto"/>
        <w:jc w:val="left"/>
      </w:pPr>
      <w:r>
        <w:rPr>
          <w:rFonts w:hint="cs"/>
          <w:rtl/>
        </w:rPr>
        <w:t>עד כמה הטיעון שלו ביחס ליתרון ההתמקדות במטרה אחת רלוונטי לדיון שערכנו בדבר מיקודם של מנהלים בהשאת רווח כמטרה עיקרית (או יחידה) של התאגיד המסחרי?</w:t>
      </w:r>
    </w:p>
    <w:p w:rsidR="001E366B" w:rsidRDefault="001E366B" w:rsidP="001E366B">
      <w:pPr>
        <w:numPr>
          <w:ilvl w:val="0"/>
          <w:numId w:val="1"/>
        </w:numPr>
        <w:spacing w:before="120" w:line="312" w:lineRule="auto"/>
        <w:jc w:val="left"/>
      </w:pPr>
      <w:r>
        <w:rPr>
          <w:rFonts w:hint="cs"/>
          <w:rtl/>
        </w:rPr>
        <w:t>סמית מתאר תמונה עגומה עבור תאגידים מבוססי-מניות.  מדוע, אם כן, הן כל כך מצליחות?</w:t>
      </w:r>
    </w:p>
    <w:p w:rsidR="001E366B" w:rsidRDefault="001E366B" w:rsidP="001E366B">
      <w:pPr>
        <w:numPr>
          <w:ilvl w:val="0"/>
          <w:numId w:val="1"/>
        </w:numPr>
        <w:spacing w:before="120" w:line="312" w:lineRule="auto"/>
        <w:jc w:val="left"/>
        <w:rPr>
          <w:rtl/>
        </w:rPr>
      </w:pPr>
      <w:r>
        <w:rPr>
          <w:rFonts w:hint="cs"/>
          <w:rtl/>
        </w:rPr>
        <w:t>סמית מתאר את הבעייתיות של חשיבה וחינוך כאשר חלוקת העבודה מתממשת.  אם תאגידים מהווים כלי בעידוד חלוקת העבודה, ונהנים מהרווחים שהיא מייצרת, האם יש בכך להצדיק מס תאגידים מיוחד למימון מנגנוני החינוך הנדרשים?  מה צפויות להיות ההשפעות של הטלת מס שכזה?</w:t>
      </w:r>
    </w:p>
    <w:p w:rsidR="001E366B" w:rsidRPr="001E366B" w:rsidRDefault="001E366B">
      <w:pPr>
        <w:bidi w:val="0"/>
        <w:spacing w:line="240" w:lineRule="auto"/>
        <w:jc w:val="left"/>
        <w:rPr>
          <w:rFonts w:cs="David"/>
          <w:rtl/>
        </w:rPr>
      </w:pPr>
      <w:r w:rsidRPr="001E366B">
        <w:rPr>
          <w:rFonts w:cs="David"/>
          <w:rtl/>
        </w:rPr>
        <w:br w:type="page"/>
      </w:r>
    </w:p>
    <w:p w:rsidR="00CE1DFA" w:rsidRDefault="00462C7C" w:rsidP="00CE7661">
      <w:pPr>
        <w:spacing w:line="456" w:lineRule="auto"/>
        <w:rPr>
          <w:rFonts w:cs="David"/>
          <w:rtl/>
        </w:rPr>
      </w:pPr>
      <w:r w:rsidRPr="005A07F2">
        <w:rPr>
          <w:rFonts w:cs="David" w:hint="cs"/>
          <w:u w:val="single"/>
          <w:rtl/>
        </w:rPr>
        <w:lastRenderedPageBreak/>
        <w:t>שאלה 1</w:t>
      </w:r>
      <w:r w:rsidRPr="005A07F2">
        <w:rPr>
          <w:rFonts w:cs="David" w:hint="cs"/>
          <w:rtl/>
        </w:rPr>
        <w:t xml:space="preserve">: </w:t>
      </w:r>
      <w:r w:rsidR="000A7E3E" w:rsidRPr="005A07F2">
        <w:rPr>
          <w:rFonts w:cs="David" w:hint="cs"/>
          <w:rtl/>
        </w:rPr>
        <w:t xml:space="preserve">כפי שמוצג בדבריו של </w:t>
      </w:r>
      <w:r w:rsidR="000A7E3E" w:rsidRPr="005A07F2">
        <w:rPr>
          <w:rFonts w:cs="David"/>
        </w:rPr>
        <w:t>Adam Smith</w:t>
      </w:r>
      <w:r w:rsidR="000A7E3E" w:rsidRPr="005A07F2">
        <w:rPr>
          <w:rStyle w:val="a6"/>
          <w:rFonts w:cs="David"/>
          <w:rtl/>
        </w:rPr>
        <w:footnoteReference w:id="1"/>
      </w:r>
      <w:r w:rsidR="000A7E3E" w:rsidRPr="005A07F2">
        <w:rPr>
          <w:rFonts w:cs="David" w:hint="cs"/>
          <w:rtl/>
        </w:rPr>
        <w:t>, חלוקת עבודה והתמק</w:t>
      </w:r>
      <w:r w:rsidR="00E50DB1" w:rsidRPr="005A07F2">
        <w:rPr>
          <w:rFonts w:cs="David" w:hint="cs"/>
          <w:rtl/>
        </w:rPr>
        <w:t>צעות מובילים לתוצרים רבים יותר: המיומנות בכל שלב בתהליך הייצור עולה</w:t>
      </w:r>
      <w:r w:rsidR="00861239" w:rsidRPr="005A07F2">
        <w:rPr>
          <w:rFonts w:cs="David" w:hint="cs"/>
          <w:rtl/>
        </w:rPr>
        <w:t>, הזמן שבעבר בוזבז על מעבר ממתודה אחת</w:t>
      </w:r>
      <w:r w:rsidR="00962CE3" w:rsidRPr="005A07F2">
        <w:rPr>
          <w:rFonts w:cs="David" w:hint="cs"/>
          <w:rtl/>
        </w:rPr>
        <w:t xml:space="preserve"> לאחרת נחסך </w:t>
      </w:r>
      <w:r w:rsidR="00861239" w:rsidRPr="005A07F2">
        <w:rPr>
          <w:rFonts w:cs="David" w:hint="cs"/>
          <w:rtl/>
        </w:rPr>
        <w:t xml:space="preserve">וכן ניתן לפתח מכונות שיבצעו תהליכים / תת תהליכים פשוטים. </w:t>
      </w:r>
      <w:r w:rsidR="00834280" w:rsidRPr="005A07F2">
        <w:rPr>
          <w:rFonts w:cs="David" w:hint="cs"/>
          <w:rtl/>
        </w:rPr>
        <w:t xml:space="preserve">התמקצעות אם כן, היא שלב קריטי בביסוס כלכלה שמאפשרת התפתחויות טכנולוגיות וייצור מאסיבי. </w:t>
      </w:r>
      <w:r w:rsidR="00861239" w:rsidRPr="005A07F2">
        <w:rPr>
          <w:rFonts w:cs="David" w:hint="cs"/>
          <w:rtl/>
        </w:rPr>
        <w:t xml:space="preserve">על פניו, הקשר בין השלבים השונים בתהליך </w:t>
      </w:r>
      <w:r w:rsidR="00D13DD0" w:rsidRPr="005A07F2">
        <w:rPr>
          <w:rFonts w:cs="David" w:hint="cs"/>
          <w:rtl/>
        </w:rPr>
        <w:t xml:space="preserve">הייצור </w:t>
      </w:r>
      <w:r w:rsidR="00861239" w:rsidRPr="005A07F2">
        <w:rPr>
          <w:rFonts w:cs="David" w:hint="cs"/>
          <w:rtl/>
        </w:rPr>
        <w:t>יכול היה להתבצע על בסיס מנגנון של מחיר השוק (</w:t>
      </w:r>
      <w:r w:rsidR="00861239" w:rsidRPr="005A07F2">
        <w:rPr>
          <w:rFonts w:cs="David"/>
        </w:rPr>
        <w:t>Price Mechanism</w:t>
      </w:r>
      <w:r w:rsidR="00861239" w:rsidRPr="005A07F2">
        <w:rPr>
          <w:rFonts w:cs="David" w:hint="cs"/>
          <w:rtl/>
        </w:rPr>
        <w:t xml:space="preserve">). בכל שלב בתהליך קיים יצרן "מקצוען" שירכוש את התוצרים של השלב הקודם במחיר השוק וימכור אותם לשלב הבא שוב לפי מחיר השוק של התוצר המעובד. </w:t>
      </w:r>
      <w:r w:rsidR="0093322B" w:rsidRPr="005A07F2">
        <w:rPr>
          <w:rFonts w:cs="David" w:hint="cs"/>
          <w:rtl/>
        </w:rPr>
        <w:t xml:space="preserve">במצב זה, אין צורך </w:t>
      </w:r>
      <w:r w:rsidR="00D13DD0" w:rsidRPr="005A07F2">
        <w:rPr>
          <w:rFonts w:cs="David" w:hint="cs"/>
          <w:rtl/>
        </w:rPr>
        <w:t>בגורם מתאם</w:t>
      </w:r>
      <w:r w:rsidR="0093322B" w:rsidRPr="005A07F2">
        <w:rPr>
          <w:rFonts w:cs="David" w:hint="cs"/>
          <w:rtl/>
        </w:rPr>
        <w:t xml:space="preserve"> שכן כל יצרן מתנהל באופן עצמאי באמצעות התקשרויות חוזיות עם יתר השוק. </w:t>
      </w:r>
      <w:r w:rsidR="008777AA" w:rsidRPr="005A07F2">
        <w:rPr>
          <w:rFonts w:cs="David" w:hint="cs"/>
          <w:rtl/>
        </w:rPr>
        <w:t xml:space="preserve">מנגד, עומד מנגנון החברה, שבו קיים שיקול דעת מרכזי </w:t>
      </w:r>
      <w:r w:rsidR="008D1919" w:rsidRPr="005A07F2">
        <w:rPr>
          <w:rFonts w:cs="David" w:hint="cs"/>
          <w:rtl/>
        </w:rPr>
        <w:t>של יזם / מנהל</w:t>
      </w:r>
      <w:r w:rsidR="008B57F7" w:rsidRPr="005A07F2">
        <w:rPr>
          <w:rFonts w:cs="David" w:hint="cs"/>
          <w:rtl/>
        </w:rPr>
        <w:t xml:space="preserve"> </w:t>
      </w:r>
      <w:r w:rsidR="008777AA" w:rsidRPr="005A07F2">
        <w:rPr>
          <w:rFonts w:cs="David" w:hint="cs"/>
          <w:rtl/>
        </w:rPr>
        <w:t xml:space="preserve">שמכווין ומתאם בין שלבים שונים של תהליך הייצור. הטענה היא, שלמנגנון מחיר השוק </w:t>
      </w:r>
      <w:r w:rsidR="0032474A" w:rsidRPr="005A07F2">
        <w:rPr>
          <w:rFonts w:cs="David" w:hint="cs"/>
          <w:rtl/>
        </w:rPr>
        <w:t>חסרונות רבים</w:t>
      </w:r>
      <w:r w:rsidR="008777AA" w:rsidRPr="005A07F2">
        <w:rPr>
          <w:rFonts w:cs="David" w:hint="cs"/>
          <w:rtl/>
        </w:rPr>
        <w:t xml:space="preserve"> ועל כן בכל כלכלה מודרנית, שבה קיימת התמקצעות </w:t>
      </w:r>
      <w:r w:rsidR="00127F43" w:rsidRPr="005A07F2">
        <w:rPr>
          <w:rFonts w:cs="David" w:hint="cs"/>
          <w:rtl/>
        </w:rPr>
        <w:t>יתפתחו</w:t>
      </w:r>
      <w:r w:rsidR="008777AA" w:rsidRPr="005A07F2">
        <w:rPr>
          <w:rFonts w:cs="David" w:hint="cs"/>
          <w:rtl/>
        </w:rPr>
        <w:t xml:space="preserve"> חברות</w:t>
      </w:r>
      <w:r w:rsidR="0032474A" w:rsidRPr="005A07F2">
        <w:rPr>
          <w:rFonts w:cs="David" w:hint="cs"/>
          <w:rtl/>
        </w:rPr>
        <w:t>: ראשית</w:t>
      </w:r>
      <w:r w:rsidR="00962CE3" w:rsidRPr="005A07F2">
        <w:rPr>
          <w:rFonts w:cs="David" w:hint="cs"/>
          <w:rtl/>
        </w:rPr>
        <w:t>,</w:t>
      </w:r>
      <w:r w:rsidR="00D13DD0" w:rsidRPr="005A07F2">
        <w:rPr>
          <w:rFonts w:cs="David" w:hint="cs"/>
          <w:rtl/>
        </w:rPr>
        <w:t xml:space="preserve"> </w:t>
      </w:r>
      <w:r w:rsidR="00962CE3" w:rsidRPr="005A07F2">
        <w:rPr>
          <w:rFonts w:cs="David" w:hint="cs"/>
          <w:rtl/>
        </w:rPr>
        <w:t>במנגנון מחיר שוק</w:t>
      </w:r>
      <w:r w:rsidR="008777AA" w:rsidRPr="005A07F2">
        <w:rPr>
          <w:rFonts w:cs="David" w:hint="cs"/>
          <w:rtl/>
        </w:rPr>
        <w:t xml:space="preserve"> </w:t>
      </w:r>
      <w:r w:rsidR="00D13DD0" w:rsidRPr="005A07F2">
        <w:rPr>
          <w:rFonts w:cs="David" w:hint="cs"/>
          <w:rtl/>
        </w:rPr>
        <w:t>על כל יצרן להשקיע זמן ומשאבים באיתור המחיר האופטימאלי שבו ירכ</w:t>
      </w:r>
      <w:r w:rsidR="008B57F7" w:rsidRPr="005A07F2">
        <w:rPr>
          <w:rFonts w:cs="David" w:hint="cs"/>
          <w:rtl/>
        </w:rPr>
        <w:t>ו</w:t>
      </w:r>
      <w:r w:rsidR="00D13DD0" w:rsidRPr="005A07F2">
        <w:rPr>
          <w:rFonts w:cs="David" w:hint="cs"/>
          <w:rtl/>
        </w:rPr>
        <w:t xml:space="preserve">ש </w:t>
      </w:r>
      <w:r w:rsidR="008B57F7" w:rsidRPr="005A07F2">
        <w:rPr>
          <w:rFonts w:cs="David" w:hint="cs"/>
          <w:rtl/>
        </w:rPr>
        <w:t xml:space="preserve">את </w:t>
      </w:r>
      <w:r w:rsidR="00D13DD0" w:rsidRPr="005A07F2">
        <w:rPr>
          <w:rFonts w:cs="David" w:hint="cs"/>
          <w:rtl/>
        </w:rPr>
        <w:t>התוצר של השלב הקודם וכן המחיר האופטימאלי למכירה של התוצר המעובד שלו, באמצעות סקרי שוק מקיפים. שנית, קיים מחיר משמעותי</w:t>
      </w:r>
      <w:r w:rsidR="00CE7661">
        <w:rPr>
          <w:rFonts w:cs="David" w:hint="cs"/>
          <w:rtl/>
        </w:rPr>
        <w:t xml:space="preserve"> (תשומות עסקה)</w:t>
      </w:r>
      <w:r w:rsidR="00D13DD0" w:rsidRPr="005A07F2">
        <w:rPr>
          <w:rFonts w:cs="David" w:hint="cs"/>
          <w:rtl/>
        </w:rPr>
        <w:t xml:space="preserve"> ביצירת חוזים לכל התקשרות עם הצדדים השונים בתהליך הייצור. כל אחד מהחוזים הוא אינדיבידואלי, לטרנזקציה בודדת או לטווח קצר (עקב השינויים בשוק). </w:t>
      </w:r>
      <w:r w:rsidR="008777AA" w:rsidRPr="005A07F2">
        <w:rPr>
          <w:rFonts w:cs="David" w:hint="cs"/>
          <w:rtl/>
        </w:rPr>
        <w:t xml:space="preserve">אכן, גם תהליך הייצור בחברה נשלט באמצעות חוזים, </w:t>
      </w:r>
      <w:r w:rsidR="008D1919" w:rsidRPr="005A07F2">
        <w:rPr>
          <w:rFonts w:cs="David" w:hint="cs"/>
          <w:rtl/>
        </w:rPr>
        <w:t>אך בניגוד לחוזים אד-</w:t>
      </w:r>
      <w:proofErr w:type="spellStart"/>
      <w:r w:rsidR="008D1919" w:rsidRPr="005A07F2">
        <w:rPr>
          <w:rFonts w:cs="David" w:hint="cs"/>
          <w:rtl/>
        </w:rPr>
        <w:t>הוק</w:t>
      </w:r>
      <w:proofErr w:type="spellEnd"/>
      <w:r w:rsidR="008D1919" w:rsidRPr="005A07F2">
        <w:rPr>
          <w:rFonts w:cs="David" w:hint="cs"/>
          <w:rtl/>
        </w:rPr>
        <w:t xml:space="preserve"> במנגנון מחיר השוק, </w:t>
      </w:r>
      <w:r w:rsidR="00962CE3" w:rsidRPr="005A07F2">
        <w:rPr>
          <w:rFonts w:cs="David" w:hint="cs"/>
          <w:rtl/>
        </w:rPr>
        <w:t>במודל החברה</w:t>
      </w:r>
      <w:r w:rsidR="008D1919" w:rsidRPr="005A07F2">
        <w:rPr>
          <w:rFonts w:cs="David" w:hint="cs"/>
          <w:rtl/>
        </w:rPr>
        <w:t xml:space="preserve"> </w:t>
      </w:r>
      <w:r w:rsidR="00962CE3" w:rsidRPr="005A07F2">
        <w:rPr>
          <w:rFonts w:cs="David" w:hint="cs"/>
          <w:rtl/>
        </w:rPr>
        <w:t>ה</w:t>
      </w:r>
      <w:r w:rsidR="008D1919" w:rsidRPr="005A07F2">
        <w:rPr>
          <w:rFonts w:cs="David" w:hint="cs"/>
          <w:rtl/>
        </w:rPr>
        <w:t>חוזים מגדירים את גבולות לסמכות של היזם / מנהל מול שלבי הייצור השונים ולכן הם מאפשרים דינאמיות, ללא צורך בעריכתם מחדש</w:t>
      </w:r>
      <w:r w:rsidR="008564F8" w:rsidRPr="005A07F2">
        <w:rPr>
          <w:rStyle w:val="a6"/>
          <w:rFonts w:cs="David"/>
          <w:rtl/>
        </w:rPr>
        <w:footnoteReference w:id="2"/>
      </w:r>
      <w:r w:rsidR="008D1919" w:rsidRPr="005A07F2">
        <w:rPr>
          <w:rFonts w:cs="David" w:hint="cs"/>
          <w:rtl/>
        </w:rPr>
        <w:t xml:space="preserve">. </w:t>
      </w:r>
      <w:r w:rsidR="008B57F7" w:rsidRPr="005A07F2">
        <w:rPr>
          <w:rFonts w:cs="David" w:hint="cs"/>
          <w:rtl/>
        </w:rPr>
        <w:t xml:space="preserve">ניתן לסכם סיבות אלו בטענתו של </w:t>
      </w:r>
      <w:proofErr w:type="spellStart"/>
      <w:r w:rsidR="008B57F7" w:rsidRPr="005A07F2">
        <w:rPr>
          <w:rFonts w:cs="David"/>
        </w:rPr>
        <w:t>Mauric</w:t>
      </w:r>
      <w:proofErr w:type="spellEnd"/>
      <w:r w:rsidR="008B57F7" w:rsidRPr="005A07F2">
        <w:rPr>
          <w:rFonts w:cs="David"/>
        </w:rPr>
        <w:t xml:space="preserve"> Dobb</w:t>
      </w:r>
      <w:r w:rsidR="008B57F7" w:rsidRPr="005A07F2">
        <w:rPr>
          <w:rFonts w:cs="David" w:hint="cs"/>
          <w:rtl/>
        </w:rPr>
        <w:t xml:space="preserve"> - מורכבות בתהליך הייצור וחלוקת העבודה</w:t>
      </w:r>
      <w:r w:rsidR="00260963" w:rsidRPr="005A07F2">
        <w:rPr>
          <w:rFonts w:cs="David" w:hint="cs"/>
          <w:rtl/>
        </w:rPr>
        <w:t xml:space="preserve"> </w:t>
      </w:r>
      <w:r w:rsidR="00127F43" w:rsidRPr="005A07F2">
        <w:rPr>
          <w:rFonts w:cs="David" w:hint="cs"/>
          <w:rtl/>
        </w:rPr>
        <w:t xml:space="preserve">יוצרת צורך בארגון, </w:t>
      </w:r>
      <w:r w:rsidR="00962CE3" w:rsidRPr="005A07F2">
        <w:rPr>
          <w:rFonts w:cs="David" w:hint="cs"/>
          <w:rtl/>
        </w:rPr>
        <w:t xml:space="preserve">אינטגרציה </w:t>
      </w:r>
      <w:r w:rsidR="00127F43" w:rsidRPr="005A07F2">
        <w:rPr>
          <w:rFonts w:cs="David" w:hint="cs"/>
          <w:rtl/>
        </w:rPr>
        <w:t xml:space="preserve">וחיסכון בעלויות עסקה </w:t>
      </w:r>
      <w:r w:rsidR="00962CE3" w:rsidRPr="005A07F2">
        <w:rPr>
          <w:rFonts w:cs="David" w:hint="cs"/>
          <w:rtl/>
        </w:rPr>
        <w:t>שבאים</w:t>
      </w:r>
      <w:r w:rsidR="00260963" w:rsidRPr="005A07F2">
        <w:rPr>
          <w:rFonts w:cs="David" w:hint="cs"/>
          <w:rtl/>
        </w:rPr>
        <w:t xml:space="preserve"> לידי ביטוי ביצירת חברות</w:t>
      </w:r>
      <w:r w:rsidR="00CE7661" w:rsidRPr="005A07F2">
        <w:rPr>
          <w:rStyle w:val="a6"/>
          <w:rFonts w:cs="David"/>
        </w:rPr>
        <w:footnoteReference w:id="3"/>
      </w:r>
      <w:r w:rsidR="00260963" w:rsidRPr="005A07F2">
        <w:rPr>
          <w:rFonts w:cs="David" w:hint="cs"/>
          <w:rtl/>
        </w:rPr>
        <w:t>.</w:t>
      </w:r>
      <w:r w:rsidR="002F0836" w:rsidRPr="005A07F2">
        <w:rPr>
          <w:rFonts w:cs="David" w:hint="cs"/>
          <w:rtl/>
        </w:rPr>
        <w:t xml:space="preserve"> </w:t>
      </w:r>
      <w:r w:rsidR="00CE7661">
        <w:rPr>
          <w:rFonts w:cs="David" w:hint="cs"/>
          <w:rtl/>
        </w:rPr>
        <w:t>מנגד יטען</w:t>
      </w:r>
      <w:r w:rsidR="00962CE3" w:rsidRPr="005A07F2">
        <w:rPr>
          <w:rFonts w:cs="David" w:hint="cs"/>
          <w:rtl/>
        </w:rPr>
        <w:t>,</w:t>
      </w:r>
      <w:r w:rsidR="00260963" w:rsidRPr="005A07F2">
        <w:rPr>
          <w:rFonts w:cs="David" w:hint="cs"/>
          <w:rtl/>
        </w:rPr>
        <w:t xml:space="preserve"> כי מנגנון מחיר השוק מהווה בעצמו את הארגון והאינטגרציה הנחוצים ואין ראיות המוכיחות כי מחיר שוק לא מסוגל לייצר את האינטגרציה הנדרשת ביעילות מספקת</w:t>
      </w:r>
      <w:r w:rsidR="00260963" w:rsidRPr="005A07F2">
        <w:rPr>
          <w:rStyle w:val="a6"/>
          <w:rFonts w:cs="David"/>
          <w:rtl/>
        </w:rPr>
        <w:footnoteReference w:id="4"/>
      </w:r>
      <w:r w:rsidR="00260963" w:rsidRPr="005A07F2">
        <w:rPr>
          <w:rFonts w:cs="David" w:hint="cs"/>
          <w:rtl/>
        </w:rPr>
        <w:t xml:space="preserve">. התשובה המרכזית לטענה זו ניתנת על ידי </w:t>
      </w:r>
      <w:r w:rsidR="00260963" w:rsidRPr="005A07F2">
        <w:rPr>
          <w:rFonts w:cs="David"/>
        </w:rPr>
        <w:t>Knight</w:t>
      </w:r>
      <w:r w:rsidR="00260963" w:rsidRPr="005A07F2">
        <w:rPr>
          <w:rFonts w:cs="David" w:hint="cs"/>
          <w:rtl/>
        </w:rPr>
        <w:t xml:space="preserve"> </w:t>
      </w:r>
      <w:r w:rsidR="00A82139" w:rsidRPr="005A07F2">
        <w:rPr>
          <w:rFonts w:cs="David" w:hint="cs"/>
          <w:rtl/>
        </w:rPr>
        <w:t>-</w:t>
      </w:r>
      <w:r w:rsidR="00260963" w:rsidRPr="005A07F2">
        <w:rPr>
          <w:rFonts w:cs="David" w:hint="cs"/>
          <w:rtl/>
        </w:rPr>
        <w:t xml:space="preserve"> </w:t>
      </w:r>
      <w:r w:rsidR="00A82139" w:rsidRPr="005A07F2">
        <w:rPr>
          <w:rFonts w:cs="David" w:hint="cs"/>
          <w:rtl/>
        </w:rPr>
        <w:t xml:space="preserve">בשוק קיימת אי וודאות, שהיא תוצאה של יצרנים רבים, צרכנים רבים, מורכבות של תהליך הייצור וגורמים חיצוניים משפיעים. </w:t>
      </w:r>
      <w:r w:rsidR="00CE1DFA" w:rsidRPr="005A07F2">
        <w:rPr>
          <w:rFonts w:cs="David" w:hint="cs"/>
          <w:rtl/>
        </w:rPr>
        <w:t xml:space="preserve">חוסר הוודאות, </w:t>
      </w:r>
      <w:r w:rsidR="00F63300" w:rsidRPr="005A07F2">
        <w:rPr>
          <w:rFonts w:cs="David" w:hint="cs"/>
          <w:rtl/>
        </w:rPr>
        <w:t>שהוא כאמור תוצאה של מורכבות השו</w:t>
      </w:r>
      <w:r w:rsidR="00CE1DFA" w:rsidRPr="005A07F2">
        <w:rPr>
          <w:rFonts w:cs="David" w:hint="cs"/>
          <w:rtl/>
        </w:rPr>
        <w:t>ק, שהיא תוצאה של חלוקת העבודה,</w:t>
      </w:r>
      <w:r w:rsidR="00F63300" w:rsidRPr="005A07F2">
        <w:rPr>
          <w:rFonts w:cs="David" w:hint="cs"/>
          <w:rtl/>
        </w:rPr>
        <w:t xml:space="preserve"> </w:t>
      </w:r>
      <w:r w:rsidR="0028663A" w:rsidRPr="005A07F2">
        <w:rPr>
          <w:rFonts w:cs="David" w:hint="cs"/>
          <w:rtl/>
        </w:rPr>
        <w:t xml:space="preserve">לא מאפשר לכל יצרן לקחת חלק בשוק מטעמים של אי </w:t>
      </w:r>
      <w:r w:rsidR="0028663A" w:rsidRPr="005A07F2">
        <w:rPr>
          <w:rFonts w:cs="David" w:hint="cs"/>
          <w:rtl/>
        </w:rPr>
        <w:lastRenderedPageBreak/>
        <w:t xml:space="preserve">יכולת </w:t>
      </w:r>
      <w:r w:rsidR="00CE1DFA" w:rsidRPr="005A07F2">
        <w:rPr>
          <w:rFonts w:cs="David" w:hint="cs"/>
          <w:rtl/>
        </w:rPr>
        <w:t>אינטלקטואלית וכלכלית להעריך את השוק</w:t>
      </w:r>
      <w:r w:rsidR="0028663A" w:rsidRPr="005A07F2">
        <w:rPr>
          <w:rFonts w:cs="David" w:hint="cs"/>
          <w:rtl/>
        </w:rPr>
        <w:t xml:space="preserve"> </w:t>
      </w:r>
      <w:r w:rsidR="00CE1DFA" w:rsidRPr="005A07F2">
        <w:rPr>
          <w:rFonts w:cs="David" w:hint="cs"/>
          <w:rtl/>
        </w:rPr>
        <w:t>ו</w:t>
      </w:r>
      <w:r w:rsidR="0028663A" w:rsidRPr="005A07F2">
        <w:rPr>
          <w:rFonts w:cs="David" w:hint="cs"/>
          <w:rtl/>
        </w:rPr>
        <w:t>לעמוד בסיכון</w:t>
      </w:r>
      <w:r w:rsidR="00CE7661" w:rsidRPr="005A07F2">
        <w:rPr>
          <w:rStyle w:val="a6"/>
          <w:rFonts w:cs="David"/>
          <w:rtl/>
        </w:rPr>
        <w:footnoteReference w:id="5"/>
      </w:r>
      <w:r w:rsidR="0028663A" w:rsidRPr="005A07F2">
        <w:rPr>
          <w:rFonts w:cs="David" w:hint="cs"/>
          <w:rtl/>
        </w:rPr>
        <w:t xml:space="preserve">. התוצאה היא </w:t>
      </w:r>
      <w:r w:rsidR="00E03CAE" w:rsidRPr="005A07F2">
        <w:rPr>
          <w:rFonts w:cs="David" w:hint="cs"/>
          <w:rtl/>
        </w:rPr>
        <w:t>התהוות</w:t>
      </w:r>
      <w:r w:rsidR="0028663A" w:rsidRPr="005A07F2">
        <w:rPr>
          <w:rFonts w:cs="David" w:hint="cs"/>
          <w:rtl/>
        </w:rPr>
        <w:t xml:space="preserve"> החברה, שהיא מערכת שבה יחידים עוסקים בתהליך ייצור משותף, בחלוקת עבודה פנימ</w:t>
      </w:r>
      <w:r w:rsidR="00E03CAE" w:rsidRPr="005A07F2">
        <w:rPr>
          <w:rFonts w:cs="David" w:hint="cs"/>
          <w:rtl/>
        </w:rPr>
        <w:t>ית</w:t>
      </w:r>
      <w:r w:rsidR="00CE1DFA" w:rsidRPr="005A07F2">
        <w:rPr>
          <w:rFonts w:cs="David" w:hint="cs"/>
          <w:rtl/>
        </w:rPr>
        <w:t xml:space="preserve"> באמצעות חוזים כללים</w:t>
      </w:r>
      <w:r w:rsidR="00E03CAE" w:rsidRPr="005A07F2">
        <w:rPr>
          <w:rFonts w:cs="David" w:hint="cs"/>
          <w:rtl/>
        </w:rPr>
        <w:t>, כאשר חלקם משמשים כ"מבטחים" - בעלי ההון (היזמים) ושיקול הדעת (המנהלים)</w:t>
      </w:r>
      <w:r w:rsidR="0028663A" w:rsidRPr="005A07F2">
        <w:rPr>
          <w:rFonts w:cs="David" w:hint="cs"/>
          <w:rtl/>
        </w:rPr>
        <w:t xml:space="preserve"> וחלקם מספקים עבודה. </w:t>
      </w:r>
      <w:r w:rsidR="00BF09B0" w:rsidRPr="005A07F2">
        <w:rPr>
          <w:rFonts w:cs="David" w:hint="cs"/>
          <w:rtl/>
        </w:rPr>
        <w:t xml:space="preserve">המעבר ליחידות כלכליות גדולות, המכילות מספר רב של יצרנים האחראים לשלבים שונים, מחייב מענה משפטי. </w:t>
      </w:r>
      <w:r w:rsidR="001F2ADD" w:rsidRPr="005A07F2">
        <w:rPr>
          <w:rFonts w:cs="David" w:hint="cs"/>
          <w:rtl/>
        </w:rPr>
        <w:t xml:space="preserve">דיני </w:t>
      </w:r>
      <w:r w:rsidR="00CE1DFA" w:rsidRPr="005A07F2">
        <w:rPr>
          <w:rFonts w:cs="David" w:hint="cs"/>
          <w:rtl/>
        </w:rPr>
        <w:t>התאגידים יוצרים את המסגרת החוקית</w:t>
      </w:r>
      <w:r w:rsidR="001F2ADD" w:rsidRPr="005A07F2">
        <w:rPr>
          <w:rFonts w:cs="David" w:hint="cs"/>
          <w:rtl/>
        </w:rPr>
        <w:t xml:space="preserve"> שבה החברה מתקיימת ומסדירים את היחסים בין האורגנים השונים </w:t>
      </w:r>
      <w:r w:rsidR="002F6813" w:rsidRPr="005A07F2">
        <w:rPr>
          <w:rFonts w:cs="David" w:hint="cs"/>
          <w:rtl/>
        </w:rPr>
        <w:t>בה</w:t>
      </w:r>
      <w:r w:rsidR="001F2ADD" w:rsidRPr="005A07F2">
        <w:rPr>
          <w:rFonts w:cs="David" w:hint="cs"/>
          <w:rtl/>
        </w:rPr>
        <w:t xml:space="preserve">. </w:t>
      </w:r>
      <w:r w:rsidR="00754569" w:rsidRPr="005A07F2">
        <w:rPr>
          <w:rFonts w:cs="David" w:hint="cs"/>
          <w:rtl/>
        </w:rPr>
        <w:t xml:space="preserve">לדוגמא: </w:t>
      </w:r>
      <w:r w:rsidR="00382C55" w:rsidRPr="005A07F2">
        <w:rPr>
          <w:rFonts w:cs="David" w:hint="cs"/>
          <w:rtl/>
        </w:rPr>
        <w:t>תקנון החברה</w:t>
      </w:r>
      <w:r w:rsidR="00E37B39" w:rsidRPr="005A07F2">
        <w:rPr>
          <w:rStyle w:val="a6"/>
          <w:rFonts w:cs="David"/>
          <w:rtl/>
        </w:rPr>
        <w:footnoteReference w:id="6"/>
      </w:r>
      <w:r w:rsidR="00382C55" w:rsidRPr="005A07F2">
        <w:rPr>
          <w:rFonts w:cs="David" w:hint="cs"/>
          <w:rtl/>
        </w:rPr>
        <w:t>, המהווה חוזה</w:t>
      </w:r>
      <w:r w:rsidR="00FD1BD2" w:rsidRPr="005A07F2">
        <w:rPr>
          <w:rFonts w:cs="David" w:hint="cs"/>
          <w:rtl/>
        </w:rPr>
        <w:t xml:space="preserve"> המגדיר את מערכת היחסים </w:t>
      </w:r>
      <w:r w:rsidR="00382C55" w:rsidRPr="005A07F2">
        <w:rPr>
          <w:rFonts w:cs="David" w:hint="cs"/>
          <w:rtl/>
        </w:rPr>
        <w:t>בין בעלי המניות לבין החברה</w:t>
      </w:r>
      <w:r w:rsidR="00BF09B0" w:rsidRPr="005A07F2">
        <w:rPr>
          <w:rFonts w:cs="David" w:hint="cs"/>
          <w:rtl/>
        </w:rPr>
        <w:t xml:space="preserve"> </w:t>
      </w:r>
      <w:r w:rsidR="00FD1BD2" w:rsidRPr="005A07F2">
        <w:rPr>
          <w:rFonts w:cs="David" w:hint="cs"/>
          <w:rtl/>
        </w:rPr>
        <w:t>ו</w:t>
      </w:r>
      <w:r w:rsidR="00BF09B0" w:rsidRPr="005A07F2">
        <w:rPr>
          <w:rFonts w:cs="David" w:hint="cs"/>
          <w:rtl/>
        </w:rPr>
        <w:t>מ</w:t>
      </w:r>
      <w:r w:rsidR="00CE7661">
        <w:rPr>
          <w:rFonts w:cs="David" w:hint="cs"/>
          <w:rtl/>
        </w:rPr>
        <w:t xml:space="preserve">שמש </w:t>
      </w:r>
      <w:r w:rsidR="00A315E7">
        <w:rPr>
          <w:rFonts w:cs="David" w:hint="cs"/>
          <w:rtl/>
        </w:rPr>
        <w:t>בפועל</w:t>
      </w:r>
      <w:r w:rsidR="00BF09B0" w:rsidRPr="005A07F2">
        <w:rPr>
          <w:rFonts w:cs="David" w:hint="cs"/>
          <w:rtl/>
        </w:rPr>
        <w:t xml:space="preserve"> </w:t>
      </w:r>
      <w:r w:rsidR="00CE7661">
        <w:rPr>
          <w:rFonts w:cs="David" w:hint="cs"/>
          <w:rtl/>
        </w:rPr>
        <w:t>כ</w:t>
      </w:r>
      <w:r w:rsidR="00BF09B0" w:rsidRPr="005A07F2">
        <w:rPr>
          <w:rFonts w:cs="David" w:hint="cs"/>
          <w:rtl/>
        </w:rPr>
        <w:t xml:space="preserve">תחליף לאותם חוזים רבים </w:t>
      </w:r>
      <w:r w:rsidR="008205C7" w:rsidRPr="005A07F2">
        <w:rPr>
          <w:rFonts w:cs="David" w:hint="cs"/>
          <w:rtl/>
        </w:rPr>
        <w:t>שהיו צריכים לה</w:t>
      </w:r>
      <w:r w:rsidR="00127F43" w:rsidRPr="005A07F2">
        <w:rPr>
          <w:rFonts w:cs="David" w:hint="cs"/>
          <w:rtl/>
        </w:rPr>
        <w:t>י</w:t>
      </w:r>
      <w:r w:rsidR="008205C7" w:rsidRPr="005A07F2">
        <w:rPr>
          <w:rFonts w:cs="David" w:hint="cs"/>
          <w:rtl/>
        </w:rPr>
        <w:t xml:space="preserve">ערך במקרה של שימוש במנגנון מחיר השוק. </w:t>
      </w:r>
      <w:r w:rsidR="00754569" w:rsidRPr="005A07F2">
        <w:rPr>
          <w:rFonts w:cs="David" w:hint="cs"/>
          <w:rtl/>
        </w:rPr>
        <w:t xml:space="preserve"> </w:t>
      </w:r>
    </w:p>
    <w:p w:rsidR="006606CB" w:rsidRDefault="000434ED" w:rsidP="00CE7661">
      <w:pPr>
        <w:spacing w:line="456" w:lineRule="auto"/>
        <w:rPr>
          <w:rFonts w:cs="David"/>
          <w:rtl/>
        </w:rPr>
      </w:pPr>
      <w:r w:rsidRPr="005A07F2">
        <w:rPr>
          <w:rFonts w:cs="David" w:hint="cs"/>
          <w:u w:val="single"/>
          <w:rtl/>
        </w:rPr>
        <w:t>שאלה 2</w:t>
      </w:r>
      <w:r w:rsidRPr="005A07F2">
        <w:rPr>
          <w:rFonts w:cs="David" w:hint="cs"/>
          <w:rtl/>
        </w:rPr>
        <w:t xml:space="preserve">: </w:t>
      </w:r>
      <w:r w:rsidR="0060121B">
        <w:rPr>
          <w:rFonts w:cs="David" w:hint="cs"/>
          <w:rtl/>
        </w:rPr>
        <w:t xml:space="preserve">הצורך במנהלים נובע ממורכבות </w:t>
      </w:r>
      <w:r w:rsidR="00EB6A74">
        <w:rPr>
          <w:rFonts w:cs="David" w:hint="cs"/>
          <w:rtl/>
        </w:rPr>
        <w:t>השוק והקושי לקבל החלטות מושכלות</w:t>
      </w:r>
      <w:r w:rsidR="009E0BD9">
        <w:rPr>
          <w:rFonts w:cs="David" w:hint="cs"/>
          <w:rtl/>
        </w:rPr>
        <w:t xml:space="preserve"> (שהם תוצרים של חלוקת העבודה</w:t>
      </w:r>
      <w:r w:rsidR="007B6338">
        <w:rPr>
          <w:rFonts w:cs="David" w:hint="cs"/>
          <w:rtl/>
        </w:rPr>
        <w:t>)</w:t>
      </w:r>
      <w:r w:rsidR="00EB6A74">
        <w:rPr>
          <w:rFonts w:cs="David" w:hint="cs"/>
          <w:rtl/>
        </w:rPr>
        <w:t xml:space="preserve">. </w:t>
      </w:r>
      <w:r w:rsidR="00E92213">
        <w:rPr>
          <w:rFonts w:cs="David" w:hint="cs"/>
          <w:rtl/>
        </w:rPr>
        <w:t xml:space="preserve">כשם שעובד המתמחה בתחום </w:t>
      </w:r>
      <w:r w:rsidR="00504345">
        <w:rPr>
          <w:rFonts w:cs="David" w:hint="cs"/>
          <w:rtl/>
        </w:rPr>
        <w:t>ספציפי משפר את מיומנותו, כך המנהל שכל תשומותיו מוכוונות לתחום הניהול בלבד</w:t>
      </w:r>
      <w:r w:rsidR="00B94A3E">
        <w:rPr>
          <w:rFonts w:cs="David" w:hint="cs"/>
          <w:rtl/>
        </w:rPr>
        <w:t>,</w:t>
      </w:r>
      <w:r w:rsidR="00504345">
        <w:rPr>
          <w:rFonts w:cs="David" w:hint="cs"/>
          <w:rtl/>
        </w:rPr>
        <w:t xml:space="preserve"> משתפר ומתמקצע בתפקידו. </w:t>
      </w:r>
      <w:r w:rsidR="00B94A3E">
        <w:rPr>
          <w:rFonts w:cs="David" w:hint="cs"/>
          <w:rtl/>
        </w:rPr>
        <w:t xml:space="preserve">שיפור היעילות של העובד בתהליך הייצור בא לידי ביטוי במדד פשוט יחסית: עלייה בכמות התוצרים </w:t>
      </w:r>
      <w:proofErr w:type="spellStart"/>
      <w:r w:rsidR="00B94A3E">
        <w:rPr>
          <w:rFonts w:cs="David" w:hint="cs"/>
          <w:rtl/>
        </w:rPr>
        <w:t>כפאקטור</w:t>
      </w:r>
      <w:proofErr w:type="spellEnd"/>
      <w:r w:rsidR="00B94A3E">
        <w:rPr>
          <w:rFonts w:cs="David" w:hint="cs"/>
          <w:rtl/>
        </w:rPr>
        <w:t xml:space="preserve"> של זמן ובמינימום משאבים. </w:t>
      </w:r>
      <w:r w:rsidR="00FE508A">
        <w:rPr>
          <w:rFonts w:cs="David" w:hint="cs"/>
          <w:rtl/>
        </w:rPr>
        <w:t>לעומת זאת, תפקידו של המנהל מורכב יותר שכן עליו ל</w:t>
      </w:r>
      <w:r w:rsidR="00CE7661">
        <w:rPr>
          <w:rFonts w:cs="David" w:hint="cs"/>
          <w:rtl/>
        </w:rPr>
        <w:t>פ</w:t>
      </w:r>
      <w:r w:rsidR="00FE508A">
        <w:rPr>
          <w:rFonts w:cs="David" w:hint="cs"/>
          <w:rtl/>
        </w:rPr>
        <w:t xml:space="preserve">קח על תהליך הייצור כולו וכן לצפות את המגמות בשוק. </w:t>
      </w:r>
      <w:r w:rsidR="007C20E8">
        <w:rPr>
          <w:rFonts w:cs="David" w:hint="cs"/>
          <w:rtl/>
        </w:rPr>
        <w:t xml:space="preserve">מקצוע הניהול </w:t>
      </w:r>
      <w:r w:rsidR="00FE508A">
        <w:rPr>
          <w:rFonts w:cs="David" w:hint="cs"/>
          <w:rtl/>
        </w:rPr>
        <w:t>נדרש אם כן, למדד ברור להצלחה וכישלון.</w:t>
      </w:r>
      <w:r w:rsidR="007C20E8">
        <w:rPr>
          <w:rFonts w:cs="David" w:hint="cs"/>
          <w:rtl/>
        </w:rPr>
        <w:t xml:space="preserve"> </w:t>
      </w:r>
      <w:r w:rsidR="00DB0BAA">
        <w:rPr>
          <w:rFonts w:cs="David" w:hint="cs"/>
          <w:rtl/>
        </w:rPr>
        <w:t xml:space="preserve">השאת רווחים לחברה (ובין היתר לבעלי המניות) </w:t>
      </w:r>
      <w:r w:rsidR="00FA1BB0">
        <w:rPr>
          <w:rFonts w:cs="David" w:hint="cs"/>
          <w:rtl/>
        </w:rPr>
        <w:t xml:space="preserve">מהווה מדד ברור שמאפשר </w:t>
      </w:r>
      <w:r w:rsidR="00F95F82">
        <w:rPr>
          <w:rFonts w:cs="David" w:hint="cs"/>
          <w:rtl/>
        </w:rPr>
        <w:t xml:space="preserve">לבעלי המניות לבחון את התנהלותו של המנהל לאורך זמן. </w:t>
      </w:r>
      <w:r w:rsidR="00420EE5">
        <w:rPr>
          <w:rFonts w:cs="David" w:hint="cs"/>
          <w:rtl/>
        </w:rPr>
        <w:t xml:space="preserve">במידה והחברה </w:t>
      </w:r>
      <w:r w:rsidR="00741768">
        <w:rPr>
          <w:rFonts w:cs="David" w:hint="cs"/>
          <w:rtl/>
        </w:rPr>
        <w:t>סיימה תקופה ברווחים</w:t>
      </w:r>
      <w:r w:rsidR="007B6338">
        <w:rPr>
          <w:rFonts w:cs="David" w:hint="cs"/>
          <w:rtl/>
        </w:rPr>
        <w:t xml:space="preserve"> הרי שהמנהל פועל כשורה. </w:t>
      </w:r>
      <w:r w:rsidR="00BE24AB">
        <w:rPr>
          <w:rFonts w:cs="David" w:hint="cs"/>
          <w:rtl/>
        </w:rPr>
        <w:t>כשם שהדברים נכונים לעובד ולמנהל, כך הם נכונים עבור החברה</w:t>
      </w:r>
      <w:r w:rsidR="00B101B8">
        <w:rPr>
          <w:rFonts w:cs="David" w:hint="cs"/>
          <w:rtl/>
        </w:rPr>
        <w:t xml:space="preserve"> - התמקדות </w:t>
      </w:r>
      <w:r w:rsidR="00C02593">
        <w:rPr>
          <w:rFonts w:cs="David" w:hint="cs"/>
          <w:rtl/>
        </w:rPr>
        <w:t>ב</w:t>
      </w:r>
      <w:r w:rsidR="00B101B8">
        <w:rPr>
          <w:rFonts w:cs="David" w:hint="cs"/>
          <w:rtl/>
        </w:rPr>
        <w:t xml:space="preserve">מטרה אחת </w:t>
      </w:r>
      <w:r w:rsidR="00CE7661">
        <w:rPr>
          <w:rFonts w:cs="David" w:hint="cs"/>
          <w:rtl/>
        </w:rPr>
        <w:t xml:space="preserve">(השאת רווחים) </w:t>
      </w:r>
      <w:r w:rsidR="00B101B8">
        <w:rPr>
          <w:rFonts w:cs="David" w:hint="cs"/>
          <w:rtl/>
        </w:rPr>
        <w:t>מובילה לשיפור ביעילות</w:t>
      </w:r>
      <w:r w:rsidR="00BE24AB">
        <w:rPr>
          <w:rFonts w:cs="David" w:hint="cs"/>
          <w:rtl/>
        </w:rPr>
        <w:t xml:space="preserve">. </w:t>
      </w:r>
      <w:r w:rsidR="00F072DE">
        <w:rPr>
          <w:rFonts w:cs="David" w:hint="cs"/>
          <w:rtl/>
        </w:rPr>
        <w:t xml:space="preserve">בדין הישראלי מוגדר כי </w:t>
      </w:r>
      <w:r w:rsidR="00BE24AB">
        <w:rPr>
          <w:rFonts w:cs="David" w:hint="cs"/>
          <w:rtl/>
        </w:rPr>
        <w:t>תכלית החברה היא יצירת רווחים</w:t>
      </w:r>
      <w:r w:rsidR="00BE24AB">
        <w:rPr>
          <w:rStyle w:val="a6"/>
          <w:rFonts w:cs="David"/>
          <w:rtl/>
        </w:rPr>
        <w:footnoteReference w:id="7"/>
      </w:r>
      <w:r w:rsidR="00BE24AB">
        <w:rPr>
          <w:rFonts w:cs="David" w:hint="cs"/>
          <w:rtl/>
        </w:rPr>
        <w:t>.</w:t>
      </w:r>
      <w:r w:rsidR="00F072DE">
        <w:rPr>
          <w:rFonts w:cs="David" w:hint="cs"/>
          <w:rtl/>
        </w:rPr>
        <w:t xml:space="preserve"> </w:t>
      </w:r>
      <w:r w:rsidR="009E2D79">
        <w:rPr>
          <w:rFonts w:cs="David" w:hint="cs"/>
          <w:rtl/>
        </w:rPr>
        <w:t xml:space="preserve">ההתמקדות </w:t>
      </w:r>
      <w:r w:rsidR="00CE7661">
        <w:rPr>
          <w:rFonts w:cs="David" w:hint="cs"/>
          <w:rtl/>
        </w:rPr>
        <w:t>בתכלית זו היא</w:t>
      </w:r>
      <w:r w:rsidR="009E2D79">
        <w:rPr>
          <w:rFonts w:cs="David" w:hint="cs"/>
          <w:rtl/>
        </w:rPr>
        <w:t xml:space="preserve"> חיונית לחברה, אך יכולה </w:t>
      </w:r>
      <w:r w:rsidR="008C268A">
        <w:rPr>
          <w:rFonts w:cs="David" w:hint="cs"/>
          <w:rtl/>
        </w:rPr>
        <w:t xml:space="preserve">גם </w:t>
      </w:r>
      <w:r w:rsidR="009E2D79">
        <w:rPr>
          <w:rFonts w:cs="David" w:hint="cs"/>
          <w:rtl/>
        </w:rPr>
        <w:t xml:space="preserve">להיות הרסנית </w:t>
      </w:r>
      <w:r w:rsidR="00CE7661">
        <w:rPr>
          <w:rFonts w:cs="David" w:hint="cs"/>
          <w:rtl/>
        </w:rPr>
        <w:t>-</w:t>
      </w:r>
      <w:r w:rsidR="009E2D79">
        <w:rPr>
          <w:rFonts w:cs="David" w:hint="cs"/>
          <w:rtl/>
        </w:rPr>
        <w:t xml:space="preserve"> </w:t>
      </w:r>
      <w:r w:rsidR="00CE7661">
        <w:rPr>
          <w:rFonts w:cs="David" w:hint="cs"/>
          <w:rtl/>
        </w:rPr>
        <w:t xml:space="preserve">חתירה למימוש האינטרסים של בעלי המניות </w:t>
      </w:r>
      <w:r w:rsidR="008C268A" w:rsidRPr="008C268A">
        <w:rPr>
          <w:rFonts w:cs="David"/>
          <w:rtl/>
        </w:rPr>
        <w:t xml:space="preserve">באופן קונסיסטנטי עלולה להביא לכך שיהיה יעיל עבור החברה להפר את החוק במידה ועלות שמירת החוק גבוהה מהתועלת מההפרה. </w:t>
      </w:r>
      <w:r w:rsidR="006606CB">
        <w:rPr>
          <w:rFonts w:cs="David" w:hint="cs"/>
          <w:rtl/>
        </w:rPr>
        <w:t xml:space="preserve">תכלית </w:t>
      </w:r>
      <w:r w:rsidR="00CE7661">
        <w:rPr>
          <w:rFonts w:cs="David" w:hint="cs"/>
          <w:rtl/>
        </w:rPr>
        <w:t>השאת הרווחים</w:t>
      </w:r>
      <w:r w:rsidR="006606CB">
        <w:rPr>
          <w:rFonts w:cs="David" w:hint="cs"/>
          <w:rtl/>
        </w:rPr>
        <w:t xml:space="preserve"> מווסתת </w:t>
      </w:r>
      <w:r w:rsidR="00C02593">
        <w:rPr>
          <w:rFonts w:cs="David" w:hint="cs"/>
          <w:rtl/>
        </w:rPr>
        <w:t xml:space="preserve">בדין הישראלי </w:t>
      </w:r>
      <w:r w:rsidR="006606CB">
        <w:rPr>
          <w:rFonts w:cs="David" w:hint="cs"/>
          <w:rtl/>
        </w:rPr>
        <w:t xml:space="preserve">על ידי </w:t>
      </w:r>
      <w:r w:rsidR="005103FE">
        <w:rPr>
          <w:rFonts w:cs="David" w:hint="cs"/>
          <w:rtl/>
        </w:rPr>
        <w:t>סעיף 2 לחוק החברות הקובע כי מטרות החברה יהיו בהתאם לחוק</w:t>
      </w:r>
      <w:r w:rsidR="00C96A2A">
        <w:rPr>
          <w:rFonts w:cs="David" w:hint="cs"/>
          <w:rtl/>
        </w:rPr>
        <w:t xml:space="preserve">, מוסריים ולא נוגדים את תקנת הציבור. </w:t>
      </w:r>
      <w:r w:rsidR="005103FE">
        <w:rPr>
          <w:rFonts w:cs="David" w:hint="cs"/>
          <w:rtl/>
        </w:rPr>
        <w:t xml:space="preserve">  </w:t>
      </w:r>
    </w:p>
    <w:p w:rsidR="00C84FAC" w:rsidRPr="005A07F2" w:rsidRDefault="000212FE" w:rsidP="00CE7661">
      <w:pPr>
        <w:spacing w:line="456" w:lineRule="auto"/>
        <w:rPr>
          <w:rFonts w:cs="David"/>
          <w:rtl/>
        </w:rPr>
      </w:pPr>
      <w:r w:rsidRPr="005A07F2">
        <w:rPr>
          <w:rFonts w:cs="David" w:hint="cs"/>
          <w:u w:val="single"/>
          <w:rtl/>
        </w:rPr>
        <w:t>שאלה 3</w:t>
      </w:r>
      <w:r w:rsidRPr="005A07F2">
        <w:rPr>
          <w:rFonts w:cs="David" w:hint="cs"/>
          <w:rtl/>
        </w:rPr>
        <w:t xml:space="preserve">: </w:t>
      </w:r>
      <w:r w:rsidR="00C81DD1" w:rsidRPr="005A07F2">
        <w:rPr>
          <w:rFonts w:cs="David" w:hint="cs"/>
          <w:rtl/>
        </w:rPr>
        <w:t xml:space="preserve">לפי </w:t>
      </w:r>
      <w:r w:rsidR="00C81DD1" w:rsidRPr="005A07F2">
        <w:rPr>
          <w:rFonts w:cs="David"/>
        </w:rPr>
        <w:t>Smith</w:t>
      </w:r>
      <w:r w:rsidR="00C81DD1" w:rsidRPr="005A07F2">
        <w:rPr>
          <w:rFonts w:cs="David" w:hint="cs"/>
          <w:rtl/>
        </w:rPr>
        <w:t xml:space="preserve"> קיימות שתי בעיות מרכזיות בתאגיד מבוסס מניות: הראשונה </w:t>
      </w:r>
      <w:r w:rsidR="0000279B" w:rsidRPr="005A07F2">
        <w:rPr>
          <w:rFonts w:cs="David" w:hint="cs"/>
          <w:rtl/>
        </w:rPr>
        <w:t>נובעת מכך ש</w:t>
      </w:r>
      <w:r w:rsidR="00DD27BF" w:rsidRPr="005A07F2">
        <w:rPr>
          <w:rFonts w:cs="David" w:hint="cs"/>
          <w:rtl/>
        </w:rPr>
        <w:t>הסיכון של בעלי המניות מוגבל עקב אופי החברה</w:t>
      </w:r>
      <w:r w:rsidR="0000279B" w:rsidRPr="005A07F2">
        <w:rPr>
          <w:rFonts w:cs="David" w:hint="cs"/>
          <w:rtl/>
        </w:rPr>
        <w:t>.</w:t>
      </w:r>
      <w:r w:rsidR="00DD27BF" w:rsidRPr="005A07F2">
        <w:rPr>
          <w:rFonts w:cs="David" w:hint="cs"/>
          <w:rtl/>
        </w:rPr>
        <w:t xml:space="preserve"> על כן </w:t>
      </w:r>
      <w:r w:rsidR="00B056C5" w:rsidRPr="005A07F2">
        <w:rPr>
          <w:rFonts w:cs="David" w:hint="cs"/>
          <w:rtl/>
        </w:rPr>
        <w:t>אלו יטו</w:t>
      </w:r>
      <w:r w:rsidR="00DD27BF" w:rsidRPr="005A07F2">
        <w:rPr>
          <w:rFonts w:cs="David" w:hint="cs"/>
          <w:rtl/>
        </w:rPr>
        <w:t xml:space="preserve"> </w:t>
      </w:r>
      <w:r w:rsidR="00B056C5" w:rsidRPr="005A07F2">
        <w:rPr>
          <w:rFonts w:cs="David" w:hint="cs"/>
          <w:rtl/>
        </w:rPr>
        <w:t>לכפות</w:t>
      </w:r>
      <w:r w:rsidR="00DD27BF" w:rsidRPr="005A07F2">
        <w:rPr>
          <w:rFonts w:cs="David" w:hint="cs"/>
          <w:rtl/>
        </w:rPr>
        <w:t xml:space="preserve"> על המנהלים מדיניות הרפתקנית ביותר</w:t>
      </w:r>
      <w:r w:rsidR="00B056C5" w:rsidRPr="005A07F2">
        <w:rPr>
          <w:rFonts w:cs="David" w:hint="cs"/>
          <w:rtl/>
        </w:rPr>
        <w:t>, בעל</w:t>
      </w:r>
      <w:r w:rsidR="00CE7661">
        <w:rPr>
          <w:rFonts w:cs="David" w:hint="cs"/>
          <w:rtl/>
        </w:rPr>
        <w:t>ת</w:t>
      </w:r>
      <w:r w:rsidR="00B056C5" w:rsidRPr="005A07F2">
        <w:rPr>
          <w:rFonts w:cs="David" w:hint="cs"/>
          <w:rtl/>
        </w:rPr>
        <w:t xml:space="preserve"> פוטנציאל הרסני (</w:t>
      </w:r>
      <w:r w:rsidR="0000279B" w:rsidRPr="005A07F2">
        <w:rPr>
          <w:rFonts w:cs="David" w:hint="cs"/>
          <w:rtl/>
        </w:rPr>
        <w:t>שלא היו נוקטים בה במידה והסיכון לא היה מוגבל</w:t>
      </w:r>
      <w:r w:rsidR="00B056C5" w:rsidRPr="005A07F2">
        <w:rPr>
          <w:rFonts w:cs="David" w:hint="cs"/>
          <w:rtl/>
        </w:rPr>
        <w:t>)</w:t>
      </w:r>
      <w:r w:rsidR="0000279B" w:rsidRPr="005A07F2">
        <w:rPr>
          <w:rFonts w:cs="David" w:hint="cs"/>
          <w:rtl/>
        </w:rPr>
        <w:t xml:space="preserve">. </w:t>
      </w:r>
      <w:r w:rsidR="00FB3152" w:rsidRPr="005A07F2">
        <w:rPr>
          <w:rFonts w:cs="David" w:hint="cs"/>
          <w:rtl/>
        </w:rPr>
        <w:t xml:space="preserve">בעיה זו מתעצמת מהעובדה שהמנהלים אחראים על כסף שאינו שייך להם בפועל ולכן ישנה </w:t>
      </w:r>
      <w:r w:rsidR="00FB3152" w:rsidRPr="005A07F2">
        <w:rPr>
          <w:rFonts w:cs="David" w:hint="cs"/>
          <w:rtl/>
        </w:rPr>
        <w:lastRenderedPageBreak/>
        <w:t xml:space="preserve">אפשרות שינהגו בו בחוסר זהירות ובהזנחה. </w:t>
      </w:r>
      <w:r w:rsidR="00B51198" w:rsidRPr="005A07F2">
        <w:rPr>
          <w:rFonts w:cs="David" w:hint="cs"/>
          <w:rtl/>
        </w:rPr>
        <w:t xml:space="preserve">לטיעוניו של </w:t>
      </w:r>
      <w:r w:rsidR="00B51198" w:rsidRPr="005A07F2">
        <w:rPr>
          <w:rFonts w:cs="David"/>
        </w:rPr>
        <w:t>Smith</w:t>
      </w:r>
      <w:r w:rsidR="00B51198" w:rsidRPr="005A07F2">
        <w:rPr>
          <w:rFonts w:cs="David" w:hint="cs"/>
          <w:rtl/>
        </w:rPr>
        <w:t xml:space="preserve"> ניתן להעלות מספר תשובות</w:t>
      </w:r>
      <w:r w:rsidR="00B056C5" w:rsidRPr="005A07F2">
        <w:rPr>
          <w:rFonts w:cs="David" w:hint="cs"/>
          <w:rtl/>
        </w:rPr>
        <w:t>:</w:t>
      </w:r>
      <w:r w:rsidR="00B51198" w:rsidRPr="005A07F2">
        <w:rPr>
          <w:rFonts w:cs="David" w:hint="cs"/>
          <w:rtl/>
        </w:rPr>
        <w:t xml:space="preserve"> </w:t>
      </w:r>
      <w:r w:rsidR="00647DE2" w:rsidRPr="005A07F2">
        <w:rPr>
          <w:rFonts w:cs="David" w:hint="cs"/>
          <w:rtl/>
        </w:rPr>
        <w:t>בנוגע לאחראיות המנהלים, הרי שאלו מעוניינים לשמור על משרתם ולכן למרות שהם אחראים על כסף שלא שייך להם, הם בעלי אינטרס להישרדות החברה</w:t>
      </w:r>
      <w:r w:rsidR="00B056C5" w:rsidRPr="005A07F2">
        <w:rPr>
          <w:rFonts w:cs="David" w:hint="cs"/>
          <w:rtl/>
        </w:rPr>
        <w:t xml:space="preserve"> (שמשלמת את משכורתם)</w:t>
      </w:r>
      <w:r w:rsidR="00647DE2" w:rsidRPr="005A07F2">
        <w:rPr>
          <w:rFonts w:cs="David" w:hint="cs"/>
          <w:rtl/>
        </w:rPr>
        <w:t xml:space="preserve"> ולכן סביר שינהגו </w:t>
      </w:r>
      <w:r w:rsidR="00CD4217">
        <w:rPr>
          <w:rFonts w:cs="David" w:hint="cs"/>
          <w:rtl/>
        </w:rPr>
        <w:t xml:space="preserve">דווקא </w:t>
      </w:r>
      <w:r w:rsidR="00647DE2" w:rsidRPr="005A07F2">
        <w:rPr>
          <w:rFonts w:cs="David" w:hint="cs"/>
          <w:rtl/>
        </w:rPr>
        <w:t>כשונאי סיכון</w:t>
      </w:r>
      <w:r w:rsidR="004A13A2">
        <w:rPr>
          <w:rFonts w:cs="David" w:hint="cs"/>
          <w:rtl/>
        </w:rPr>
        <w:t xml:space="preserve"> ולא יזניחו את הטיפול בהון החברה</w:t>
      </w:r>
      <w:r w:rsidR="00BE24AB">
        <w:rPr>
          <w:rStyle w:val="a6"/>
          <w:rFonts w:cs="David"/>
          <w:rtl/>
        </w:rPr>
        <w:footnoteReference w:id="8"/>
      </w:r>
      <w:r w:rsidR="00647DE2" w:rsidRPr="005A07F2">
        <w:rPr>
          <w:rFonts w:cs="David" w:hint="cs"/>
          <w:rtl/>
        </w:rPr>
        <w:t xml:space="preserve">. </w:t>
      </w:r>
      <w:r w:rsidR="004A13A2">
        <w:rPr>
          <w:rFonts w:cs="David" w:hint="cs"/>
          <w:rtl/>
        </w:rPr>
        <w:t>שנית,</w:t>
      </w:r>
      <w:r w:rsidR="00B45873" w:rsidRPr="005A07F2">
        <w:rPr>
          <w:rFonts w:cs="David" w:hint="cs"/>
          <w:rtl/>
        </w:rPr>
        <w:t xml:space="preserve"> </w:t>
      </w:r>
      <w:r w:rsidR="00E25699" w:rsidRPr="005A07F2">
        <w:rPr>
          <w:rFonts w:cs="David" w:hint="cs"/>
          <w:rtl/>
        </w:rPr>
        <w:t>דיני התאגידים ב</w:t>
      </w:r>
      <w:r w:rsidR="0013299E" w:rsidRPr="005A07F2">
        <w:rPr>
          <w:rFonts w:cs="David" w:hint="cs"/>
          <w:rtl/>
        </w:rPr>
        <w:t>ישראל</w:t>
      </w:r>
      <w:r w:rsidR="00E25699" w:rsidRPr="005A07F2">
        <w:rPr>
          <w:rFonts w:cs="David" w:hint="cs"/>
          <w:rtl/>
        </w:rPr>
        <w:t xml:space="preserve"> </w:t>
      </w:r>
      <w:r w:rsidR="004A13A2">
        <w:rPr>
          <w:rFonts w:cs="David" w:hint="cs"/>
          <w:rtl/>
        </w:rPr>
        <w:t>(ובעולם</w:t>
      </w:r>
      <w:r w:rsidR="0054478B">
        <w:rPr>
          <w:rStyle w:val="a6"/>
          <w:rFonts w:cs="David"/>
          <w:rtl/>
        </w:rPr>
        <w:footnoteReference w:id="9"/>
      </w:r>
      <w:r w:rsidR="004A13A2">
        <w:rPr>
          <w:rFonts w:cs="David" w:hint="cs"/>
          <w:rtl/>
        </w:rPr>
        <w:t xml:space="preserve">) </w:t>
      </w:r>
      <w:r w:rsidR="00E25699" w:rsidRPr="005A07F2">
        <w:rPr>
          <w:rFonts w:cs="David" w:hint="cs"/>
          <w:rtl/>
        </w:rPr>
        <w:t>מספקים הגנה לבעלי המניות בפני מקרים שבהם המנהלים מבצעים פעולות שחורגות ממטרות החברה</w:t>
      </w:r>
      <w:r w:rsidR="0013299E" w:rsidRPr="005A07F2">
        <w:rPr>
          <w:rFonts w:cs="David" w:hint="cs"/>
          <w:rtl/>
        </w:rPr>
        <w:t xml:space="preserve"> כפי שהוגדרו בתקנון</w:t>
      </w:r>
      <w:r w:rsidR="00E25699" w:rsidRPr="005A07F2">
        <w:rPr>
          <w:rStyle w:val="a6"/>
          <w:rFonts w:cs="David"/>
          <w:spacing w:val="-4"/>
          <w:rtl/>
        </w:rPr>
        <w:footnoteReference w:id="10"/>
      </w:r>
      <w:r w:rsidR="00E25699" w:rsidRPr="005A07F2">
        <w:rPr>
          <w:rFonts w:cs="David" w:hint="cs"/>
          <w:rtl/>
        </w:rPr>
        <w:t>.</w:t>
      </w:r>
      <w:r w:rsidR="0013299E" w:rsidRPr="005A07F2">
        <w:rPr>
          <w:rFonts w:cs="David" w:hint="cs"/>
          <w:rtl/>
        </w:rPr>
        <w:t xml:space="preserve"> </w:t>
      </w:r>
      <w:r w:rsidR="004A13A2">
        <w:rPr>
          <w:rFonts w:cs="David" w:hint="cs"/>
          <w:rtl/>
        </w:rPr>
        <w:t>לבסוף,</w:t>
      </w:r>
      <w:r w:rsidR="00CD4217">
        <w:rPr>
          <w:rFonts w:cs="David" w:hint="cs"/>
          <w:rtl/>
        </w:rPr>
        <w:t xml:space="preserve"> </w:t>
      </w:r>
      <w:r w:rsidR="004A13A2">
        <w:rPr>
          <w:rFonts w:cs="David" w:hint="cs"/>
          <w:rtl/>
        </w:rPr>
        <w:t xml:space="preserve">הרי </w:t>
      </w:r>
      <w:r w:rsidR="00CD4217">
        <w:rPr>
          <w:rFonts w:cs="David" w:hint="cs"/>
          <w:rtl/>
        </w:rPr>
        <w:t xml:space="preserve">שלבעלי המניות שמורה האופציה להדיח את המנהל בהתאם לתקנון. </w:t>
      </w:r>
      <w:r w:rsidR="00C0688A" w:rsidRPr="005A07F2">
        <w:rPr>
          <w:rFonts w:cs="David" w:hint="cs"/>
          <w:rtl/>
        </w:rPr>
        <w:t xml:space="preserve">הטיעון המרכזי להצלחת המודל של תאגיד מבוסס מניות הינו </w:t>
      </w:r>
      <w:r w:rsidR="00292D71" w:rsidRPr="005A07F2">
        <w:rPr>
          <w:rFonts w:cs="David" w:hint="cs"/>
          <w:rtl/>
        </w:rPr>
        <w:t>באלמנט האחריות המוגבלת</w:t>
      </w:r>
      <w:r w:rsidR="007B28AE" w:rsidRPr="005A07F2">
        <w:rPr>
          <w:rStyle w:val="a6"/>
          <w:rFonts w:cs="David"/>
          <w:spacing w:val="-4"/>
          <w:rtl/>
        </w:rPr>
        <w:footnoteReference w:id="11"/>
      </w:r>
      <w:r w:rsidR="00292D71" w:rsidRPr="005A07F2">
        <w:rPr>
          <w:rFonts w:cs="David" w:hint="cs"/>
          <w:rtl/>
        </w:rPr>
        <w:t xml:space="preserve">, שהוא פועל יוצא של </w:t>
      </w:r>
      <w:proofErr w:type="spellStart"/>
      <w:r w:rsidR="00292D71" w:rsidRPr="005A07F2">
        <w:rPr>
          <w:rFonts w:cs="David" w:hint="cs"/>
          <w:rtl/>
        </w:rPr>
        <w:t>היישות</w:t>
      </w:r>
      <w:proofErr w:type="spellEnd"/>
      <w:r w:rsidR="00292D71" w:rsidRPr="005A07F2">
        <w:rPr>
          <w:rFonts w:cs="David" w:hint="cs"/>
          <w:rtl/>
        </w:rPr>
        <w:t xml:space="preserve"> המשפטית הנפרדת של החברה</w:t>
      </w:r>
      <w:r w:rsidR="00C66DB7" w:rsidRPr="005A07F2">
        <w:rPr>
          <w:rStyle w:val="a6"/>
          <w:rFonts w:cs="David"/>
          <w:rtl/>
        </w:rPr>
        <w:footnoteReference w:id="12"/>
      </w:r>
      <w:r w:rsidR="00292D71" w:rsidRPr="005A07F2">
        <w:rPr>
          <w:rFonts w:cs="David" w:hint="cs"/>
          <w:rtl/>
        </w:rPr>
        <w:t xml:space="preserve">. </w:t>
      </w:r>
      <w:r w:rsidR="00C0688A" w:rsidRPr="005A07F2">
        <w:rPr>
          <w:rFonts w:cs="David" w:hint="cs"/>
          <w:rtl/>
        </w:rPr>
        <w:t xml:space="preserve">בשותפות המשקיע </w:t>
      </w:r>
      <w:r w:rsidR="00292D71" w:rsidRPr="005A07F2">
        <w:rPr>
          <w:rFonts w:cs="David" w:hint="cs"/>
          <w:rtl/>
        </w:rPr>
        <w:t>לוקח על עצמו אחריות בלתי מוגבלת</w:t>
      </w:r>
      <w:r w:rsidR="00C0688A" w:rsidRPr="005A07F2">
        <w:rPr>
          <w:rFonts w:cs="David" w:hint="cs"/>
          <w:rtl/>
        </w:rPr>
        <w:t xml:space="preserve"> </w:t>
      </w:r>
      <w:r w:rsidR="00292D71" w:rsidRPr="005A07F2">
        <w:rPr>
          <w:rFonts w:cs="David" w:hint="cs"/>
          <w:rtl/>
        </w:rPr>
        <w:t xml:space="preserve">קרי - מסכן את כל נכסיו. לעומת זאת, </w:t>
      </w:r>
      <w:r w:rsidR="00C0688A" w:rsidRPr="005A07F2">
        <w:rPr>
          <w:rFonts w:cs="David" w:hint="cs"/>
          <w:rtl/>
        </w:rPr>
        <w:t xml:space="preserve">בחברה הסיכון הוא רק כלפי </w:t>
      </w:r>
      <w:r w:rsidR="00C82F87" w:rsidRPr="005A07F2">
        <w:rPr>
          <w:rFonts w:cs="David" w:hint="cs"/>
          <w:rtl/>
        </w:rPr>
        <w:t>ה</w:t>
      </w:r>
      <w:r w:rsidR="00C0688A" w:rsidRPr="005A07F2">
        <w:rPr>
          <w:rFonts w:cs="David" w:hint="cs"/>
          <w:rtl/>
        </w:rPr>
        <w:t xml:space="preserve">סכום </w:t>
      </w:r>
      <w:r w:rsidR="00C82F87" w:rsidRPr="005A07F2">
        <w:rPr>
          <w:rFonts w:cs="David" w:hint="cs"/>
          <w:rtl/>
        </w:rPr>
        <w:t>ש</w:t>
      </w:r>
      <w:r w:rsidR="00292D71" w:rsidRPr="005A07F2">
        <w:rPr>
          <w:rFonts w:cs="David" w:hint="cs"/>
          <w:rtl/>
        </w:rPr>
        <w:t>ה</w:t>
      </w:r>
      <w:r w:rsidR="00C0688A" w:rsidRPr="005A07F2">
        <w:rPr>
          <w:rFonts w:cs="David" w:hint="cs"/>
          <w:rtl/>
        </w:rPr>
        <w:t>ו</w:t>
      </w:r>
      <w:r w:rsidR="002355F1" w:rsidRPr="005A07F2">
        <w:rPr>
          <w:rFonts w:cs="David" w:hint="cs"/>
          <w:rtl/>
        </w:rPr>
        <w:t xml:space="preserve">שקע, </w:t>
      </w:r>
      <w:r w:rsidR="00C0688A" w:rsidRPr="005A07F2">
        <w:rPr>
          <w:rFonts w:cs="David" w:hint="cs"/>
          <w:rtl/>
        </w:rPr>
        <w:t xml:space="preserve">שהוא בד"כ סכום שוליים </w:t>
      </w:r>
      <w:r w:rsidR="002355F1" w:rsidRPr="005A07F2">
        <w:rPr>
          <w:rFonts w:cs="David" w:hint="cs"/>
          <w:rtl/>
        </w:rPr>
        <w:t xml:space="preserve">שבעל המניות יכול להרשות לעצמו להפסיד. </w:t>
      </w:r>
      <w:r w:rsidR="00B0518D" w:rsidRPr="005A07F2">
        <w:rPr>
          <w:rFonts w:cs="David" w:hint="cs"/>
          <w:rtl/>
        </w:rPr>
        <w:t>הגבלת הסיכון מעודדת אנשים להשקיע</w:t>
      </w:r>
      <w:r w:rsidR="00737FA7" w:rsidRPr="005A07F2">
        <w:rPr>
          <w:rFonts w:cs="David" w:hint="cs"/>
          <w:rtl/>
        </w:rPr>
        <w:t xml:space="preserve"> במודל זה</w:t>
      </w:r>
      <w:r w:rsidR="00B0518D" w:rsidRPr="005A07F2">
        <w:rPr>
          <w:rFonts w:cs="David" w:hint="cs"/>
          <w:rtl/>
        </w:rPr>
        <w:t xml:space="preserve">. </w:t>
      </w:r>
      <w:r w:rsidR="0058007A" w:rsidRPr="005A07F2">
        <w:rPr>
          <w:rFonts w:cs="David" w:hint="cs"/>
          <w:rtl/>
        </w:rPr>
        <w:t xml:space="preserve">קיימת </w:t>
      </w:r>
      <w:r w:rsidR="00C82F87" w:rsidRPr="005A07F2">
        <w:rPr>
          <w:rFonts w:cs="David" w:hint="cs"/>
          <w:rtl/>
        </w:rPr>
        <w:t xml:space="preserve">גם </w:t>
      </w:r>
      <w:r w:rsidR="0058007A" w:rsidRPr="005A07F2">
        <w:rPr>
          <w:rFonts w:cs="David" w:hint="cs"/>
          <w:rtl/>
        </w:rPr>
        <w:t xml:space="preserve">סיבה סוציולוגית להצלחת התאגידים מבוססים המניות </w:t>
      </w:r>
      <w:r w:rsidR="00604DA0" w:rsidRPr="005A07F2">
        <w:rPr>
          <w:rFonts w:cs="David" w:hint="cs"/>
          <w:rtl/>
        </w:rPr>
        <w:t>-</w:t>
      </w:r>
      <w:r w:rsidR="0058007A" w:rsidRPr="005A07F2">
        <w:rPr>
          <w:rFonts w:cs="David" w:hint="cs"/>
          <w:rtl/>
        </w:rPr>
        <w:t xml:space="preserve"> </w:t>
      </w:r>
      <w:r w:rsidR="00604DA0" w:rsidRPr="005A07F2">
        <w:rPr>
          <w:rFonts w:cs="David" w:hint="cs"/>
          <w:rtl/>
        </w:rPr>
        <w:t>במאה ה-20 חל שינוי משמעותי בפיזור ה</w:t>
      </w:r>
      <w:r w:rsidR="00C84FAC" w:rsidRPr="005A07F2">
        <w:rPr>
          <w:rFonts w:cs="David" w:hint="cs"/>
          <w:rtl/>
        </w:rPr>
        <w:t>ע</w:t>
      </w:r>
      <w:r w:rsidR="00604DA0" w:rsidRPr="005A07F2">
        <w:rPr>
          <w:rFonts w:cs="David" w:hint="cs"/>
          <w:rtl/>
        </w:rPr>
        <w:t>ושר בין בני האדם</w:t>
      </w:r>
      <w:r w:rsidR="00C84FAC" w:rsidRPr="005A07F2">
        <w:rPr>
          <w:rFonts w:cs="David" w:hint="cs"/>
          <w:rtl/>
        </w:rPr>
        <w:t>,</w:t>
      </w:r>
      <w:r w:rsidR="00604DA0" w:rsidRPr="005A07F2">
        <w:rPr>
          <w:rFonts w:cs="David" w:hint="cs"/>
          <w:rtl/>
        </w:rPr>
        <w:t xml:space="preserve"> שבבסיסו יצירה של מעמד ביניים בעל יכולת (אמנם מוגבלת) לחסוך משאבים כלכליים. </w:t>
      </w:r>
      <w:r w:rsidR="00F9428D" w:rsidRPr="005A07F2">
        <w:rPr>
          <w:rFonts w:cs="David" w:hint="cs"/>
          <w:rtl/>
        </w:rPr>
        <w:t>המודל של תאגיד מבוסס מניות מאפשר למעמד הביניים להשקיע את חסכונותיו כדי להיות מעורב בכלכלה</w:t>
      </w:r>
      <w:r w:rsidR="00C84FAC" w:rsidRPr="005A07F2">
        <w:rPr>
          <w:rFonts w:cs="David" w:hint="cs"/>
          <w:rtl/>
        </w:rPr>
        <w:t xml:space="preserve"> באמצעות רכישת מניות</w:t>
      </w:r>
      <w:r w:rsidR="004424C3" w:rsidRPr="005A07F2">
        <w:rPr>
          <w:rFonts w:cs="David" w:hint="cs"/>
          <w:rtl/>
        </w:rPr>
        <w:t xml:space="preserve">. רכישה זו הינה פשוטה </w:t>
      </w:r>
      <w:r w:rsidR="00BA7188" w:rsidRPr="005A07F2">
        <w:rPr>
          <w:rFonts w:cs="David" w:hint="cs"/>
          <w:rtl/>
        </w:rPr>
        <w:t>עקב היות ה</w:t>
      </w:r>
      <w:r w:rsidR="00B056C5" w:rsidRPr="005A07F2">
        <w:rPr>
          <w:rFonts w:cs="David" w:hint="cs"/>
          <w:rtl/>
        </w:rPr>
        <w:t xml:space="preserve">מניה זכות </w:t>
      </w:r>
      <w:proofErr w:type="spellStart"/>
      <w:r w:rsidR="00B056C5" w:rsidRPr="005A07F2">
        <w:rPr>
          <w:rFonts w:cs="David" w:hint="cs"/>
          <w:rtl/>
        </w:rPr>
        <w:t>רכושית</w:t>
      </w:r>
      <w:proofErr w:type="spellEnd"/>
      <w:r w:rsidR="00737FA7" w:rsidRPr="005A07F2">
        <w:rPr>
          <w:rFonts w:cs="David" w:hint="cs"/>
          <w:rtl/>
        </w:rPr>
        <w:t xml:space="preserve"> סחירה</w:t>
      </w:r>
      <w:r w:rsidR="00B056C5" w:rsidRPr="005A07F2">
        <w:rPr>
          <w:rFonts w:cs="David" w:hint="cs"/>
          <w:rtl/>
        </w:rPr>
        <w:t xml:space="preserve"> שהינה מטבע עובר לסוחר (</w:t>
      </w:r>
      <w:r w:rsidR="00372E8A" w:rsidRPr="005A07F2">
        <w:rPr>
          <w:rFonts w:cs="David" w:hint="cs"/>
          <w:rtl/>
        </w:rPr>
        <w:t>בניגוד לזכות</w:t>
      </w:r>
      <w:r w:rsidR="004424C3" w:rsidRPr="005A07F2">
        <w:rPr>
          <w:rFonts w:cs="David" w:hint="cs"/>
          <w:rtl/>
        </w:rPr>
        <w:t xml:space="preserve"> </w:t>
      </w:r>
      <w:r w:rsidR="00372E8A" w:rsidRPr="005A07F2">
        <w:rPr>
          <w:rFonts w:cs="David" w:hint="cs"/>
          <w:rtl/>
        </w:rPr>
        <w:t>ב</w:t>
      </w:r>
      <w:r w:rsidR="004424C3" w:rsidRPr="005A07F2">
        <w:rPr>
          <w:rFonts w:cs="David" w:hint="cs"/>
          <w:rtl/>
        </w:rPr>
        <w:t>שותפות</w:t>
      </w:r>
      <w:r w:rsidR="00737FA7" w:rsidRPr="005A07F2">
        <w:rPr>
          <w:rFonts w:cs="David" w:hint="cs"/>
          <w:rtl/>
        </w:rPr>
        <w:t xml:space="preserve"> שהינה זכות אישית</w:t>
      </w:r>
      <w:r w:rsidR="00B056C5" w:rsidRPr="005A07F2">
        <w:rPr>
          <w:rFonts w:cs="David" w:hint="cs"/>
          <w:rtl/>
        </w:rPr>
        <w:t>)</w:t>
      </w:r>
      <w:r w:rsidR="00F9428D" w:rsidRPr="005A07F2">
        <w:rPr>
          <w:rFonts w:cs="David" w:hint="cs"/>
          <w:rtl/>
        </w:rPr>
        <w:t xml:space="preserve">. </w:t>
      </w:r>
      <w:r w:rsidR="00532075" w:rsidRPr="005A07F2">
        <w:rPr>
          <w:rFonts w:cs="David" w:hint="cs"/>
          <w:rtl/>
        </w:rPr>
        <w:t>ה</w:t>
      </w:r>
      <w:r w:rsidR="00C84FAC" w:rsidRPr="005A07F2">
        <w:rPr>
          <w:rFonts w:cs="David" w:hint="cs"/>
          <w:rtl/>
        </w:rPr>
        <w:t xml:space="preserve">השקעות </w:t>
      </w:r>
      <w:r w:rsidR="00532075" w:rsidRPr="005A07F2">
        <w:rPr>
          <w:rFonts w:cs="David" w:hint="cs"/>
          <w:rtl/>
        </w:rPr>
        <w:t>של הציבור</w:t>
      </w:r>
      <w:r w:rsidR="00C84FAC" w:rsidRPr="005A07F2">
        <w:rPr>
          <w:rFonts w:cs="David" w:hint="cs"/>
          <w:rtl/>
        </w:rPr>
        <w:t xml:space="preserve"> מהוות מנוע לתאגיד ומאפשרות לאדם בעל רעיון טוב, </w:t>
      </w:r>
      <w:r w:rsidR="00532075" w:rsidRPr="005A07F2">
        <w:rPr>
          <w:rFonts w:cs="David" w:hint="cs"/>
          <w:rtl/>
        </w:rPr>
        <w:t>להתאגד ו</w:t>
      </w:r>
      <w:r w:rsidR="00C84FAC" w:rsidRPr="005A07F2">
        <w:rPr>
          <w:rFonts w:cs="David" w:hint="cs"/>
          <w:rtl/>
        </w:rPr>
        <w:t xml:space="preserve">לגייס הון שהיה מחוץ להישג ידו </w:t>
      </w:r>
      <w:r w:rsidR="00372E8A" w:rsidRPr="005A07F2">
        <w:rPr>
          <w:rFonts w:cs="David" w:hint="cs"/>
          <w:rtl/>
        </w:rPr>
        <w:t xml:space="preserve">בעבר, </w:t>
      </w:r>
      <w:r w:rsidR="00C84FAC" w:rsidRPr="005A07F2">
        <w:rPr>
          <w:rFonts w:cs="David" w:hint="cs"/>
          <w:rtl/>
        </w:rPr>
        <w:t>בהעדר התאגיד</w:t>
      </w:r>
      <w:r w:rsidR="00372E8A" w:rsidRPr="005A07F2">
        <w:rPr>
          <w:rFonts w:cs="David" w:hint="cs"/>
          <w:rtl/>
        </w:rPr>
        <w:t>,</w:t>
      </w:r>
      <w:r w:rsidR="00532075" w:rsidRPr="005A07F2">
        <w:rPr>
          <w:rFonts w:cs="David" w:hint="cs"/>
          <w:rtl/>
        </w:rPr>
        <w:t xml:space="preserve"> ולהוציא את הרעיון לפועל</w:t>
      </w:r>
      <w:r w:rsidR="00C84FAC" w:rsidRPr="005A07F2">
        <w:rPr>
          <w:rFonts w:cs="David" w:hint="cs"/>
          <w:rtl/>
        </w:rPr>
        <w:t>.</w:t>
      </w:r>
      <w:r w:rsidR="002B15E1" w:rsidRPr="005A07F2">
        <w:rPr>
          <w:rFonts w:cs="David" w:hint="cs"/>
          <w:rtl/>
        </w:rPr>
        <w:t xml:space="preserve"> </w:t>
      </w:r>
    </w:p>
    <w:p w:rsidR="008B57F7" w:rsidRPr="005A07F2" w:rsidRDefault="005D180F" w:rsidP="00E5789C">
      <w:pPr>
        <w:spacing w:line="456" w:lineRule="auto"/>
        <w:rPr>
          <w:rFonts w:cs="David"/>
          <w:rtl/>
        </w:rPr>
      </w:pPr>
      <w:r w:rsidRPr="005A07F2">
        <w:rPr>
          <w:rFonts w:cs="David" w:hint="cs"/>
          <w:u w:val="single"/>
          <w:rtl/>
        </w:rPr>
        <w:t>שאלה 4</w:t>
      </w:r>
      <w:r w:rsidRPr="005A07F2">
        <w:rPr>
          <w:rFonts w:cs="David" w:hint="cs"/>
          <w:rtl/>
        </w:rPr>
        <w:t xml:space="preserve">: </w:t>
      </w:r>
      <w:r w:rsidR="00180FA2">
        <w:rPr>
          <w:rFonts w:cs="David"/>
        </w:rPr>
        <w:t>Smith</w:t>
      </w:r>
      <w:r w:rsidR="00180FA2">
        <w:rPr>
          <w:rFonts w:cs="David" w:hint="cs"/>
          <w:rtl/>
        </w:rPr>
        <w:t xml:space="preserve"> טוען כי חלוקת העבודה גוררת פגיעה בכושר ההמצאה ובחינוך של הציבור. </w:t>
      </w:r>
      <w:r w:rsidR="00070070">
        <w:rPr>
          <w:rFonts w:cs="David" w:hint="cs"/>
          <w:rtl/>
        </w:rPr>
        <w:t xml:space="preserve">על פניו ניתן לטעון כי התאגידים מעודדים את חלוקת העבודה, שכן זו מעודדת רווח והם גם הנהנים המרכזיים ממנה. </w:t>
      </w:r>
      <w:r w:rsidR="00226C96">
        <w:rPr>
          <w:rFonts w:cs="David" w:hint="cs"/>
          <w:rtl/>
        </w:rPr>
        <w:t xml:space="preserve">נבחן את ההצעה על ידי אנלוגיה - </w:t>
      </w:r>
      <w:r w:rsidR="00070070">
        <w:rPr>
          <w:rFonts w:cs="David" w:hint="cs"/>
          <w:rtl/>
        </w:rPr>
        <w:t xml:space="preserve">בישראל מקודמים רעיונות להטיל מס עודף בעת קנייה </w:t>
      </w:r>
      <w:r w:rsidR="00CE7661">
        <w:rPr>
          <w:rFonts w:cs="David" w:hint="cs"/>
          <w:rtl/>
        </w:rPr>
        <w:t xml:space="preserve">ומכירה </w:t>
      </w:r>
      <w:r w:rsidR="00070070">
        <w:rPr>
          <w:rFonts w:cs="David" w:hint="cs"/>
          <w:rtl/>
        </w:rPr>
        <w:t>של רכבים מזהמים</w:t>
      </w:r>
      <w:r w:rsidR="00070070">
        <w:rPr>
          <w:rStyle w:val="a6"/>
          <w:rFonts w:cs="David"/>
          <w:rtl/>
        </w:rPr>
        <w:footnoteReference w:id="13"/>
      </w:r>
      <w:r w:rsidR="00226C96">
        <w:rPr>
          <w:rFonts w:cs="David" w:hint="cs"/>
          <w:rtl/>
        </w:rPr>
        <w:t xml:space="preserve">. המס משמש כגורם שמטרתו </w:t>
      </w:r>
      <w:r w:rsidR="00226C96" w:rsidRPr="00311F77">
        <w:rPr>
          <w:rFonts w:cs="David" w:hint="cs"/>
          <w:u w:val="single"/>
          <w:rtl/>
        </w:rPr>
        <w:t>להרתיע</w:t>
      </w:r>
      <w:r w:rsidR="00226C96">
        <w:rPr>
          <w:rFonts w:cs="David" w:hint="cs"/>
          <w:rtl/>
        </w:rPr>
        <w:t xml:space="preserve"> מפני ייצור וקנייה של רכבים מזהמים כחלק מתהליך חינוכי שמטרתו שיפור רמות זיהום האוויר בארץ. אך חשוב להדגיש כי הכספים שנגבים אינם "קודש" לטיפול בבעיות שיוצר זיהום האוויר. הכספים </w:t>
      </w:r>
      <w:r w:rsidR="00226C96">
        <w:rPr>
          <w:rFonts w:cs="David" w:hint="cs"/>
          <w:rtl/>
        </w:rPr>
        <w:lastRenderedPageBreak/>
        <w:t>מו</w:t>
      </w:r>
      <w:r w:rsidR="00CE7661">
        <w:rPr>
          <w:rFonts w:cs="David" w:hint="cs"/>
          <w:rtl/>
        </w:rPr>
        <w:t>זרמים לקופת המדינה באופן גלובלי.</w:t>
      </w:r>
      <w:r w:rsidR="00226C96">
        <w:rPr>
          <w:rFonts w:cs="David" w:hint="cs"/>
          <w:rtl/>
        </w:rPr>
        <w:t xml:space="preserve"> המשרד להגנת הסביבה מקבל את חלקו היחסי </w:t>
      </w:r>
      <w:r w:rsidR="00332204">
        <w:rPr>
          <w:rFonts w:cs="David" w:hint="cs"/>
          <w:rtl/>
        </w:rPr>
        <w:t>מכלל קופת המדינה</w:t>
      </w:r>
      <w:r w:rsidR="00226C96">
        <w:rPr>
          <w:rFonts w:cs="David" w:hint="cs"/>
          <w:rtl/>
        </w:rPr>
        <w:t xml:space="preserve">. במקרה של מס על התאגידים, הרי </w:t>
      </w:r>
      <w:r w:rsidR="0059098A">
        <w:rPr>
          <w:rFonts w:cs="David"/>
        </w:rPr>
        <w:t>Smith</w:t>
      </w:r>
      <w:r w:rsidR="0059098A">
        <w:rPr>
          <w:rFonts w:cs="David" w:hint="cs"/>
          <w:rtl/>
        </w:rPr>
        <w:t xml:space="preserve"> בעצמו טוען כי העושר של החברה האנושית לא היה מושג </w:t>
      </w:r>
      <w:r w:rsidR="00226C96">
        <w:rPr>
          <w:rFonts w:cs="David" w:hint="cs"/>
          <w:rtl/>
        </w:rPr>
        <w:t xml:space="preserve">ללא חלוקת העבודה וללא התאגידים שמעצימים את </w:t>
      </w:r>
      <w:r w:rsidR="0059098A">
        <w:rPr>
          <w:rFonts w:cs="David" w:hint="cs"/>
          <w:rtl/>
        </w:rPr>
        <w:t>י</w:t>
      </w:r>
      <w:r w:rsidR="00226C96">
        <w:rPr>
          <w:rFonts w:cs="David" w:hint="cs"/>
          <w:rtl/>
        </w:rPr>
        <w:t>כולת התפוקה האנושית בכל התחומים.</w:t>
      </w:r>
      <w:r w:rsidR="0059098A">
        <w:rPr>
          <w:rFonts w:cs="David" w:hint="cs"/>
          <w:rtl/>
        </w:rPr>
        <w:t xml:space="preserve"> התוצאה היא שאותם עובדים מנוונים שמתאר </w:t>
      </w:r>
      <w:r w:rsidR="0059098A">
        <w:rPr>
          <w:rFonts w:cs="David"/>
        </w:rPr>
        <w:t>Smith</w:t>
      </w:r>
      <w:r w:rsidR="0059098A">
        <w:rPr>
          <w:rFonts w:cs="David" w:hint="cs"/>
          <w:rtl/>
        </w:rPr>
        <w:t xml:space="preserve"> כברגים חסרי מוח במערכת, נהנים מרמת חיים סבירה בהחלט. </w:t>
      </w:r>
      <w:r w:rsidR="00226C96">
        <w:rPr>
          <w:rFonts w:cs="David" w:hint="cs"/>
          <w:rtl/>
        </w:rPr>
        <w:t xml:space="preserve">לא ניתן לקבוע קטגורית, כי נגרם "נזק" אותו יש לתקן באמצעות מס. </w:t>
      </w:r>
      <w:r w:rsidR="00311F77">
        <w:rPr>
          <w:rFonts w:cs="David" w:hint="cs"/>
          <w:rtl/>
        </w:rPr>
        <w:t xml:space="preserve">בהתאם, לא ניתן לקבוע כי כל התאגידים תורמים לאותה תופעה שלילית. מכאן שהפעלת מס על כולם איננה צודקת. בניגוד לתחום זיהום האוויר, נראה כי במקרה זה קשה מאוד ליצור מדד ברור שלפיו נקבל החלטה האם להפעיל את המס על התאגיד או לא. </w:t>
      </w:r>
      <w:r w:rsidR="00D15B0F">
        <w:rPr>
          <w:rFonts w:cs="David" w:hint="cs"/>
          <w:rtl/>
        </w:rPr>
        <w:t xml:space="preserve">קיימים תאגידים שניתן לטעון כי אינם מרוויחים מחלוקת העבודה ובהתאם אינם גורמים לירידה ברמת החינוך וההשכלה, למשל חברות </w:t>
      </w:r>
      <w:r w:rsidR="00D15B0F">
        <w:rPr>
          <w:rFonts w:cs="David"/>
        </w:rPr>
        <w:t>High-</w:t>
      </w:r>
      <w:proofErr w:type="spellStart"/>
      <w:r w:rsidR="00D15B0F">
        <w:rPr>
          <w:rFonts w:cs="David"/>
        </w:rPr>
        <w:t>Teck</w:t>
      </w:r>
      <w:proofErr w:type="spellEnd"/>
      <w:r w:rsidR="00D15B0F">
        <w:rPr>
          <w:rFonts w:cs="David" w:hint="cs"/>
          <w:rtl/>
        </w:rPr>
        <w:t xml:space="preserve"> שדואגות להכשיר את עובדיהן במגוון תחומים כאסטרטגיה עסקית שמטרתה לאפשר התמודדות עם שינויים מהירים בשוק. </w:t>
      </w:r>
      <w:r w:rsidR="00311F77">
        <w:rPr>
          <w:rFonts w:cs="David" w:hint="cs"/>
          <w:rtl/>
        </w:rPr>
        <w:t>מבחינת ההשפעות, ברור שמס "חינוך</w:t>
      </w:r>
      <w:r w:rsidR="00E567E5">
        <w:rPr>
          <w:rFonts w:cs="David" w:hint="cs"/>
          <w:rtl/>
        </w:rPr>
        <w:t>"</w:t>
      </w:r>
      <w:r w:rsidR="00311F77">
        <w:rPr>
          <w:rFonts w:cs="David" w:hint="cs"/>
          <w:rtl/>
        </w:rPr>
        <w:t xml:space="preserve"> על תאגידים </w:t>
      </w:r>
      <w:r w:rsidR="00E567E5">
        <w:rPr>
          <w:rFonts w:cs="David" w:hint="cs"/>
          <w:rtl/>
        </w:rPr>
        <w:t>יוביל לירידה ברווחיות התאגיד</w:t>
      </w:r>
      <w:r w:rsidR="00D15B0F">
        <w:rPr>
          <w:rFonts w:cs="David" w:hint="cs"/>
          <w:rtl/>
        </w:rPr>
        <w:t>. בתגובה:</w:t>
      </w:r>
      <w:r w:rsidR="00E567E5">
        <w:rPr>
          <w:rFonts w:cs="David" w:hint="cs"/>
          <w:rtl/>
        </w:rPr>
        <w:t xml:space="preserve"> א. התאגיד יעלה את מחיר מוצריו כדי לגלם את המס החדש. </w:t>
      </w:r>
      <w:r w:rsidR="00BB50E5">
        <w:rPr>
          <w:rFonts w:cs="David" w:hint="cs"/>
          <w:rtl/>
        </w:rPr>
        <w:t xml:space="preserve">עליית המחיר תפגע בצורה חמורה יותר בשכבות החלשות, שעיקר המטרה של המס הייתה לשפר את החינוך עבורן. </w:t>
      </w:r>
      <w:r w:rsidR="00E567E5">
        <w:rPr>
          <w:rFonts w:cs="David" w:hint="cs"/>
          <w:rtl/>
        </w:rPr>
        <w:t>ב. המס יפגע ביכולתו של התאגיד להתמודד בשווקים בינלאומיים - כתוצאה מכך יפוטרו עובדים, עליית המחירים תמשיך וכן התאגיד ישקול ל</w:t>
      </w:r>
      <w:r w:rsidR="003B586C">
        <w:rPr>
          <w:rFonts w:cs="David" w:hint="cs"/>
          <w:rtl/>
        </w:rPr>
        <w:t xml:space="preserve">עביר את פעילותו למדינה אחרת. </w:t>
      </w:r>
      <w:r w:rsidR="00D15B0F">
        <w:rPr>
          <w:rFonts w:cs="David" w:hint="cs"/>
          <w:rtl/>
        </w:rPr>
        <w:t xml:space="preserve">הדיון בשאלת המס על החינוך מתקשר למערכת היחסים בין החברה האנושית / המדינה לבין התאגיד. </w:t>
      </w:r>
      <w:r w:rsidR="003D0202">
        <w:rPr>
          <w:rFonts w:cs="David" w:hint="cs"/>
          <w:rtl/>
        </w:rPr>
        <w:t>ניתן לטעון כי כיוון שתכלית התאגיד היא לייצר רווחים, לא נכון לשפוט אותו למול פגיעה בתחומים אחרים בחברה. התאגיד ממקסם את יכולת הייצור אנושית (באמצעות ניהול וחלוקת עבודה)</w:t>
      </w:r>
      <w:r w:rsidR="009720B6">
        <w:rPr>
          <w:rFonts w:cs="David" w:hint="cs"/>
          <w:rtl/>
        </w:rPr>
        <w:t xml:space="preserve"> שהיא הבסיס לכל הכלכלה המודרנית ורמת החיים הגבוהה בעולם המערבי.</w:t>
      </w:r>
      <w:r w:rsidR="003D0202">
        <w:rPr>
          <w:rFonts w:cs="David" w:hint="cs"/>
          <w:rtl/>
        </w:rPr>
        <w:t xml:space="preserve"> לכן </w:t>
      </w:r>
      <w:r w:rsidR="009720B6">
        <w:rPr>
          <w:rFonts w:cs="David" w:hint="cs"/>
          <w:rtl/>
        </w:rPr>
        <w:t xml:space="preserve">התוצאות השליליות של פעילות התאגיד הן עובדה מוגמרת. הדבר שקול לתועלת הרבה מאוד שצמחה לחברה האנושית משימוש בדלק מאובנים (דלק ופחם) למרות הנזק ההיקפי שנגרם כתוצאה מכך. על פי טענה זו, התאגיד הוא כלי למטרה </w:t>
      </w:r>
      <w:proofErr w:type="spellStart"/>
      <w:r w:rsidR="009720B6">
        <w:rPr>
          <w:rFonts w:cs="David" w:hint="cs"/>
          <w:rtl/>
        </w:rPr>
        <w:t>מסויימת</w:t>
      </w:r>
      <w:proofErr w:type="spellEnd"/>
      <w:r w:rsidR="009720B6">
        <w:rPr>
          <w:rFonts w:cs="David" w:hint="cs"/>
          <w:rtl/>
        </w:rPr>
        <w:t xml:space="preserve"> ולא שחקן של ממש שיש לראות אותו כאחראי. </w:t>
      </w:r>
      <w:r w:rsidR="00C12DA1">
        <w:rPr>
          <w:rFonts w:cs="David" w:hint="cs"/>
          <w:rtl/>
        </w:rPr>
        <w:t>על כן</w:t>
      </w:r>
      <w:r w:rsidR="009720B6">
        <w:rPr>
          <w:rFonts w:cs="David" w:hint="cs"/>
          <w:rtl/>
        </w:rPr>
        <w:t xml:space="preserve">, יתכן שכלל אין זה נכון למסות תאגידים שכן עצם קיומם מהווה </w:t>
      </w:r>
      <w:r w:rsidR="00E5789C">
        <w:rPr>
          <w:rFonts w:cs="David" w:hint="cs"/>
          <w:rtl/>
        </w:rPr>
        <w:t>כלי</w:t>
      </w:r>
      <w:r w:rsidR="009720B6">
        <w:rPr>
          <w:rFonts w:cs="David" w:hint="cs"/>
          <w:rtl/>
        </w:rPr>
        <w:t xml:space="preserve"> </w:t>
      </w:r>
      <w:r w:rsidR="00E5789C">
        <w:rPr>
          <w:rFonts w:cs="David" w:hint="cs"/>
          <w:rtl/>
        </w:rPr>
        <w:t>לקידום ה</w:t>
      </w:r>
      <w:r w:rsidR="009720B6">
        <w:rPr>
          <w:rFonts w:cs="David" w:hint="cs"/>
          <w:rtl/>
        </w:rPr>
        <w:t>חברה</w:t>
      </w:r>
      <w:r w:rsidR="00E5789C">
        <w:rPr>
          <w:rFonts w:cs="David" w:hint="cs"/>
          <w:rtl/>
        </w:rPr>
        <w:t>, שהחברה בחרה בו (הרי התאגידים מוקמים מכוח חוק)</w:t>
      </w:r>
      <w:r w:rsidR="009720B6">
        <w:rPr>
          <w:rFonts w:cs="David" w:hint="cs"/>
          <w:rtl/>
        </w:rPr>
        <w:t>. מנגד, ניתן לטעון כי למרות שהתאגיד הוא כלי לקידום החברה האנושית, הרי שכתוצאה מכך הוא חייב למדינה ולקהילה את קיומו, שכן הוקם מכוח ח</w:t>
      </w:r>
      <w:r w:rsidR="005D297C">
        <w:rPr>
          <w:rFonts w:cs="David" w:hint="cs"/>
          <w:rtl/>
        </w:rPr>
        <w:t>וק. מכאן שעליו לשמש בין היתר כמ</w:t>
      </w:r>
      <w:r w:rsidR="009720B6">
        <w:rPr>
          <w:rFonts w:cs="David" w:hint="cs"/>
          <w:rtl/>
        </w:rPr>
        <w:t>כ</w:t>
      </w:r>
      <w:r w:rsidR="005D297C">
        <w:rPr>
          <w:rFonts w:cs="David" w:hint="cs"/>
          <w:rtl/>
        </w:rPr>
        <w:t>ש</w:t>
      </w:r>
      <w:r w:rsidR="009720B6">
        <w:rPr>
          <w:rFonts w:cs="David" w:hint="cs"/>
          <w:rtl/>
        </w:rPr>
        <w:t xml:space="preserve">יר למימוש מטרות חברתיות. גישה זו תצדיק </w:t>
      </w:r>
      <w:r w:rsidR="00415239">
        <w:rPr>
          <w:rFonts w:cs="David" w:hint="cs"/>
          <w:rtl/>
        </w:rPr>
        <w:t>מס כללי על תאגידים</w:t>
      </w:r>
      <w:r w:rsidR="006838C1">
        <w:rPr>
          <w:rStyle w:val="a6"/>
          <w:rFonts w:cs="David"/>
          <w:rtl/>
        </w:rPr>
        <w:footnoteReference w:id="14"/>
      </w:r>
      <w:r w:rsidR="006838C1">
        <w:rPr>
          <w:rFonts w:cs="David" w:hint="cs"/>
          <w:rtl/>
        </w:rPr>
        <w:t>.</w:t>
      </w:r>
      <w:r w:rsidR="003D0202">
        <w:rPr>
          <w:rFonts w:cs="David" w:hint="cs"/>
          <w:rtl/>
        </w:rPr>
        <w:t xml:space="preserve"> </w:t>
      </w:r>
    </w:p>
    <w:sectPr w:rsidR="008B57F7" w:rsidRPr="005A07F2" w:rsidSect="00674DBF">
      <w:pgSz w:w="11906" w:h="16838"/>
      <w:pgMar w:top="1418" w:right="1797" w:bottom="1440" w:left="1797"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D6F" w:rsidRDefault="007D1D6F" w:rsidP="00861239">
      <w:r>
        <w:separator/>
      </w:r>
    </w:p>
  </w:endnote>
  <w:endnote w:type="continuationSeparator" w:id="0">
    <w:p w:rsidR="007D1D6F" w:rsidRDefault="007D1D6F" w:rsidP="008612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D6F" w:rsidRDefault="007D1D6F" w:rsidP="00861239">
      <w:r>
        <w:separator/>
      </w:r>
    </w:p>
  </w:footnote>
  <w:footnote w:type="continuationSeparator" w:id="0">
    <w:p w:rsidR="007D1D6F" w:rsidRDefault="007D1D6F" w:rsidP="00861239">
      <w:r>
        <w:continuationSeparator/>
      </w:r>
    </w:p>
  </w:footnote>
  <w:footnote w:id="1">
    <w:p w:rsidR="000A7E3E" w:rsidRPr="00127F43" w:rsidRDefault="000A7E3E" w:rsidP="00861239">
      <w:pPr>
        <w:pStyle w:val="a4"/>
        <w:rPr>
          <w:rtl/>
        </w:rPr>
      </w:pPr>
      <w:r>
        <w:rPr>
          <w:rStyle w:val="a6"/>
        </w:rPr>
        <w:footnoteRef/>
      </w:r>
      <w:r>
        <w:rPr>
          <w:rtl/>
        </w:rPr>
        <w:t xml:space="preserve"> </w:t>
      </w:r>
      <w:r w:rsidR="00127F43">
        <w:rPr>
          <w:rFonts w:hint="cs"/>
        </w:rPr>
        <w:t>A</w:t>
      </w:r>
      <w:r w:rsidR="00127F43">
        <w:t xml:space="preserve">dam Smith, </w:t>
      </w:r>
      <w:r w:rsidR="00127F43" w:rsidRPr="00127F43">
        <w:rPr>
          <w:i/>
          <w:iCs/>
        </w:rPr>
        <w:t>An Inquiry into the Nature and Causes of the Wealth of Nations</w:t>
      </w:r>
      <w:r w:rsidR="00127F43">
        <w:t xml:space="preserve"> (</w:t>
      </w:r>
      <w:r w:rsidR="00127F43" w:rsidRPr="00127F43">
        <w:t>London: Methuen &amp; Co., Ltd. 1904)</w:t>
      </w:r>
      <w:r w:rsidR="00127F43">
        <w:t xml:space="preserve"> </w:t>
      </w:r>
    </w:p>
  </w:footnote>
  <w:footnote w:id="2">
    <w:p w:rsidR="008564F8" w:rsidRDefault="008564F8" w:rsidP="008564F8">
      <w:pPr>
        <w:pStyle w:val="a4"/>
      </w:pPr>
      <w:r>
        <w:rPr>
          <w:rStyle w:val="a6"/>
        </w:rPr>
        <w:footnoteRef/>
      </w:r>
      <w:r>
        <w:rPr>
          <w:rtl/>
        </w:rPr>
        <w:t xml:space="preserve"> </w:t>
      </w:r>
      <w:r>
        <w:rPr>
          <w:rFonts w:hint="cs"/>
        </w:rPr>
        <w:t>R</w:t>
      </w:r>
      <w:r w:rsidR="00127F43">
        <w:t xml:space="preserve">. H. </w:t>
      </w:r>
      <w:proofErr w:type="spellStart"/>
      <w:r w:rsidR="00127F43">
        <w:t>Coase</w:t>
      </w:r>
      <w:proofErr w:type="spellEnd"/>
      <w:r w:rsidR="00127F43">
        <w:t>,</w:t>
      </w:r>
      <w:r>
        <w:t xml:space="preserve"> </w:t>
      </w:r>
      <w:r w:rsidRPr="00127F43">
        <w:rPr>
          <w:i/>
          <w:iCs/>
        </w:rPr>
        <w:t>The Firm The Market and the Law</w:t>
      </w:r>
      <w:r>
        <w:t xml:space="preserve"> (University of Chicago press, 1990)</w:t>
      </w:r>
    </w:p>
  </w:footnote>
  <w:footnote w:id="3">
    <w:p w:rsidR="00CE7661" w:rsidRDefault="00CE7661" w:rsidP="00CE7661">
      <w:pPr>
        <w:pStyle w:val="a4"/>
        <w:rPr>
          <w:rtl/>
        </w:rPr>
      </w:pPr>
      <w:r>
        <w:rPr>
          <w:rStyle w:val="a6"/>
        </w:rPr>
        <w:footnoteRef/>
      </w:r>
      <w:r>
        <w:rPr>
          <w:rtl/>
        </w:rPr>
        <w:t xml:space="preserve"> </w:t>
      </w:r>
      <w:r>
        <w:t xml:space="preserve">Maurice Dobb, </w:t>
      </w:r>
      <w:r w:rsidRPr="006057A5">
        <w:rPr>
          <w:i/>
          <w:iCs/>
        </w:rPr>
        <w:t>capitalist enterprise and social progress</w:t>
      </w:r>
      <w:r>
        <w:t xml:space="preserve"> (Hyperion press, 1980)</w:t>
      </w:r>
    </w:p>
  </w:footnote>
  <w:footnote w:id="4">
    <w:p w:rsidR="00260963" w:rsidRDefault="00260963">
      <w:pPr>
        <w:pStyle w:val="a4"/>
        <w:rPr>
          <w:rtl/>
        </w:rPr>
      </w:pPr>
      <w:r>
        <w:rPr>
          <w:rStyle w:val="a6"/>
        </w:rPr>
        <w:footnoteRef/>
      </w:r>
      <w:r>
        <w:rPr>
          <w:rtl/>
        </w:rPr>
        <w:t xml:space="preserve"> </w:t>
      </w:r>
      <w:r>
        <w:t>Cf. J. B. Clark,</w:t>
      </w:r>
      <w:r w:rsidRPr="00127F43">
        <w:rPr>
          <w:i/>
          <w:iCs/>
        </w:rPr>
        <w:t xml:space="preserve"> the Distribution of Wealth</w:t>
      </w:r>
      <w:r>
        <w:t xml:space="preserve"> (New York: Macmillan co., 1931), </w:t>
      </w:r>
      <w:proofErr w:type="gramStart"/>
      <w:r>
        <w:t xml:space="preserve">19 </w:t>
      </w:r>
      <w:r w:rsidR="00F53848">
        <w:rPr>
          <w:rFonts w:hint="cs"/>
          <w:rtl/>
        </w:rPr>
        <w:t>.</w:t>
      </w:r>
      <w:proofErr w:type="gramEnd"/>
    </w:p>
  </w:footnote>
  <w:footnote w:id="5">
    <w:p w:rsidR="00CE7661" w:rsidRPr="00F53848" w:rsidRDefault="00CE7661" w:rsidP="00CE7661">
      <w:pPr>
        <w:pStyle w:val="a4"/>
        <w:rPr>
          <w:rtl/>
        </w:rPr>
      </w:pPr>
      <w:r>
        <w:rPr>
          <w:rStyle w:val="a6"/>
        </w:rPr>
        <w:footnoteRef/>
      </w:r>
      <w:r>
        <w:rPr>
          <w:rtl/>
        </w:rPr>
        <w:t xml:space="preserve"> </w:t>
      </w:r>
      <w:proofErr w:type="gramStart"/>
      <w:r>
        <w:t xml:space="preserve">Frank Knight, </w:t>
      </w:r>
      <w:r w:rsidRPr="005A07F2">
        <w:rPr>
          <w:i/>
          <w:iCs/>
        </w:rPr>
        <w:t>Risk, Uncertainty and Profit</w:t>
      </w:r>
      <w:r>
        <w:t xml:space="preserve"> (</w:t>
      </w:r>
      <w:r w:rsidRPr="00451D63">
        <w:t xml:space="preserve">Boston, MA: Hart, </w:t>
      </w:r>
      <w:proofErr w:type="spellStart"/>
      <w:r w:rsidRPr="00451D63">
        <w:t>Schaffner</w:t>
      </w:r>
      <w:proofErr w:type="spellEnd"/>
      <w:r w:rsidRPr="00451D63">
        <w:t xml:space="preserve"> &amp; Marx; Houghton Mifflin Co</w:t>
      </w:r>
      <w:r>
        <w:t xml:space="preserve"> 1921) 267</w:t>
      </w:r>
      <w:r>
        <w:rPr>
          <w:rFonts w:hint="cs"/>
          <w:rtl/>
        </w:rPr>
        <w:t>.</w:t>
      </w:r>
      <w:proofErr w:type="gramEnd"/>
    </w:p>
  </w:footnote>
  <w:footnote w:id="6">
    <w:p w:rsidR="00E37B39" w:rsidRDefault="00E37B39" w:rsidP="00774C0E">
      <w:pPr>
        <w:pStyle w:val="a4"/>
        <w:rPr>
          <w:rtl/>
        </w:rPr>
      </w:pPr>
      <w:r>
        <w:rPr>
          <w:rStyle w:val="a6"/>
        </w:rPr>
        <w:footnoteRef/>
      </w:r>
      <w:r>
        <w:rPr>
          <w:rtl/>
        </w:rPr>
        <w:t xml:space="preserve"> </w:t>
      </w:r>
      <w:r>
        <w:rPr>
          <w:rFonts w:hint="cs"/>
          <w:rtl/>
        </w:rPr>
        <w:t xml:space="preserve">סעיף 17(א) לחוק החברות </w:t>
      </w:r>
      <w:proofErr w:type="spellStart"/>
      <w:r>
        <w:rPr>
          <w:rFonts w:hint="cs"/>
          <w:rtl/>
        </w:rPr>
        <w:t>התשנ"ט</w:t>
      </w:r>
      <w:proofErr w:type="spellEnd"/>
      <w:r>
        <w:rPr>
          <w:rFonts w:hint="cs"/>
          <w:rtl/>
        </w:rPr>
        <w:t xml:space="preserve">-1999. </w:t>
      </w:r>
    </w:p>
  </w:footnote>
  <w:footnote w:id="7">
    <w:p w:rsidR="00BE24AB" w:rsidRDefault="00BE24AB">
      <w:pPr>
        <w:pStyle w:val="a4"/>
      </w:pPr>
      <w:r>
        <w:rPr>
          <w:rStyle w:val="a6"/>
        </w:rPr>
        <w:footnoteRef/>
      </w:r>
      <w:r>
        <w:rPr>
          <w:rtl/>
        </w:rPr>
        <w:t xml:space="preserve"> </w:t>
      </w:r>
      <w:r>
        <w:rPr>
          <w:rFonts w:hint="cs"/>
          <w:rtl/>
        </w:rPr>
        <w:t xml:space="preserve">סעיף 11(א) לחוק החברות </w:t>
      </w:r>
      <w:proofErr w:type="spellStart"/>
      <w:r>
        <w:rPr>
          <w:rFonts w:hint="cs"/>
          <w:rtl/>
        </w:rPr>
        <w:t>התשנ"ט</w:t>
      </w:r>
      <w:proofErr w:type="spellEnd"/>
      <w:r>
        <w:rPr>
          <w:rFonts w:hint="cs"/>
          <w:rtl/>
        </w:rPr>
        <w:t xml:space="preserve">-1999. </w:t>
      </w:r>
    </w:p>
  </w:footnote>
  <w:footnote w:id="8">
    <w:p w:rsidR="00BE24AB" w:rsidRPr="003E20F7" w:rsidRDefault="00BE24AB" w:rsidP="00774C0E">
      <w:pPr>
        <w:spacing w:line="240" w:lineRule="auto"/>
        <w:rPr>
          <w:rtl/>
        </w:rPr>
      </w:pPr>
      <w:r w:rsidRPr="003F6CCB">
        <w:rPr>
          <w:rStyle w:val="a6"/>
          <w:sz w:val="20"/>
          <w:szCs w:val="20"/>
        </w:rPr>
        <w:footnoteRef/>
      </w:r>
      <w:r w:rsidRPr="003F6CCB">
        <w:rPr>
          <w:sz w:val="20"/>
          <w:szCs w:val="20"/>
          <w:rtl/>
        </w:rPr>
        <w:t xml:space="preserve"> </w:t>
      </w:r>
      <w:r w:rsidRPr="003F6CCB">
        <w:rPr>
          <w:sz w:val="20"/>
          <w:szCs w:val="20"/>
        </w:rPr>
        <w:t xml:space="preserve">David R. James and Michael </w:t>
      </w:r>
      <w:proofErr w:type="spellStart"/>
      <w:r w:rsidRPr="003F6CCB">
        <w:rPr>
          <w:sz w:val="20"/>
          <w:szCs w:val="20"/>
        </w:rPr>
        <w:t>Soref</w:t>
      </w:r>
      <w:proofErr w:type="spellEnd"/>
      <w:r w:rsidRPr="003F6CCB">
        <w:rPr>
          <w:sz w:val="20"/>
          <w:szCs w:val="20"/>
        </w:rPr>
        <w:t xml:space="preserve">, </w:t>
      </w:r>
      <w:r w:rsidRPr="003F6CCB">
        <w:rPr>
          <w:i/>
          <w:iCs/>
          <w:sz w:val="20"/>
          <w:szCs w:val="20"/>
        </w:rPr>
        <w:t>Profit Constraints on Managerial Autonomy: Managerial Theory and the Unmaking of the Corporation President</w:t>
      </w:r>
      <w:r w:rsidRPr="003F6CCB">
        <w:rPr>
          <w:sz w:val="20"/>
          <w:szCs w:val="20"/>
        </w:rPr>
        <w:t xml:space="preserve">, </w:t>
      </w:r>
      <w:r w:rsidRPr="003F6CCB">
        <w:rPr>
          <w:smallCaps/>
          <w:sz w:val="20"/>
          <w:szCs w:val="20"/>
        </w:rPr>
        <w:t>American Sociological Review</w:t>
      </w:r>
      <w:r w:rsidRPr="003F6CCB">
        <w:rPr>
          <w:sz w:val="20"/>
          <w:szCs w:val="20"/>
        </w:rPr>
        <w:t>, Vol. 46, No. 1 (Feb., 1981), pp</w:t>
      </w:r>
      <w:r>
        <w:rPr>
          <w:sz w:val="20"/>
          <w:szCs w:val="20"/>
        </w:rPr>
        <w:t xml:space="preserve"> 2: </w:t>
      </w:r>
      <w:r w:rsidRPr="003F6CCB">
        <w:rPr>
          <w:sz w:val="20"/>
          <w:szCs w:val="20"/>
        </w:rPr>
        <w:t>"Thus,  managerial  corporations  are  slow  to  innovate</w:t>
      </w:r>
      <w:r>
        <w:rPr>
          <w:sz w:val="20"/>
          <w:szCs w:val="20"/>
        </w:rPr>
        <w:t xml:space="preserve"> </w:t>
      </w:r>
      <w:r w:rsidRPr="003F6CCB">
        <w:rPr>
          <w:sz w:val="20"/>
          <w:szCs w:val="20"/>
        </w:rPr>
        <w:t xml:space="preserve">and  tend  to  shun  risk.  </w:t>
      </w:r>
      <w:proofErr w:type="gramStart"/>
      <w:r w:rsidRPr="003F6CCB">
        <w:rPr>
          <w:sz w:val="20"/>
          <w:szCs w:val="20"/>
        </w:rPr>
        <w:t>They  adopt</w:t>
      </w:r>
      <w:proofErr w:type="gramEnd"/>
      <w:r>
        <w:rPr>
          <w:sz w:val="20"/>
          <w:szCs w:val="20"/>
        </w:rPr>
        <w:t xml:space="preserve"> </w:t>
      </w:r>
      <w:r w:rsidRPr="003F6CCB">
        <w:rPr>
          <w:sz w:val="20"/>
          <w:szCs w:val="20"/>
        </w:rPr>
        <w:t>strate</w:t>
      </w:r>
      <w:r>
        <w:rPr>
          <w:sz w:val="20"/>
          <w:szCs w:val="20"/>
        </w:rPr>
        <w:t>gies</w:t>
      </w:r>
      <w:r w:rsidRPr="003F6CCB">
        <w:rPr>
          <w:sz w:val="20"/>
          <w:szCs w:val="20"/>
        </w:rPr>
        <w:t xml:space="preserve"> which  favor  steady  growth  and allow</w:t>
      </w:r>
      <w:r>
        <w:rPr>
          <w:sz w:val="20"/>
          <w:szCs w:val="20"/>
        </w:rPr>
        <w:t xml:space="preserve"> </w:t>
      </w:r>
      <w:r w:rsidRPr="003F6CCB">
        <w:rPr>
          <w:sz w:val="20"/>
          <w:szCs w:val="20"/>
        </w:rPr>
        <w:t>high  salaries  for  management</w:t>
      </w:r>
      <w:r>
        <w:rPr>
          <w:sz w:val="20"/>
          <w:szCs w:val="20"/>
        </w:rPr>
        <w:t>."</w:t>
      </w:r>
      <w:r>
        <w:rPr>
          <w:rFonts w:hint="cs"/>
          <w:rtl/>
        </w:rPr>
        <w:t xml:space="preserve"> </w:t>
      </w:r>
    </w:p>
  </w:footnote>
  <w:footnote w:id="9">
    <w:p w:rsidR="0054478B" w:rsidRPr="0054478B" w:rsidRDefault="0054478B">
      <w:pPr>
        <w:pStyle w:val="a4"/>
        <w:rPr>
          <w:rtl/>
        </w:rPr>
      </w:pPr>
      <w:r>
        <w:rPr>
          <w:rStyle w:val="a6"/>
        </w:rPr>
        <w:footnoteRef/>
      </w:r>
      <w:r>
        <w:rPr>
          <w:rtl/>
        </w:rPr>
        <w:t xml:space="preserve"> </w:t>
      </w:r>
      <w:r>
        <w:rPr>
          <w:rFonts w:hint="cs"/>
          <w:rtl/>
        </w:rPr>
        <w:t>בארה"ב ובאנגליה הייתה נהוגה דוקטרינת ה-</w:t>
      </w:r>
      <w:r>
        <w:t xml:space="preserve">Ultra </w:t>
      </w:r>
      <w:proofErr w:type="spellStart"/>
      <w:r>
        <w:t>Vires</w:t>
      </w:r>
      <w:proofErr w:type="spellEnd"/>
      <w:r>
        <w:rPr>
          <w:rFonts w:hint="cs"/>
          <w:rtl/>
        </w:rPr>
        <w:t xml:space="preserve"> שתחילתה בפרשת </w:t>
      </w:r>
      <w:r w:rsidRPr="008C6020">
        <w:t>Ashbury Railway Carriage Co. v. Riche (1875)</w:t>
      </w:r>
      <w:r>
        <w:rPr>
          <w:rFonts w:hint="cs"/>
          <w:rtl/>
        </w:rPr>
        <w:t xml:space="preserve">. לפי דוקטרינה זו פעולה שבוצעה בניגוד לסעיף המטרות של החברה בטלה מעיקרה. </w:t>
      </w:r>
      <w:proofErr w:type="spellStart"/>
      <w:r w:rsidR="00E70187">
        <w:rPr>
          <w:rFonts w:hint="cs"/>
          <w:rtl/>
        </w:rPr>
        <w:t>יצויין</w:t>
      </w:r>
      <w:proofErr w:type="spellEnd"/>
      <w:r w:rsidR="00E70187">
        <w:rPr>
          <w:rFonts w:hint="cs"/>
          <w:rtl/>
        </w:rPr>
        <w:t xml:space="preserve"> כי תחולתה של הדוקטרינה צומצמה משמעותית באמצעות חוק ופסיקה הן בדין האנגלי והן בדין האמריקאי. </w:t>
      </w:r>
    </w:p>
  </w:footnote>
  <w:footnote w:id="10">
    <w:p w:rsidR="00E25699" w:rsidRPr="009A4D29" w:rsidRDefault="00E25699" w:rsidP="0013299E">
      <w:pPr>
        <w:pStyle w:val="a4"/>
      </w:pPr>
      <w:r w:rsidRPr="009A4D29">
        <w:rPr>
          <w:rStyle w:val="a6"/>
        </w:rPr>
        <w:footnoteRef/>
      </w:r>
      <w:r w:rsidRPr="009A4D29">
        <w:rPr>
          <w:rtl/>
        </w:rPr>
        <w:t xml:space="preserve"> </w:t>
      </w:r>
      <w:r>
        <w:rPr>
          <w:rFonts w:hint="cs"/>
          <w:rtl/>
        </w:rPr>
        <w:t xml:space="preserve">סעיף 55-56 לחוק החברות, </w:t>
      </w:r>
      <w:proofErr w:type="spellStart"/>
      <w:r>
        <w:rPr>
          <w:rFonts w:hint="cs"/>
          <w:rtl/>
        </w:rPr>
        <w:t>התשנ"ט</w:t>
      </w:r>
      <w:proofErr w:type="spellEnd"/>
      <w:r>
        <w:rPr>
          <w:rFonts w:hint="cs"/>
          <w:rtl/>
        </w:rPr>
        <w:t>-1999</w:t>
      </w:r>
      <w:r w:rsidR="00292D71">
        <w:rPr>
          <w:rFonts w:hint="cs"/>
          <w:rtl/>
        </w:rPr>
        <w:t>.</w:t>
      </w:r>
    </w:p>
  </w:footnote>
  <w:footnote w:id="11">
    <w:p w:rsidR="007B28AE" w:rsidRPr="00951E3E" w:rsidRDefault="007B28AE" w:rsidP="007B28AE">
      <w:pPr>
        <w:pStyle w:val="a4"/>
        <w:rPr>
          <w:rtl/>
        </w:rPr>
      </w:pPr>
      <w:r w:rsidRPr="00951E3E">
        <w:rPr>
          <w:rStyle w:val="a6"/>
        </w:rPr>
        <w:footnoteRef/>
      </w:r>
      <w:r w:rsidRPr="00951E3E">
        <w:rPr>
          <w:rtl/>
        </w:rPr>
        <w:t xml:space="preserve"> </w:t>
      </w:r>
      <w:r>
        <w:rPr>
          <w:rFonts w:hint="cs"/>
          <w:rtl/>
        </w:rPr>
        <w:t xml:space="preserve">בסעיף 35 לחוק החברות, </w:t>
      </w:r>
      <w:proofErr w:type="spellStart"/>
      <w:r>
        <w:rPr>
          <w:rFonts w:hint="cs"/>
          <w:rtl/>
        </w:rPr>
        <w:t>התשנ"ט</w:t>
      </w:r>
      <w:proofErr w:type="spellEnd"/>
      <w:r>
        <w:rPr>
          <w:rFonts w:hint="cs"/>
          <w:rtl/>
        </w:rPr>
        <w:t xml:space="preserve">-1999. </w:t>
      </w:r>
    </w:p>
  </w:footnote>
  <w:footnote w:id="12">
    <w:p w:rsidR="00C66DB7" w:rsidRDefault="00C66DB7">
      <w:pPr>
        <w:pStyle w:val="a4"/>
      </w:pPr>
      <w:r>
        <w:rPr>
          <w:rStyle w:val="a6"/>
        </w:rPr>
        <w:footnoteRef/>
      </w:r>
      <w:r>
        <w:rPr>
          <w:rtl/>
        </w:rPr>
        <w:t xml:space="preserve"> </w:t>
      </w:r>
      <w:r>
        <w:rPr>
          <w:rFonts w:hint="cs"/>
          <w:rtl/>
        </w:rPr>
        <w:t xml:space="preserve">סעיף 4 לחוק החברות, </w:t>
      </w:r>
      <w:proofErr w:type="spellStart"/>
      <w:r>
        <w:rPr>
          <w:rFonts w:hint="cs"/>
          <w:rtl/>
        </w:rPr>
        <w:t>התשנ"ט</w:t>
      </w:r>
      <w:proofErr w:type="spellEnd"/>
      <w:r>
        <w:rPr>
          <w:rFonts w:hint="cs"/>
          <w:rtl/>
        </w:rPr>
        <w:t>-1999.</w:t>
      </w:r>
    </w:p>
  </w:footnote>
  <w:footnote w:id="13">
    <w:p w:rsidR="00070070" w:rsidRDefault="00070070">
      <w:pPr>
        <w:pStyle w:val="a4"/>
      </w:pPr>
      <w:r>
        <w:rPr>
          <w:rStyle w:val="a6"/>
        </w:rPr>
        <w:footnoteRef/>
      </w:r>
      <w:r>
        <w:rPr>
          <w:rtl/>
        </w:rPr>
        <w:t xml:space="preserve"> </w:t>
      </w:r>
      <w:r>
        <w:rPr>
          <w:rFonts w:hint="cs"/>
          <w:rtl/>
        </w:rPr>
        <w:t xml:space="preserve">ר' דוח הועדה למיסוי ירוק (2008) </w:t>
      </w:r>
      <w:hyperlink r:id="rId1" w:history="1">
        <w:r>
          <w:rPr>
            <w:rStyle w:val="Hyperlink"/>
          </w:rPr>
          <w:t>http://ozar.mof.gov.il/taxes/misui150108.pdf</w:t>
        </w:r>
      </w:hyperlink>
      <w:r>
        <w:rPr>
          <w:rFonts w:hint="cs"/>
          <w:rtl/>
        </w:rPr>
        <w:t>.</w:t>
      </w:r>
    </w:p>
  </w:footnote>
  <w:footnote w:id="14">
    <w:p w:rsidR="006838C1" w:rsidRDefault="006838C1" w:rsidP="006838C1">
      <w:pPr>
        <w:pStyle w:val="a4"/>
        <w:rPr>
          <w:rtl/>
        </w:rPr>
      </w:pPr>
      <w:r>
        <w:rPr>
          <w:rStyle w:val="a6"/>
        </w:rPr>
        <w:footnoteRef/>
      </w:r>
      <w:r>
        <w:rPr>
          <w:rtl/>
        </w:rPr>
        <w:t xml:space="preserve"> </w:t>
      </w:r>
      <w:r>
        <w:rPr>
          <w:rFonts w:hint="cs"/>
          <w:rtl/>
        </w:rPr>
        <w:t>לדיון מעמיק בשאלת תכלית החברה</w:t>
      </w:r>
      <w:r w:rsidR="00415239">
        <w:rPr>
          <w:rFonts w:hint="cs"/>
          <w:rtl/>
        </w:rPr>
        <w:t xml:space="preserve"> למול מקומו של התאגיד</w:t>
      </w:r>
      <w:r>
        <w:rPr>
          <w:rFonts w:hint="cs"/>
          <w:rtl/>
        </w:rPr>
        <w:t xml:space="preserve"> ר' עלי </w:t>
      </w:r>
      <w:proofErr w:type="spellStart"/>
      <w:r>
        <w:rPr>
          <w:rFonts w:hint="cs"/>
          <w:rtl/>
        </w:rPr>
        <w:t>בוקשפן</w:t>
      </w:r>
      <w:proofErr w:type="spellEnd"/>
      <w:r>
        <w:rPr>
          <w:rFonts w:hint="cs"/>
          <w:rtl/>
        </w:rPr>
        <w:t xml:space="preserve">, "על חברה וחברה ועל מעמדו של סעיף 11 לחוק החברות במשפט הישראלי" </w:t>
      </w:r>
      <w:r w:rsidRPr="00A555DB">
        <w:rPr>
          <w:rFonts w:hint="cs"/>
          <w:b/>
          <w:bCs/>
          <w:rtl/>
        </w:rPr>
        <w:t>משפט ועסקים</w:t>
      </w:r>
      <w:r>
        <w:rPr>
          <w:rFonts w:hint="cs"/>
          <w:rtl/>
        </w:rPr>
        <w:t xml:space="preserve"> (2004).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8603F"/>
    <w:multiLevelType w:val="hybridMultilevel"/>
    <w:tmpl w:val="5C08F2F8"/>
    <w:lvl w:ilvl="0" w:tplc="BE380014">
      <w:start w:val="1"/>
      <w:numFmt w:val="decimal"/>
      <w:lvlText w:val="%1."/>
      <w:lvlJc w:val="left"/>
      <w:pPr>
        <w:tabs>
          <w:tab w:val="num" w:pos="1027"/>
        </w:tabs>
        <w:ind w:left="1027" w:hanging="630"/>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1">
    <w:nsid w:val="20980E88"/>
    <w:multiLevelType w:val="hybridMultilevel"/>
    <w:tmpl w:val="623E3DD0"/>
    <w:lvl w:ilvl="0" w:tplc="392E2AC0">
      <w:start w:val="1"/>
      <w:numFmt w:val="hebrew1"/>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2">
    <w:nsid w:val="3E0F7EF9"/>
    <w:multiLevelType w:val="hybridMultilevel"/>
    <w:tmpl w:val="F1FCE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1E25E4"/>
    <w:multiLevelType w:val="hybridMultilevel"/>
    <w:tmpl w:val="A3E05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844D9A"/>
    <w:multiLevelType w:val="hybridMultilevel"/>
    <w:tmpl w:val="651651DE"/>
    <w:lvl w:ilvl="0" w:tplc="686C790C">
      <w:start w:val="1"/>
      <w:numFmt w:val="decimal"/>
      <w:lvlText w:val="%1."/>
      <w:lvlJc w:val="left"/>
      <w:pPr>
        <w:ind w:left="757" w:hanging="360"/>
      </w:pPr>
      <w:rPr>
        <w:rFonts w:hint="default"/>
      </w:rPr>
    </w:lvl>
    <w:lvl w:ilvl="1" w:tplc="04090019">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efaultTabStop w:val="720"/>
  <w:characterSpacingControl w:val="doNotCompress"/>
  <w:footnotePr>
    <w:footnote w:id="-1"/>
    <w:footnote w:id="0"/>
  </w:footnotePr>
  <w:endnotePr>
    <w:endnote w:id="-1"/>
    <w:endnote w:id="0"/>
  </w:endnotePr>
  <w:compat/>
  <w:rsids>
    <w:rsidRoot w:val="00160867"/>
    <w:rsid w:val="00001E23"/>
    <w:rsid w:val="0000279B"/>
    <w:rsid w:val="000212FE"/>
    <w:rsid w:val="000434ED"/>
    <w:rsid w:val="00050648"/>
    <w:rsid w:val="00053C8A"/>
    <w:rsid w:val="00070070"/>
    <w:rsid w:val="00072078"/>
    <w:rsid w:val="000723A0"/>
    <w:rsid w:val="00093920"/>
    <w:rsid w:val="00093ABB"/>
    <w:rsid w:val="000A22D9"/>
    <w:rsid w:val="000A7E3E"/>
    <w:rsid w:val="000B09BC"/>
    <w:rsid w:val="000B2C62"/>
    <w:rsid w:val="000C617F"/>
    <w:rsid w:val="000C7A10"/>
    <w:rsid w:val="000E175C"/>
    <w:rsid w:val="000E3F27"/>
    <w:rsid w:val="00127F43"/>
    <w:rsid w:val="0013299E"/>
    <w:rsid w:val="001360F4"/>
    <w:rsid w:val="00153440"/>
    <w:rsid w:val="00160867"/>
    <w:rsid w:val="00165316"/>
    <w:rsid w:val="00180FA2"/>
    <w:rsid w:val="0019344E"/>
    <w:rsid w:val="00193F65"/>
    <w:rsid w:val="001A6B8A"/>
    <w:rsid w:val="001B10DC"/>
    <w:rsid w:val="001C0FE7"/>
    <w:rsid w:val="001D324C"/>
    <w:rsid w:val="001E1DEA"/>
    <w:rsid w:val="001E366B"/>
    <w:rsid w:val="001F0BB7"/>
    <w:rsid w:val="001F2ADD"/>
    <w:rsid w:val="001F5E14"/>
    <w:rsid w:val="00201DCD"/>
    <w:rsid w:val="00201DD3"/>
    <w:rsid w:val="00216543"/>
    <w:rsid w:val="00226C96"/>
    <w:rsid w:val="002355F1"/>
    <w:rsid w:val="00242EED"/>
    <w:rsid w:val="00260963"/>
    <w:rsid w:val="0028663A"/>
    <w:rsid w:val="00292D71"/>
    <w:rsid w:val="002B12A6"/>
    <w:rsid w:val="002B15E1"/>
    <w:rsid w:val="002C1BE4"/>
    <w:rsid w:val="002E0795"/>
    <w:rsid w:val="002F0836"/>
    <w:rsid w:val="002F0DD6"/>
    <w:rsid w:val="002F6813"/>
    <w:rsid w:val="00311683"/>
    <w:rsid w:val="00311F77"/>
    <w:rsid w:val="0032474A"/>
    <w:rsid w:val="00326157"/>
    <w:rsid w:val="00332204"/>
    <w:rsid w:val="0034179D"/>
    <w:rsid w:val="0035438C"/>
    <w:rsid w:val="003556E7"/>
    <w:rsid w:val="00365E49"/>
    <w:rsid w:val="00372E8A"/>
    <w:rsid w:val="00382C55"/>
    <w:rsid w:val="00394D1B"/>
    <w:rsid w:val="003B3E6B"/>
    <w:rsid w:val="003B586C"/>
    <w:rsid w:val="003C6149"/>
    <w:rsid w:val="003D0202"/>
    <w:rsid w:val="003E20F7"/>
    <w:rsid w:val="003F09F1"/>
    <w:rsid w:val="003F6CCB"/>
    <w:rsid w:val="0041032C"/>
    <w:rsid w:val="00410831"/>
    <w:rsid w:val="00410D27"/>
    <w:rsid w:val="00415239"/>
    <w:rsid w:val="00420EE5"/>
    <w:rsid w:val="00430F56"/>
    <w:rsid w:val="004424C3"/>
    <w:rsid w:val="00451D63"/>
    <w:rsid w:val="00462C7C"/>
    <w:rsid w:val="00463956"/>
    <w:rsid w:val="00466DAD"/>
    <w:rsid w:val="004847E1"/>
    <w:rsid w:val="004A13A2"/>
    <w:rsid w:val="004D777E"/>
    <w:rsid w:val="004E4B7C"/>
    <w:rsid w:val="004F015F"/>
    <w:rsid w:val="004F41DD"/>
    <w:rsid w:val="00504345"/>
    <w:rsid w:val="005103FE"/>
    <w:rsid w:val="00516B91"/>
    <w:rsid w:val="00526821"/>
    <w:rsid w:val="00532075"/>
    <w:rsid w:val="00532F5F"/>
    <w:rsid w:val="00540B28"/>
    <w:rsid w:val="00541D28"/>
    <w:rsid w:val="0054478B"/>
    <w:rsid w:val="00561C94"/>
    <w:rsid w:val="005740FD"/>
    <w:rsid w:val="0058007A"/>
    <w:rsid w:val="005817D0"/>
    <w:rsid w:val="00582F4E"/>
    <w:rsid w:val="00585374"/>
    <w:rsid w:val="00590974"/>
    <w:rsid w:val="0059098A"/>
    <w:rsid w:val="00595627"/>
    <w:rsid w:val="005A07F2"/>
    <w:rsid w:val="005D180F"/>
    <w:rsid w:val="005D297C"/>
    <w:rsid w:val="005E174B"/>
    <w:rsid w:val="005E32D9"/>
    <w:rsid w:val="005F3894"/>
    <w:rsid w:val="0060121B"/>
    <w:rsid w:val="00604DA0"/>
    <w:rsid w:val="006057A5"/>
    <w:rsid w:val="00634323"/>
    <w:rsid w:val="00636505"/>
    <w:rsid w:val="00647DE2"/>
    <w:rsid w:val="0065026D"/>
    <w:rsid w:val="006606CB"/>
    <w:rsid w:val="006673EE"/>
    <w:rsid w:val="00667A1E"/>
    <w:rsid w:val="00674DBF"/>
    <w:rsid w:val="006838C1"/>
    <w:rsid w:val="00690CDD"/>
    <w:rsid w:val="006C2E77"/>
    <w:rsid w:val="007059C4"/>
    <w:rsid w:val="00737FA7"/>
    <w:rsid w:val="00741768"/>
    <w:rsid w:val="00745447"/>
    <w:rsid w:val="00754569"/>
    <w:rsid w:val="00770608"/>
    <w:rsid w:val="00771176"/>
    <w:rsid w:val="00774C0E"/>
    <w:rsid w:val="007974DF"/>
    <w:rsid w:val="007A5CB1"/>
    <w:rsid w:val="007B28AE"/>
    <w:rsid w:val="007B6338"/>
    <w:rsid w:val="007B6DAB"/>
    <w:rsid w:val="007C20E8"/>
    <w:rsid w:val="007D1D6F"/>
    <w:rsid w:val="007E03DA"/>
    <w:rsid w:val="007F49C5"/>
    <w:rsid w:val="00801B73"/>
    <w:rsid w:val="008205C7"/>
    <w:rsid w:val="00834280"/>
    <w:rsid w:val="008564F8"/>
    <w:rsid w:val="00861239"/>
    <w:rsid w:val="008649C2"/>
    <w:rsid w:val="008777AA"/>
    <w:rsid w:val="008A4D80"/>
    <w:rsid w:val="008B57F7"/>
    <w:rsid w:val="008C268A"/>
    <w:rsid w:val="008D1919"/>
    <w:rsid w:val="008E68A4"/>
    <w:rsid w:val="00903E7C"/>
    <w:rsid w:val="00904120"/>
    <w:rsid w:val="00911DEF"/>
    <w:rsid w:val="00923AA1"/>
    <w:rsid w:val="0093322B"/>
    <w:rsid w:val="00936E09"/>
    <w:rsid w:val="009430CA"/>
    <w:rsid w:val="00962CE3"/>
    <w:rsid w:val="009720B6"/>
    <w:rsid w:val="00981340"/>
    <w:rsid w:val="0098586D"/>
    <w:rsid w:val="00991751"/>
    <w:rsid w:val="009E0BD9"/>
    <w:rsid w:val="009E2D79"/>
    <w:rsid w:val="00A14AB2"/>
    <w:rsid w:val="00A15D72"/>
    <w:rsid w:val="00A315E7"/>
    <w:rsid w:val="00A33D43"/>
    <w:rsid w:val="00A363EC"/>
    <w:rsid w:val="00A555DB"/>
    <w:rsid w:val="00A60C77"/>
    <w:rsid w:val="00A63028"/>
    <w:rsid w:val="00A80FF9"/>
    <w:rsid w:val="00A82139"/>
    <w:rsid w:val="00A9424E"/>
    <w:rsid w:val="00AA7C4C"/>
    <w:rsid w:val="00AF3DD6"/>
    <w:rsid w:val="00B03337"/>
    <w:rsid w:val="00B0518D"/>
    <w:rsid w:val="00B056C5"/>
    <w:rsid w:val="00B101B8"/>
    <w:rsid w:val="00B157F6"/>
    <w:rsid w:val="00B2644A"/>
    <w:rsid w:val="00B45873"/>
    <w:rsid w:val="00B51198"/>
    <w:rsid w:val="00B540A1"/>
    <w:rsid w:val="00B73261"/>
    <w:rsid w:val="00B73E13"/>
    <w:rsid w:val="00B745D8"/>
    <w:rsid w:val="00B7619F"/>
    <w:rsid w:val="00B94A3E"/>
    <w:rsid w:val="00BA54B9"/>
    <w:rsid w:val="00BA7188"/>
    <w:rsid w:val="00BB073D"/>
    <w:rsid w:val="00BB50E5"/>
    <w:rsid w:val="00BD39CE"/>
    <w:rsid w:val="00BE152E"/>
    <w:rsid w:val="00BE24AB"/>
    <w:rsid w:val="00BF09B0"/>
    <w:rsid w:val="00BF11EE"/>
    <w:rsid w:val="00C01F86"/>
    <w:rsid w:val="00C02593"/>
    <w:rsid w:val="00C0688A"/>
    <w:rsid w:val="00C11018"/>
    <w:rsid w:val="00C12DA1"/>
    <w:rsid w:val="00C13A19"/>
    <w:rsid w:val="00C16C55"/>
    <w:rsid w:val="00C2566C"/>
    <w:rsid w:val="00C32042"/>
    <w:rsid w:val="00C413A7"/>
    <w:rsid w:val="00C66DB7"/>
    <w:rsid w:val="00C677EB"/>
    <w:rsid w:val="00C81DD1"/>
    <w:rsid w:val="00C82F87"/>
    <w:rsid w:val="00C83C9C"/>
    <w:rsid w:val="00C84FAC"/>
    <w:rsid w:val="00C96A2A"/>
    <w:rsid w:val="00CA1588"/>
    <w:rsid w:val="00CA323F"/>
    <w:rsid w:val="00CB491D"/>
    <w:rsid w:val="00CD39D8"/>
    <w:rsid w:val="00CD4217"/>
    <w:rsid w:val="00CE1DFA"/>
    <w:rsid w:val="00CE5107"/>
    <w:rsid w:val="00CE7661"/>
    <w:rsid w:val="00CF3098"/>
    <w:rsid w:val="00D07B56"/>
    <w:rsid w:val="00D13DD0"/>
    <w:rsid w:val="00D15B0F"/>
    <w:rsid w:val="00D21F76"/>
    <w:rsid w:val="00D54A75"/>
    <w:rsid w:val="00DA3385"/>
    <w:rsid w:val="00DA6FF3"/>
    <w:rsid w:val="00DB0BAA"/>
    <w:rsid w:val="00DD27BF"/>
    <w:rsid w:val="00DD2870"/>
    <w:rsid w:val="00DE17EC"/>
    <w:rsid w:val="00DE33B4"/>
    <w:rsid w:val="00E03CAE"/>
    <w:rsid w:val="00E076D5"/>
    <w:rsid w:val="00E25699"/>
    <w:rsid w:val="00E37B39"/>
    <w:rsid w:val="00E431CD"/>
    <w:rsid w:val="00E50DB1"/>
    <w:rsid w:val="00E54D31"/>
    <w:rsid w:val="00E567E5"/>
    <w:rsid w:val="00E5789C"/>
    <w:rsid w:val="00E70187"/>
    <w:rsid w:val="00E702C1"/>
    <w:rsid w:val="00E92213"/>
    <w:rsid w:val="00E92423"/>
    <w:rsid w:val="00EA1AE8"/>
    <w:rsid w:val="00EA29FF"/>
    <w:rsid w:val="00EA44E1"/>
    <w:rsid w:val="00EB3BB3"/>
    <w:rsid w:val="00EB6A74"/>
    <w:rsid w:val="00ED463D"/>
    <w:rsid w:val="00EE6DF0"/>
    <w:rsid w:val="00EF4B97"/>
    <w:rsid w:val="00EF596A"/>
    <w:rsid w:val="00F072DE"/>
    <w:rsid w:val="00F079C8"/>
    <w:rsid w:val="00F3072C"/>
    <w:rsid w:val="00F466AC"/>
    <w:rsid w:val="00F53848"/>
    <w:rsid w:val="00F63300"/>
    <w:rsid w:val="00F76AD2"/>
    <w:rsid w:val="00F80851"/>
    <w:rsid w:val="00F84BC3"/>
    <w:rsid w:val="00F9428D"/>
    <w:rsid w:val="00F95F82"/>
    <w:rsid w:val="00FA1BB0"/>
    <w:rsid w:val="00FB3152"/>
    <w:rsid w:val="00FB5386"/>
    <w:rsid w:val="00FD1BD2"/>
    <w:rsid w:val="00FD2778"/>
    <w:rsid w:val="00FD342E"/>
    <w:rsid w:val="00FE508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utoRedefine/>
    <w:qFormat/>
    <w:rsid w:val="00861239"/>
    <w:pPr>
      <w:bidi/>
      <w:spacing w:line="480" w:lineRule="auto"/>
      <w:jc w:val="both"/>
    </w:pPr>
    <w:rPr>
      <w:sz w:val="24"/>
      <w:szCs w:val="24"/>
    </w:rPr>
  </w:style>
  <w:style w:type="paragraph" w:styleId="1">
    <w:name w:val="heading 1"/>
    <w:basedOn w:val="a"/>
    <w:next w:val="a"/>
    <w:link w:val="10"/>
    <w:qFormat/>
    <w:rsid w:val="00127F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autoRedefine/>
    <w:qFormat/>
    <w:rsid w:val="00A14AB2"/>
    <w:pPr>
      <w:keepNext/>
      <w:spacing w:before="240" w:after="60"/>
      <w:ind w:firstLine="720"/>
      <w:outlineLvl w:val="1"/>
    </w:pPr>
    <w:rPr>
      <w:b/>
      <w:bCs/>
      <w:i/>
      <w:iCs/>
      <w:sz w:val="28"/>
      <w:szCs w:val="28"/>
    </w:rPr>
  </w:style>
  <w:style w:type="paragraph" w:styleId="3">
    <w:name w:val="heading 3"/>
    <w:basedOn w:val="a"/>
    <w:next w:val="a"/>
    <w:autoRedefine/>
    <w:qFormat/>
    <w:rsid w:val="00C11018"/>
    <w:pPr>
      <w:keepNext/>
      <w:spacing w:before="240" w:after="60"/>
      <w:ind w:firstLine="720"/>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הצעת מחיר1"/>
    <w:basedOn w:val="a"/>
    <w:autoRedefine/>
    <w:rsid w:val="004F41DD"/>
    <w:pPr>
      <w:bidi w:val="0"/>
      <w:spacing w:before="60" w:line="360" w:lineRule="auto"/>
      <w:ind w:firstLine="720"/>
    </w:pPr>
    <w:rPr>
      <w:rFonts w:ascii="Trebuchet MS" w:hAnsi="Trebuchet MS" w:cs="Trebuchet MS"/>
      <w:sz w:val="22"/>
      <w:szCs w:val="22"/>
      <w:lang w:eastAsia="he-IL"/>
    </w:rPr>
  </w:style>
  <w:style w:type="paragraph" w:styleId="a3">
    <w:name w:val="List Paragraph"/>
    <w:basedOn w:val="a"/>
    <w:uiPriority w:val="34"/>
    <w:qFormat/>
    <w:rsid w:val="00C13A19"/>
    <w:pPr>
      <w:ind w:left="720"/>
      <w:contextualSpacing/>
    </w:pPr>
  </w:style>
  <w:style w:type="paragraph" w:styleId="a4">
    <w:name w:val="footnote text"/>
    <w:basedOn w:val="a"/>
    <w:link w:val="a5"/>
    <w:uiPriority w:val="99"/>
    <w:rsid w:val="000A7E3E"/>
    <w:pPr>
      <w:spacing w:line="240" w:lineRule="auto"/>
    </w:pPr>
    <w:rPr>
      <w:sz w:val="20"/>
      <w:szCs w:val="20"/>
    </w:rPr>
  </w:style>
  <w:style w:type="character" w:customStyle="1" w:styleId="a5">
    <w:name w:val="טקסט הערת שוליים תו"/>
    <w:basedOn w:val="a0"/>
    <w:link w:val="a4"/>
    <w:uiPriority w:val="99"/>
    <w:rsid w:val="000A7E3E"/>
  </w:style>
  <w:style w:type="character" w:styleId="a6">
    <w:name w:val="footnote reference"/>
    <w:basedOn w:val="a0"/>
    <w:uiPriority w:val="99"/>
    <w:rsid w:val="000A7E3E"/>
    <w:rPr>
      <w:vertAlign w:val="superscript"/>
    </w:rPr>
  </w:style>
  <w:style w:type="character" w:customStyle="1" w:styleId="10">
    <w:name w:val="כותרת 1 תו"/>
    <w:basedOn w:val="a0"/>
    <w:link w:val="1"/>
    <w:rsid w:val="00127F43"/>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a0"/>
    <w:rsid w:val="00127F43"/>
  </w:style>
  <w:style w:type="paragraph" w:styleId="a7">
    <w:name w:val="endnote text"/>
    <w:basedOn w:val="a"/>
    <w:link w:val="a8"/>
    <w:rsid w:val="00774C0E"/>
    <w:pPr>
      <w:spacing w:line="240" w:lineRule="auto"/>
    </w:pPr>
    <w:rPr>
      <w:sz w:val="20"/>
      <w:szCs w:val="20"/>
    </w:rPr>
  </w:style>
  <w:style w:type="character" w:customStyle="1" w:styleId="a8">
    <w:name w:val="טקסט הערת סיום תו"/>
    <w:basedOn w:val="a0"/>
    <w:link w:val="a7"/>
    <w:rsid w:val="00774C0E"/>
  </w:style>
  <w:style w:type="character" w:styleId="a9">
    <w:name w:val="endnote reference"/>
    <w:basedOn w:val="a0"/>
    <w:rsid w:val="00774C0E"/>
    <w:rPr>
      <w:vertAlign w:val="superscript"/>
    </w:rPr>
  </w:style>
  <w:style w:type="character" w:styleId="aa">
    <w:name w:val="Emphasis"/>
    <w:basedOn w:val="a0"/>
    <w:uiPriority w:val="20"/>
    <w:qFormat/>
    <w:rsid w:val="00365E49"/>
    <w:rPr>
      <w:i/>
      <w:iCs/>
    </w:rPr>
  </w:style>
  <w:style w:type="character" w:customStyle="1" w:styleId="apple-converted-space">
    <w:name w:val="apple-converted-space"/>
    <w:basedOn w:val="a0"/>
    <w:rsid w:val="00365E49"/>
  </w:style>
  <w:style w:type="character" w:styleId="Hyperlink">
    <w:name w:val="Hyperlink"/>
    <w:basedOn w:val="a0"/>
    <w:uiPriority w:val="99"/>
    <w:unhideWhenUsed/>
    <w:rsid w:val="00070070"/>
    <w:rPr>
      <w:color w:val="0000FF"/>
      <w:u w:val="single"/>
    </w:rPr>
  </w:style>
</w:styles>
</file>

<file path=word/webSettings.xml><?xml version="1.0" encoding="utf-8"?>
<w:webSettings xmlns:r="http://schemas.openxmlformats.org/officeDocument/2006/relationships" xmlns:w="http://schemas.openxmlformats.org/wordprocessingml/2006/main">
  <w:divs>
    <w:div w:id="1513446231">
      <w:bodyDiv w:val="1"/>
      <w:marLeft w:val="0"/>
      <w:marRight w:val="0"/>
      <w:marTop w:val="0"/>
      <w:marBottom w:val="0"/>
      <w:divBdr>
        <w:top w:val="none" w:sz="0" w:space="0" w:color="auto"/>
        <w:left w:val="none" w:sz="0" w:space="0" w:color="auto"/>
        <w:bottom w:val="none" w:sz="0" w:space="0" w:color="auto"/>
        <w:right w:val="none" w:sz="0" w:space="0" w:color="auto"/>
      </w:divBdr>
    </w:div>
    <w:div w:id="197409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ozar.mof.gov.il/taxes/misui1501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5BFC0-0345-47D6-B764-939CEA383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2368</TotalTime>
  <Pages>6</Pages>
  <Words>1551</Words>
  <Characters>7755</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שלום לכולם,</vt:lpstr>
      <vt:lpstr>שלום לכולם,</vt:lpstr>
    </vt:vector>
  </TitlesOfParts>
  <Company>BIU-LAW</Company>
  <LinksUpToDate>false</LinksUpToDate>
  <CharactersWithSpaces>9288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שלום לכולם,</dc:title>
  <dc:creator>Adi Ayal</dc:creator>
  <cp:lastModifiedBy>shahaf galili</cp:lastModifiedBy>
  <cp:revision>240</cp:revision>
  <cp:lastPrinted>2011-03-14T08:16:00Z</cp:lastPrinted>
  <dcterms:created xsi:type="dcterms:W3CDTF">2011-03-07T13:22:00Z</dcterms:created>
  <dcterms:modified xsi:type="dcterms:W3CDTF">2011-08-10T17:28:00Z</dcterms:modified>
</cp:coreProperties>
</file>