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052" w:rsidRPr="002972BF" w:rsidRDefault="00DF6FEC" w:rsidP="009E43BC">
      <w:pPr>
        <w:pStyle w:val="a3"/>
      </w:pPr>
      <w:bookmarkStart w:id="0" w:name="_GoBack"/>
      <w:bookmarkEnd w:id="0"/>
      <w:r>
        <w:rPr>
          <w:rFonts w:hint="cs"/>
          <w:rtl/>
        </w:rPr>
        <w:t xml:space="preserve">ס' 1 </w:t>
      </w:r>
      <w:proofErr w:type="spellStart"/>
      <w:r>
        <w:rPr>
          <w:rFonts w:hint="cs"/>
          <w:rtl/>
        </w:rPr>
        <w:t>לחשבד"ר</w:t>
      </w:r>
      <w:proofErr w:type="spellEnd"/>
      <w:r w:rsidR="00A01052">
        <w:rPr>
          <w:rStyle w:val="a9"/>
        </w:rPr>
        <w:endnoteReference w:id="1"/>
      </w:r>
      <w:r w:rsidR="00A01052">
        <w:rPr>
          <w:rFonts w:hint="cs"/>
          <w:rtl/>
        </w:rPr>
        <w:t xml:space="preserve"> מקנה </w:t>
      </w:r>
      <w:proofErr w:type="spellStart"/>
      <w:r w:rsidR="00A01052">
        <w:rPr>
          <w:rFonts w:hint="cs"/>
          <w:rtl/>
        </w:rPr>
        <w:t>לביד"ר</w:t>
      </w:r>
      <w:proofErr w:type="spellEnd"/>
      <w:r w:rsidR="00A01052">
        <w:rPr>
          <w:rFonts w:hint="cs"/>
          <w:rtl/>
        </w:rPr>
        <w:t xml:space="preserve"> סמכות יחודית בענייני נישואין וגירושין של: יהודים אשר הינם תושבי הארץ ואזרחיה. מרים עונה על הקריטריונים, אך לגביי הליך גיורו של יוסף קיים ספק. </w:t>
      </w:r>
      <w:r w:rsidR="00A01052" w:rsidRPr="00485EEB">
        <w:rPr>
          <w:rFonts w:hint="cs"/>
          <w:u w:val="single"/>
          <w:rtl/>
        </w:rPr>
        <w:t>מההיבט האזרחי</w:t>
      </w:r>
      <w:r w:rsidR="00A01052">
        <w:rPr>
          <w:rFonts w:hint="cs"/>
          <w:rtl/>
        </w:rPr>
        <w:t>: פק' ההמרה חלה על מוסלמים (על אף שעדתם אינה מופיעה בדבר המלך)</w:t>
      </w:r>
      <w:r w:rsidR="00A01052">
        <w:rPr>
          <w:rStyle w:val="a9"/>
          <w:rtl/>
        </w:rPr>
        <w:endnoteReference w:id="2"/>
      </w:r>
      <w:r w:rsidR="00A01052">
        <w:rPr>
          <w:rFonts w:hint="cs"/>
          <w:rtl/>
        </w:rPr>
        <w:t>. שינוי השם במרשם ללא השלמת רישום ע"פ דרישות סע' 2 לפק' העדה הדתית המרה</w:t>
      </w:r>
      <w:r w:rsidR="00A01052">
        <w:rPr>
          <w:rStyle w:val="a9"/>
          <w:rtl/>
        </w:rPr>
        <w:endnoteReference w:id="3"/>
      </w:r>
      <w:r w:rsidR="00A01052">
        <w:rPr>
          <w:rFonts w:hint="cs"/>
          <w:rtl/>
        </w:rPr>
        <w:t>: קבלת תע' מר' העדה הדתית+ הצגתה בפני ממונה המחוז- אינו מאפשר תיקוף היותו יהודי ע"פ חוקי המדינה.</w:t>
      </w:r>
      <w:r w:rsidR="00C60839">
        <w:rPr>
          <w:rFonts w:hint="cs"/>
          <w:rtl/>
        </w:rPr>
        <w:t xml:space="preserve"> יצוין כי בפסיקה נקבע</w:t>
      </w:r>
      <w:r w:rsidR="00DF207D">
        <w:rPr>
          <w:rStyle w:val="a9"/>
          <w:rtl/>
        </w:rPr>
        <w:endnoteReference w:id="4"/>
      </w:r>
      <w:r w:rsidR="00DF207D">
        <w:rPr>
          <w:rFonts w:hint="cs"/>
          <w:rtl/>
        </w:rPr>
        <w:t xml:space="preserve"> </w:t>
      </w:r>
      <w:r w:rsidR="00F527A7">
        <w:rPr>
          <w:rFonts w:hint="cs"/>
          <w:rtl/>
        </w:rPr>
        <w:t>ש</w:t>
      </w:r>
      <w:r w:rsidR="00C60839">
        <w:rPr>
          <w:rFonts w:hint="cs"/>
          <w:rtl/>
        </w:rPr>
        <w:t xml:space="preserve">יש לראות אדם כיהודי לעניין </w:t>
      </w:r>
      <w:proofErr w:type="spellStart"/>
      <w:r w:rsidR="00C60839">
        <w:rPr>
          <w:rFonts w:hint="cs"/>
          <w:rtl/>
        </w:rPr>
        <w:t>חשבד"ר</w:t>
      </w:r>
      <w:proofErr w:type="spellEnd"/>
      <w:r w:rsidR="00C60839">
        <w:rPr>
          <w:rFonts w:hint="cs"/>
          <w:rtl/>
        </w:rPr>
        <w:t xml:space="preserve"> במידה ודתו מוכרת מחוץ לפק' ההמרה+ הדת הקודמת אינה אוחזת בו</w:t>
      </w:r>
      <w:r w:rsidR="009E60AA">
        <w:rPr>
          <w:rFonts w:hint="cs"/>
          <w:rtl/>
        </w:rPr>
        <w:t xml:space="preserve">. </w:t>
      </w:r>
      <w:r w:rsidR="00A01052" w:rsidRPr="0013555F">
        <w:rPr>
          <w:rFonts w:hint="cs"/>
          <w:u w:val="single"/>
          <w:rtl/>
        </w:rPr>
        <w:t>מההיבט הדתי</w:t>
      </w:r>
      <w:r w:rsidR="00A01052">
        <w:rPr>
          <w:rFonts w:hint="cs"/>
          <w:rtl/>
        </w:rPr>
        <w:t xml:space="preserve">: במידה </w:t>
      </w:r>
      <w:proofErr w:type="spellStart"/>
      <w:r w:rsidR="00A01052">
        <w:rPr>
          <w:rFonts w:hint="cs"/>
          <w:rtl/>
        </w:rPr>
        <w:t>וביד"ר</w:t>
      </w:r>
      <w:proofErr w:type="spellEnd"/>
      <w:r w:rsidR="00A01052">
        <w:rPr>
          <w:rFonts w:hint="cs"/>
          <w:rtl/>
        </w:rPr>
        <w:t xml:space="preserve"> מחליט כי הגיור תקף- בסמכותו לדון, אך אם מחליט כי אינו תקף- אין בסמכותו לדון (ע"פ סע' 1 </w:t>
      </w:r>
      <w:proofErr w:type="spellStart"/>
      <w:r w:rsidR="00A01052">
        <w:rPr>
          <w:rFonts w:hint="cs"/>
          <w:rtl/>
        </w:rPr>
        <w:t>לחשבד"ר</w:t>
      </w:r>
      <w:proofErr w:type="spellEnd"/>
      <w:r w:rsidR="00A01052">
        <w:rPr>
          <w:rFonts w:hint="cs"/>
          <w:rtl/>
        </w:rPr>
        <w:t xml:space="preserve">+ </w:t>
      </w:r>
      <w:r w:rsidR="009E43BC">
        <w:rPr>
          <w:rFonts w:hint="cs"/>
          <w:rtl/>
        </w:rPr>
        <w:t>פסיקה</w:t>
      </w:r>
      <w:r w:rsidR="004227F4">
        <w:rPr>
          <w:rStyle w:val="a9"/>
          <w:rtl/>
        </w:rPr>
        <w:endnoteReference w:id="5"/>
      </w:r>
      <w:r w:rsidR="004227F4">
        <w:rPr>
          <w:rFonts w:hint="cs"/>
          <w:rtl/>
        </w:rPr>
        <w:t>)</w:t>
      </w:r>
      <w:r w:rsidR="00A01052">
        <w:rPr>
          <w:rFonts w:hint="cs"/>
          <w:rtl/>
        </w:rPr>
        <w:t>. בעניין משמרות הילדים, ע"פ ס' 55 לדבר המלך- במקרה והצדדים בעלי עדות שונות בימ"ש העליון יכריע איזו ערכאה תידון בתיק (</w:t>
      </w:r>
      <w:proofErr w:type="spellStart"/>
      <w:r w:rsidR="00A01052">
        <w:rPr>
          <w:rFonts w:hint="cs"/>
          <w:rtl/>
        </w:rPr>
        <w:t>בדנן</w:t>
      </w:r>
      <w:proofErr w:type="spellEnd"/>
      <w:r w:rsidR="00A01052">
        <w:rPr>
          <w:rFonts w:hint="cs"/>
          <w:rtl/>
        </w:rPr>
        <w:t xml:space="preserve">, מרים אינה יכולה לפנות </w:t>
      </w:r>
      <w:proofErr w:type="spellStart"/>
      <w:r w:rsidR="00A01052">
        <w:rPr>
          <w:rFonts w:hint="cs"/>
          <w:rtl/>
        </w:rPr>
        <w:t>לביד"ר</w:t>
      </w:r>
      <w:proofErr w:type="spellEnd"/>
      <w:r w:rsidR="00A01052">
        <w:rPr>
          <w:rFonts w:hint="cs"/>
          <w:rtl/>
        </w:rPr>
        <w:t xml:space="preserve"> ללא אישור, בניגוד ליוסף, שיכול לפנות לבימ"ש אף ללא אישור).</w:t>
      </w:r>
      <w:r w:rsidR="009E60AA">
        <w:rPr>
          <w:rFonts w:hint="cs"/>
          <w:rtl/>
        </w:rPr>
        <w:t xml:space="preserve"> </w:t>
      </w:r>
      <w:proofErr w:type="spellStart"/>
      <w:r w:rsidR="009E60AA">
        <w:rPr>
          <w:rFonts w:hint="cs"/>
          <w:rtl/>
        </w:rPr>
        <w:t>כככל</w:t>
      </w:r>
      <w:proofErr w:type="spellEnd"/>
      <w:r w:rsidR="009E60AA">
        <w:rPr>
          <w:rFonts w:hint="cs"/>
          <w:rtl/>
        </w:rPr>
        <w:t xml:space="preserve">, ע"מ להכניסו תחת </w:t>
      </w:r>
      <w:proofErr w:type="spellStart"/>
      <w:r w:rsidR="009E60AA">
        <w:rPr>
          <w:rFonts w:hint="cs"/>
          <w:rtl/>
        </w:rPr>
        <w:t>תח</w:t>
      </w:r>
      <w:proofErr w:type="spellEnd"/>
      <w:r w:rsidR="009E60AA">
        <w:rPr>
          <w:rFonts w:hint="cs"/>
          <w:rtl/>
        </w:rPr>
        <w:t xml:space="preserve">' שיפוט </w:t>
      </w:r>
      <w:proofErr w:type="spellStart"/>
      <w:r w:rsidR="009E60AA">
        <w:rPr>
          <w:rFonts w:hint="cs"/>
          <w:rtl/>
        </w:rPr>
        <w:t>ביד"ר</w:t>
      </w:r>
      <w:proofErr w:type="spellEnd"/>
      <w:r w:rsidR="009E60AA">
        <w:rPr>
          <w:rFonts w:hint="cs"/>
          <w:rtl/>
        </w:rPr>
        <w:t xml:space="preserve">, מרים תנסה להוכיח כי גיורו של יוסף תקף, ויוסף ינסה לבצע פעולה הפוכה ע"מ לפסול עצמו מלהתדיין תחת </w:t>
      </w:r>
      <w:proofErr w:type="spellStart"/>
      <w:r w:rsidR="009E60AA">
        <w:rPr>
          <w:rFonts w:hint="cs"/>
          <w:rtl/>
        </w:rPr>
        <w:t>תח</w:t>
      </w:r>
      <w:proofErr w:type="spellEnd"/>
      <w:r w:rsidR="009E60AA">
        <w:rPr>
          <w:rFonts w:hint="cs"/>
          <w:rtl/>
        </w:rPr>
        <w:t xml:space="preserve">' שיפוט </w:t>
      </w:r>
      <w:proofErr w:type="spellStart"/>
      <w:r w:rsidR="009E60AA">
        <w:rPr>
          <w:rFonts w:hint="cs"/>
          <w:rtl/>
        </w:rPr>
        <w:t>ביד"ר</w:t>
      </w:r>
      <w:proofErr w:type="spellEnd"/>
      <w:r w:rsidR="009E60AA">
        <w:rPr>
          <w:rFonts w:hint="cs"/>
          <w:rtl/>
        </w:rPr>
        <w:t>.</w:t>
      </w:r>
    </w:p>
    <w:p w:rsidR="00A01052" w:rsidRDefault="00A01052" w:rsidP="004562D1">
      <w:pPr>
        <w:pStyle w:val="a3"/>
        <w:rPr>
          <w:rtl/>
        </w:rPr>
      </w:pPr>
      <w:proofErr w:type="spellStart"/>
      <w:r>
        <w:rPr>
          <w:rFonts w:hint="cs"/>
          <w:rtl/>
        </w:rPr>
        <w:t>האירועון</w:t>
      </w:r>
      <w:proofErr w:type="spellEnd"/>
      <w:r>
        <w:rPr>
          <w:rFonts w:hint="cs"/>
          <w:rtl/>
        </w:rPr>
        <w:t xml:space="preserve"> מביא לפתחנו את השאלה בדבר "</w:t>
      </w:r>
      <w:proofErr w:type="spellStart"/>
      <w:r>
        <w:rPr>
          <w:rFonts w:hint="cs"/>
          <w:rtl/>
        </w:rPr>
        <w:t>מירוץ</w:t>
      </w:r>
      <w:proofErr w:type="spellEnd"/>
      <w:r>
        <w:rPr>
          <w:rFonts w:hint="cs"/>
          <w:rtl/>
        </w:rPr>
        <w:t xml:space="preserve"> הסמכויות". הצדדים לתיק הגישו באותו יום בקשתם, בשני ערכאות שונות. </w:t>
      </w:r>
      <w:proofErr w:type="spellStart"/>
      <w:r>
        <w:rPr>
          <w:rFonts w:hint="cs"/>
          <w:rtl/>
        </w:rPr>
        <w:t>כככל</w:t>
      </w:r>
      <w:proofErr w:type="spellEnd"/>
      <w:r>
        <w:rPr>
          <w:rFonts w:hint="cs"/>
          <w:rtl/>
        </w:rPr>
        <w:t>, מבחן הזמן המוקדם (לרבות הגשה באותו יום</w:t>
      </w:r>
      <w:r>
        <w:rPr>
          <w:rStyle w:val="a9"/>
          <w:rtl/>
        </w:rPr>
        <w:endnoteReference w:id="6"/>
      </w:r>
      <w:r>
        <w:rPr>
          <w:rFonts w:hint="cs"/>
          <w:rtl/>
        </w:rPr>
        <w:t xml:space="preserve">) הוא אשר קובע את סמכות ערכאת הדיון. מהאירועון לא ניתן להכריע איזו בקשה הוגשה ראשונה. </w:t>
      </w:r>
      <w:r w:rsidRPr="004078BC">
        <w:rPr>
          <w:rFonts w:hint="cs"/>
          <w:b/>
          <w:bCs/>
          <w:u w:val="single"/>
          <w:rtl/>
        </w:rPr>
        <w:t xml:space="preserve">באם הוגש ראשון ע"י מרים (+התקיימו תנאי ס' 1 </w:t>
      </w:r>
      <w:proofErr w:type="spellStart"/>
      <w:r w:rsidRPr="004078BC">
        <w:rPr>
          <w:rFonts w:hint="cs"/>
          <w:b/>
          <w:bCs/>
          <w:u w:val="single"/>
          <w:rtl/>
        </w:rPr>
        <w:t>לחשבד"ר</w:t>
      </w:r>
      <w:proofErr w:type="spellEnd"/>
      <w:r w:rsidRPr="004078BC">
        <w:rPr>
          <w:rFonts w:hint="cs"/>
          <w:b/>
          <w:bCs/>
          <w:u w:val="single"/>
          <w:rtl/>
        </w:rPr>
        <w:t>)</w:t>
      </w:r>
      <w:r w:rsidRPr="004078BC">
        <w:rPr>
          <w:rFonts w:hint="cs"/>
          <w:b/>
          <w:bCs/>
          <w:rtl/>
        </w:rPr>
        <w:t>:</w:t>
      </w:r>
      <w:r w:rsidRPr="001813E4">
        <w:rPr>
          <w:rFonts w:hint="cs"/>
          <w:b/>
          <w:bCs/>
          <w:rtl/>
        </w:rPr>
        <w:t xml:space="preserve"> </w:t>
      </w:r>
      <w:r>
        <w:rPr>
          <w:rFonts w:hint="cs"/>
          <w:rtl/>
        </w:rPr>
        <w:t xml:space="preserve">סמכות הדיון בידי </w:t>
      </w:r>
      <w:proofErr w:type="spellStart"/>
      <w:r>
        <w:rPr>
          <w:rFonts w:hint="cs"/>
          <w:rtl/>
        </w:rPr>
        <w:t>ביד"ר</w:t>
      </w:r>
      <w:proofErr w:type="spellEnd"/>
      <w:r>
        <w:rPr>
          <w:rFonts w:hint="cs"/>
          <w:rtl/>
        </w:rPr>
        <w:t xml:space="preserve">. ס' 3 </w:t>
      </w:r>
      <w:proofErr w:type="spellStart"/>
      <w:r>
        <w:rPr>
          <w:rFonts w:hint="cs"/>
          <w:rtl/>
        </w:rPr>
        <w:t>לחשבד"ר</w:t>
      </w:r>
      <w:proofErr w:type="spellEnd"/>
      <w:r>
        <w:rPr>
          <w:rFonts w:hint="cs"/>
          <w:rtl/>
        </w:rPr>
        <w:t xml:space="preserve"> מעניק סמכות דיון בנושאי הגירושין+ כל הכרוך בה. זאת בהתקיימות 3 תנאים מצטברים: </w:t>
      </w:r>
      <w:r w:rsidRPr="00A373D4">
        <w:rPr>
          <w:rFonts w:hint="cs"/>
          <w:b/>
          <w:bCs/>
          <w:i/>
          <w:iCs/>
          <w:u w:val="single"/>
          <w:rtl/>
        </w:rPr>
        <w:t>תביעת גירושין כנה</w:t>
      </w:r>
      <w:r>
        <w:rPr>
          <w:rFonts w:hint="cs"/>
          <w:rtl/>
        </w:rPr>
        <w:t>- נבחנת ע"פ התנהגות הצדדים+ כתב התביעה</w:t>
      </w:r>
      <w:r>
        <w:rPr>
          <w:rStyle w:val="a9"/>
          <w:rtl/>
        </w:rPr>
        <w:endnoteReference w:id="7"/>
      </w:r>
      <w:r>
        <w:rPr>
          <w:rFonts w:hint="cs"/>
          <w:rtl/>
        </w:rPr>
        <w:t>. יוסף, המעוניין בשיקום הנישואין, עשוי לטעון לחסר בתשתית עובדתית בתביעה, הנדרשת במקרה של חוסר הסכמה בין הצדדים, אשר אינה מקימה עילה סבירה לגירושין</w:t>
      </w:r>
      <w:r>
        <w:rPr>
          <w:rStyle w:val="a9"/>
          <w:rtl/>
        </w:rPr>
        <w:endnoteReference w:id="8"/>
      </w:r>
      <w:r>
        <w:rPr>
          <w:rFonts w:hint="cs"/>
          <w:rtl/>
        </w:rPr>
        <w:t xml:space="preserve"> שכן אין הוכחות לבגידתו. מנגד, בהיעדר טענה אובייקטיבית ו/או התנהגותית, תטען מרים לנימוק סובייקטיבי הקשור להתנהגותו</w:t>
      </w:r>
      <w:r>
        <w:rPr>
          <w:rStyle w:val="a9"/>
          <w:rtl/>
        </w:rPr>
        <w:endnoteReference w:id="9"/>
      </w:r>
      <w:r>
        <w:rPr>
          <w:rFonts w:hint="cs"/>
          <w:rtl/>
        </w:rPr>
        <w:t xml:space="preserve"> </w:t>
      </w:r>
      <w:r w:rsidRPr="001F0A8C">
        <w:rPr>
          <w:rFonts w:hint="cs"/>
          <w:rtl/>
        </w:rPr>
        <w:t>(</w:t>
      </w:r>
      <w:proofErr w:type="spellStart"/>
      <w:r w:rsidRPr="001F0A8C">
        <w:rPr>
          <w:rFonts w:hint="cs"/>
          <w:rtl/>
        </w:rPr>
        <w:t>פילרטוט</w:t>
      </w:r>
      <w:proofErr w:type="spellEnd"/>
      <w:r w:rsidRPr="001F0A8C">
        <w:rPr>
          <w:rFonts w:hint="cs"/>
          <w:rtl/>
        </w:rPr>
        <w:t xml:space="preserve"> עם נשים).</w:t>
      </w:r>
      <w:r>
        <w:rPr>
          <w:rFonts w:hint="cs"/>
          <w:rtl/>
        </w:rPr>
        <w:t xml:space="preserve"> יוסף עשוי לטעון כי הגשת מרים בקשה לשלום בית ולחילופין לגירושין, </w:t>
      </w:r>
      <w:proofErr w:type="spellStart"/>
      <w:r>
        <w:rPr>
          <w:rFonts w:hint="cs"/>
          <w:rtl/>
        </w:rPr>
        <w:t>והתנהולתה</w:t>
      </w:r>
      <w:proofErr w:type="spellEnd"/>
      <w:r>
        <w:rPr>
          <w:rFonts w:hint="cs"/>
          <w:rtl/>
        </w:rPr>
        <w:t xml:space="preserve"> בפועל </w:t>
      </w:r>
      <w:proofErr w:type="spellStart"/>
      <w:r>
        <w:rPr>
          <w:rFonts w:hint="cs"/>
          <w:rtl/>
        </w:rPr>
        <w:t>בביד"ר</w:t>
      </w:r>
      <w:proofErr w:type="spellEnd"/>
      <w:r>
        <w:rPr>
          <w:rFonts w:hint="cs"/>
          <w:rtl/>
        </w:rPr>
        <w:t xml:space="preserve">, מעיד על רצונה ליצור יתרון טקטי </w:t>
      </w:r>
      <w:proofErr w:type="spellStart"/>
      <w:r>
        <w:rPr>
          <w:rFonts w:hint="cs"/>
          <w:rtl/>
        </w:rPr>
        <w:t>בחתו"ל</w:t>
      </w:r>
      <w:proofErr w:type="spellEnd"/>
      <w:r w:rsidR="002A70A7">
        <w:rPr>
          <w:rFonts w:hint="cs"/>
          <w:rtl/>
        </w:rPr>
        <w:t xml:space="preserve"> </w:t>
      </w:r>
      <w:r w:rsidR="009A7233">
        <w:rPr>
          <w:rFonts w:hint="cs"/>
          <w:rtl/>
        </w:rPr>
        <w:t>(היכול לשלול בלעדיות ערכאת השיפוט הראשונית</w:t>
      </w:r>
      <w:r w:rsidR="002A70A7">
        <w:rPr>
          <w:rStyle w:val="a9"/>
          <w:rtl/>
        </w:rPr>
        <w:endnoteReference w:id="10"/>
      </w:r>
      <w:r w:rsidR="009A7233">
        <w:rPr>
          <w:rFonts w:hint="cs"/>
          <w:rtl/>
        </w:rPr>
        <w:t>)</w:t>
      </w:r>
      <w:r w:rsidR="006C4A00">
        <w:rPr>
          <w:rFonts w:hint="cs"/>
          <w:rtl/>
        </w:rPr>
        <w:t>.</w:t>
      </w:r>
      <w:r>
        <w:rPr>
          <w:rFonts w:hint="cs"/>
          <w:rtl/>
        </w:rPr>
        <w:t xml:space="preserve"> מנגד עשויה לטעון מרים כי שקילת שלום בית אינו מעיד בהכרח על </w:t>
      </w:r>
      <w:proofErr w:type="spellStart"/>
      <w:r>
        <w:rPr>
          <w:rFonts w:hint="cs"/>
          <w:rtl/>
        </w:rPr>
        <w:t>חתו"ל</w:t>
      </w:r>
      <w:proofErr w:type="spellEnd"/>
      <w:r>
        <w:rPr>
          <w:rStyle w:val="a9"/>
          <w:rtl/>
        </w:rPr>
        <w:endnoteReference w:id="11"/>
      </w:r>
      <w:r>
        <w:rPr>
          <w:rFonts w:hint="cs"/>
          <w:rtl/>
        </w:rPr>
        <w:t xml:space="preserve">. </w:t>
      </w:r>
      <w:r w:rsidRPr="00A373D4">
        <w:rPr>
          <w:rFonts w:hint="cs"/>
          <w:b/>
          <w:bCs/>
          <w:i/>
          <w:iCs/>
          <w:u w:val="single"/>
          <w:rtl/>
        </w:rPr>
        <w:t>כנות הכריכה</w:t>
      </w:r>
      <w:r>
        <w:rPr>
          <w:rFonts w:hint="cs"/>
          <w:rtl/>
        </w:rPr>
        <w:t xml:space="preserve">- מרים הגישה תביעה </w:t>
      </w:r>
      <w:proofErr w:type="spellStart"/>
      <w:r>
        <w:rPr>
          <w:rFonts w:hint="cs"/>
          <w:rtl/>
        </w:rPr>
        <w:t>לביד"ר</w:t>
      </w:r>
      <w:proofErr w:type="spellEnd"/>
      <w:r>
        <w:rPr>
          <w:rFonts w:hint="cs"/>
          <w:rtl/>
        </w:rPr>
        <w:t xml:space="preserve"> בלבד ולא לבימ"ש, ובכך מנעה פיצול ההתדיינות בערכאות (</w:t>
      </w:r>
      <w:r w:rsidR="00E13ED9">
        <w:rPr>
          <w:rFonts w:hint="cs"/>
          <w:rtl/>
        </w:rPr>
        <w:t xml:space="preserve">הפסיקה קבעה </w:t>
      </w:r>
      <w:r>
        <w:rPr>
          <w:rFonts w:hint="cs"/>
          <w:rtl/>
        </w:rPr>
        <w:t>כי מדובר בכריכה כנה</w:t>
      </w:r>
      <w:r>
        <w:rPr>
          <w:rStyle w:val="a9"/>
          <w:rtl/>
        </w:rPr>
        <w:endnoteReference w:id="12"/>
      </w:r>
      <w:r>
        <w:rPr>
          <w:rFonts w:hint="cs"/>
          <w:rtl/>
        </w:rPr>
        <w:t>), אולם, הכנות נמדדת גם בתו"ל של מגיש התביעה, באם כוונתה הייתה לחסום גישתו של יוסף מפנייה לבימ"ש, הדבר עשוי לשלול את כנות הכריכה</w:t>
      </w:r>
      <w:r>
        <w:rPr>
          <w:rStyle w:val="a9"/>
          <w:rtl/>
        </w:rPr>
        <w:endnoteReference w:id="13"/>
      </w:r>
      <w:r>
        <w:rPr>
          <w:rFonts w:hint="cs"/>
          <w:rtl/>
        </w:rPr>
        <w:t xml:space="preserve"> ייתכן כי ויתורה על שלום בית+ כריכת כלל הנושאים בתביעה, עשויים להצביע על כך. </w:t>
      </w:r>
      <w:r w:rsidRPr="00A373D4">
        <w:rPr>
          <w:rFonts w:hint="cs"/>
          <w:b/>
          <w:bCs/>
          <w:i/>
          <w:iCs/>
          <w:u w:val="single"/>
          <w:rtl/>
        </w:rPr>
        <w:t>כריכה כדין</w:t>
      </w:r>
      <w:r>
        <w:rPr>
          <w:rFonts w:hint="cs"/>
          <w:rtl/>
        </w:rPr>
        <w:t xml:space="preserve">- </w:t>
      </w:r>
      <w:r w:rsidR="00434178">
        <w:rPr>
          <w:rFonts w:hint="cs"/>
          <w:rtl/>
        </w:rPr>
        <w:t xml:space="preserve">עניינים הנדרשים לשם סיום אפקטיבי של יחסי הזוג. </w:t>
      </w:r>
      <w:r w:rsidR="00600214">
        <w:rPr>
          <w:rFonts w:hint="cs"/>
          <w:rtl/>
        </w:rPr>
        <w:t>ייתכן כי ההתניה בתביעה</w:t>
      </w:r>
      <w:r w:rsidR="00841F5D">
        <w:rPr>
          <w:rFonts w:hint="cs"/>
          <w:rtl/>
        </w:rPr>
        <w:t xml:space="preserve"> (שלום בית)</w:t>
      </w:r>
      <w:r w:rsidR="00600214">
        <w:rPr>
          <w:rFonts w:hint="cs"/>
          <w:rtl/>
        </w:rPr>
        <w:t xml:space="preserve"> מצביעה על </w:t>
      </w:r>
      <w:proofErr w:type="spellStart"/>
      <w:r w:rsidR="00600214">
        <w:rPr>
          <w:rFonts w:hint="cs"/>
          <w:rtl/>
        </w:rPr>
        <w:t>תב</w:t>
      </w:r>
      <w:proofErr w:type="spellEnd"/>
      <w:r w:rsidR="00600214">
        <w:rPr>
          <w:rFonts w:hint="cs"/>
          <w:rtl/>
        </w:rPr>
        <w:t>' גירושין על תנאי</w:t>
      </w:r>
      <w:r w:rsidR="002A384D">
        <w:rPr>
          <w:rFonts w:hint="cs"/>
          <w:rtl/>
        </w:rPr>
        <w:t xml:space="preserve"> (היכולה להוביל לפסילת הכריכה)</w:t>
      </w:r>
      <w:r w:rsidR="00600214">
        <w:rPr>
          <w:rFonts w:hint="cs"/>
          <w:rtl/>
        </w:rPr>
        <w:t xml:space="preserve">. </w:t>
      </w:r>
      <w:r>
        <w:rPr>
          <w:rFonts w:hint="cs"/>
          <w:rtl/>
        </w:rPr>
        <w:t xml:space="preserve">מזונות האישה- נכרך כדין, משמורת פיזית- נכרך באופן טבעי בתביעה. לא דורש ציון מפורש- נכרך כדין. רכוש- דורש פירוט הרכוש (לא מפורט </w:t>
      </w:r>
      <w:proofErr w:type="spellStart"/>
      <w:r>
        <w:rPr>
          <w:rFonts w:hint="cs"/>
          <w:rtl/>
        </w:rPr>
        <w:t>באירועון</w:t>
      </w:r>
      <w:proofErr w:type="spellEnd"/>
      <w:r>
        <w:rPr>
          <w:rFonts w:hint="cs"/>
          <w:rtl/>
        </w:rPr>
        <w:t xml:space="preserve">), כריכת מזונות הילדים- תעשה </w:t>
      </w:r>
      <w:proofErr w:type="spellStart"/>
      <w:r>
        <w:rPr>
          <w:rFonts w:hint="cs"/>
          <w:rtl/>
        </w:rPr>
        <w:t>בביד"ר</w:t>
      </w:r>
      <w:proofErr w:type="spellEnd"/>
      <w:r>
        <w:rPr>
          <w:rFonts w:hint="cs"/>
          <w:rtl/>
        </w:rPr>
        <w:t xml:space="preserve"> רק בהסכמה מפורשת/מכללא של צדדים</w:t>
      </w:r>
      <w:r>
        <w:rPr>
          <w:rStyle w:val="a9"/>
          <w:rtl/>
        </w:rPr>
        <w:endnoteReference w:id="14"/>
      </w:r>
      <w:r w:rsidR="004562D1">
        <w:rPr>
          <w:rFonts w:hint="cs"/>
          <w:rtl/>
        </w:rPr>
        <w:t>- לא נכרך כדין</w:t>
      </w:r>
      <w:r>
        <w:rPr>
          <w:rFonts w:hint="cs"/>
          <w:rtl/>
        </w:rPr>
        <w:t>, מרים תטען כי הגעתו של יוסף לדיון+ אי כריכת הנושא בתביעתו מהווה הסכמה מכללא.</w:t>
      </w:r>
    </w:p>
    <w:p w:rsidR="00A01052" w:rsidRDefault="00A01052" w:rsidP="00524A55">
      <w:pPr>
        <w:pStyle w:val="a3"/>
        <w:rPr>
          <w:rtl/>
        </w:rPr>
      </w:pPr>
      <w:r w:rsidRPr="005A4236">
        <w:rPr>
          <w:rFonts w:hint="cs"/>
          <w:b/>
          <w:bCs/>
          <w:u w:val="single"/>
          <w:rtl/>
        </w:rPr>
        <w:t>באם הוגש ראשון ע"י יוסף</w:t>
      </w:r>
      <w:r>
        <w:rPr>
          <w:rFonts w:hint="cs"/>
          <w:rtl/>
        </w:rPr>
        <w:t xml:space="preserve">- הסמכות לדון בתביעה נתונה לבימ"ש לענייני משפחה. יוסף עתר לבימ"ש בתביעה למשמרות, חינוך ורכוש. בחינת תו"ל הדיוני של יוסף (מס' נסיבות בהן איחור בהמצאת התביעה מביא </w:t>
      </w:r>
      <w:proofErr w:type="spellStart"/>
      <w:r>
        <w:rPr>
          <w:rFonts w:hint="cs"/>
          <w:rtl/>
        </w:rPr>
        <w:t>לחתו"ל</w:t>
      </w:r>
      <w:proofErr w:type="spellEnd"/>
      <w:r>
        <w:rPr>
          <w:rFonts w:hint="cs"/>
          <w:rtl/>
        </w:rPr>
        <w:t xml:space="preserve"> המעביר את סמכות הדיון לערכאה המקבילה)</w:t>
      </w:r>
      <w:r>
        <w:rPr>
          <w:rStyle w:val="a9"/>
          <w:rtl/>
        </w:rPr>
        <w:endnoteReference w:id="15"/>
      </w:r>
      <w:r>
        <w:rPr>
          <w:rFonts w:hint="cs"/>
          <w:rtl/>
        </w:rPr>
        <w:t xml:space="preserve">- </w:t>
      </w:r>
      <w:proofErr w:type="spellStart"/>
      <w:r>
        <w:rPr>
          <w:rFonts w:hint="cs"/>
          <w:rtl/>
        </w:rPr>
        <w:t>בדנן</w:t>
      </w:r>
      <w:proofErr w:type="spellEnd"/>
      <w:r>
        <w:rPr>
          <w:rFonts w:hint="cs"/>
          <w:rtl/>
        </w:rPr>
        <w:t xml:space="preserve">, לא המציא כתבי התביעה+ </w:t>
      </w:r>
      <w:r w:rsidR="0053010B">
        <w:rPr>
          <w:rFonts w:hint="cs"/>
          <w:rtl/>
        </w:rPr>
        <w:t>הטעה ו</w:t>
      </w:r>
      <w:r>
        <w:rPr>
          <w:rFonts w:hint="cs"/>
          <w:rtl/>
        </w:rPr>
        <w:t xml:space="preserve">מסר כי בכוונתו למחוק התביעה- אך המציא אותם בדיון </w:t>
      </w:r>
      <w:proofErr w:type="spellStart"/>
      <w:r>
        <w:rPr>
          <w:rFonts w:hint="cs"/>
          <w:rtl/>
        </w:rPr>
        <w:t>בביד"ר</w:t>
      </w:r>
      <w:proofErr w:type="spellEnd"/>
      <w:r>
        <w:rPr>
          <w:rFonts w:hint="cs"/>
          <w:rtl/>
        </w:rPr>
        <w:t xml:space="preserve">, עשוי </w:t>
      </w:r>
      <w:r w:rsidR="00B32F11">
        <w:rPr>
          <w:rFonts w:hint="cs"/>
          <w:rtl/>
        </w:rPr>
        <w:t>ל</w:t>
      </w:r>
      <w:r w:rsidR="00524A55">
        <w:rPr>
          <w:rFonts w:hint="cs"/>
          <w:rtl/>
        </w:rPr>
        <w:t>התפרש כ</w:t>
      </w:r>
      <w:r>
        <w:rPr>
          <w:rFonts w:hint="cs"/>
          <w:rtl/>
        </w:rPr>
        <w:t xml:space="preserve">חלק </w:t>
      </w:r>
      <w:proofErr w:type="spellStart"/>
      <w:r>
        <w:rPr>
          <w:rFonts w:hint="cs"/>
          <w:rtl/>
        </w:rPr>
        <w:t>ממירוץ</w:t>
      </w:r>
      <w:proofErr w:type="spellEnd"/>
      <w:r>
        <w:rPr>
          <w:rFonts w:hint="cs"/>
          <w:rtl/>
        </w:rPr>
        <w:t xml:space="preserve"> הסמכויות. בחינה באמצעות מס' קריטריונים</w:t>
      </w:r>
      <w:r>
        <w:rPr>
          <w:rStyle w:val="a9"/>
          <w:rtl/>
        </w:rPr>
        <w:endnoteReference w:id="16"/>
      </w:r>
      <w:r>
        <w:rPr>
          <w:rFonts w:hint="cs"/>
          <w:rtl/>
        </w:rPr>
        <w:t xml:space="preserve">: </w:t>
      </w:r>
      <w:r w:rsidRPr="00167C58">
        <w:rPr>
          <w:rFonts w:hint="cs"/>
          <w:u w:val="single"/>
          <w:rtl/>
        </w:rPr>
        <w:t>הסיבה לעיכוב</w:t>
      </w:r>
      <w:r>
        <w:rPr>
          <w:rFonts w:hint="cs"/>
          <w:rtl/>
        </w:rPr>
        <w:t xml:space="preserve">- רצונו בשלום בית, אשר התבסס על תביעה המקורית של מרים. מנגד, המציא את תביעתו בדיון. </w:t>
      </w:r>
      <w:r w:rsidRPr="0041618B">
        <w:rPr>
          <w:rFonts w:hint="cs"/>
          <w:u w:val="single"/>
          <w:rtl/>
        </w:rPr>
        <w:t>מצב ההליכים</w:t>
      </w:r>
      <w:r>
        <w:rPr>
          <w:rFonts w:hint="cs"/>
          <w:rtl/>
        </w:rPr>
        <w:t xml:space="preserve">- מחד מרים הכירה את תביעתו לפני קביעת </w:t>
      </w:r>
      <w:proofErr w:type="spellStart"/>
      <w:r>
        <w:rPr>
          <w:rFonts w:hint="cs"/>
          <w:rtl/>
        </w:rPr>
        <w:t>ביד"ר</w:t>
      </w:r>
      <w:proofErr w:type="spellEnd"/>
      <w:r>
        <w:rPr>
          <w:rFonts w:hint="cs"/>
          <w:rtl/>
        </w:rPr>
        <w:t xml:space="preserve"> על סמכותו לדון, מנגד, ההליכים כבר נמצאו בשלב הדיונים </w:t>
      </w:r>
      <w:proofErr w:type="spellStart"/>
      <w:r>
        <w:rPr>
          <w:rFonts w:hint="cs"/>
          <w:rtl/>
        </w:rPr>
        <w:t>בביד"ר</w:t>
      </w:r>
      <w:proofErr w:type="spellEnd"/>
      <w:r>
        <w:rPr>
          <w:rFonts w:hint="cs"/>
          <w:rtl/>
        </w:rPr>
        <w:t xml:space="preserve">. </w:t>
      </w:r>
      <w:r w:rsidRPr="000A77FD">
        <w:rPr>
          <w:rFonts w:hint="cs"/>
          <w:u w:val="single"/>
          <w:rtl/>
        </w:rPr>
        <w:t>הפגיעה בצד השני בשל העיכוב</w:t>
      </w:r>
      <w:r>
        <w:rPr>
          <w:rFonts w:hint="cs"/>
          <w:rtl/>
        </w:rPr>
        <w:t xml:space="preserve">- מרים עודכנה אודות </w:t>
      </w:r>
      <w:r>
        <w:rPr>
          <w:rFonts w:hint="cs"/>
          <w:rtl/>
        </w:rPr>
        <w:lastRenderedPageBreak/>
        <w:t xml:space="preserve">התביעה ורצונו של יוסף לבטלה ע"מ להגיע לשלום בית. פעולותיה של מרים לא הושפעו מכך, והיא הגישה תביעתה ללא עיכוב. נראה כי לא נגרמה פגיעה. </w:t>
      </w:r>
      <w:r w:rsidRPr="001C44C3">
        <w:rPr>
          <w:rFonts w:hint="cs"/>
          <w:rtl/>
        </w:rPr>
        <w:t>עקרון הכיבוד ההדדי בין הערכאות</w:t>
      </w:r>
      <w:r>
        <w:rPr>
          <w:rFonts w:hint="cs"/>
          <w:rtl/>
        </w:rPr>
        <w:t xml:space="preserve">, קובע כי עיסוק ערכאה אחת בנושא (דיון ו/או הכרעה) מונע מהערכאה המקבילה עיסוק מקביל בתיק. נקבע כי עיקרון זה הינו הכרחי וחיוני </w:t>
      </w:r>
      <w:proofErr w:type="spellStart"/>
      <w:r>
        <w:rPr>
          <w:rFonts w:hint="cs"/>
          <w:rtl/>
        </w:rPr>
        <w:t>למע</w:t>
      </w:r>
      <w:proofErr w:type="spellEnd"/>
      <w:r>
        <w:rPr>
          <w:rFonts w:hint="cs"/>
          <w:rtl/>
        </w:rPr>
        <w:t>' משפט תקינה</w:t>
      </w:r>
      <w:r>
        <w:rPr>
          <w:rStyle w:val="a9"/>
          <w:rtl/>
        </w:rPr>
        <w:endnoteReference w:id="17"/>
      </w:r>
      <w:r>
        <w:rPr>
          <w:rFonts w:hint="cs"/>
          <w:rtl/>
        </w:rPr>
        <w:t xml:space="preserve">. </w:t>
      </w:r>
      <w:proofErr w:type="spellStart"/>
      <w:r>
        <w:rPr>
          <w:rFonts w:hint="cs"/>
          <w:rtl/>
        </w:rPr>
        <w:t>בדנן</w:t>
      </w:r>
      <w:proofErr w:type="spellEnd"/>
      <w:r>
        <w:rPr>
          <w:rFonts w:hint="cs"/>
          <w:rtl/>
        </w:rPr>
        <w:t>, נראה כי בימ"ש קיבע ראשון את סמכות הדיון שלו, אולם, בפסיקה נקבע כי קיומו של טעם מיוחד</w:t>
      </w:r>
      <w:r>
        <w:rPr>
          <w:rStyle w:val="a9"/>
          <w:rtl/>
        </w:rPr>
        <w:endnoteReference w:id="18"/>
      </w:r>
      <w:r>
        <w:rPr>
          <w:rFonts w:hint="cs"/>
          <w:rtl/>
        </w:rPr>
        <w:t xml:space="preserve"> </w:t>
      </w:r>
      <w:r w:rsidR="00FD0999">
        <w:rPr>
          <w:rFonts w:hint="cs"/>
          <w:rtl/>
        </w:rPr>
        <w:t>(</w:t>
      </w:r>
      <w:r w:rsidR="00BB4299">
        <w:rPr>
          <w:rFonts w:hint="cs"/>
          <w:rtl/>
        </w:rPr>
        <w:t>או פגם</w:t>
      </w:r>
      <w:r w:rsidR="00FD0999">
        <w:rPr>
          <w:rFonts w:hint="cs"/>
          <w:rtl/>
        </w:rPr>
        <w:t>)</w:t>
      </w:r>
      <w:r w:rsidR="00BB4299">
        <w:rPr>
          <w:rFonts w:hint="cs"/>
          <w:rtl/>
        </w:rPr>
        <w:t xml:space="preserve"> </w:t>
      </w:r>
      <w:r>
        <w:rPr>
          <w:rFonts w:hint="cs"/>
          <w:rtl/>
        </w:rPr>
        <w:t>היורד לשורש ההכרעה</w:t>
      </w:r>
      <w:r>
        <w:rPr>
          <w:rStyle w:val="a9"/>
          <w:rtl/>
        </w:rPr>
        <w:endnoteReference w:id="19"/>
      </w:r>
      <w:r>
        <w:rPr>
          <w:rFonts w:hint="cs"/>
          <w:rtl/>
        </w:rPr>
        <w:t xml:space="preserve"> יכול לאפשר לערכאה מקבילה לדון </w:t>
      </w:r>
      <w:r w:rsidR="004452C7">
        <w:rPr>
          <w:rFonts w:hint="cs"/>
          <w:rtl/>
        </w:rPr>
        <w:t xml:space="preserve">בנושא הנדון. </w:t>
      </w:r>
      <w:r>
        <w:rPr>
          <w:rFonts w:hint="cs"/>
          <w:rtl/>
        </w:rPr>
        <w:t xml:space="preserve">מחד, המצאה מאוחרת של החל' בימ"ש+ אי נוכחותה של מרים בדיון+ העדר הנמקה ודיון מוקדם (אמנם לא ציון במפורש, אך נראה שהנ"ל אינו מתקיים)- ייתכן ואלה מביאים </w:t>
      </w:r>
      <w:r w:rsidRPr="00022ABF">
        <w:rPr>
          <w:rFonts w:hint="cs"/>
          <w:rtl/>
        </w:rPr>
        <w:t>לפגם היורד לשורש הכרעתו</w:t>
      </w:r>
      <w:r>
        <w:rPr>
          <w:rFonts w:hint="cs"/>
          <w:rtl/>
        </w:rPr>
        <w:t xml:space="preserve"> של בימ"ש. מאידך, הספק </w:t>
      </w:r>
      <w:proofErr w:type="spellStart"/>
      <w:r>
        <w:rPr>
          <w:rFonts w:hint="cs"/>
          <w:rtl/>
        </w:rPr>
        <w:t>בחתו"ל</w:t>
      </w:r>
      <w:proofErr w:type="spellEnd"/>
      <w:r>
        <w:rPr>
          <w:rFonts w:hint="cs"/>
          <w:rtl/>
        </w:rPr>
        <w:t xml:space="preserve"> של מרים בהגשת תביעתה לשלום בית+ כריכת מזונות הילדים שלא כדין+ ספק בכנות התביעה והכריכה של מרים, ייתכן ואלה מביאים לפגם היורד לשורש הכרעתו של </w:t>
      </w:r>
      <w:proofErr w:type="spellStart"/>
      <w:r>
        <w:rPr>
          <w:rFonts w:hint="cs"/>
          <w:rtl/>
        </w:rPr>
        <w:t>ביד"ר</w:t>
      </w:r>
      <w:proofErr w:type="spellEnd"/>
      <w:r>
        <w:rPr>
          <w:rFonts w:hint="cs"/>
          <w:rtl/>
        </w:rPr>
        <w:t xml:space="preserve">. </w:t>
      </w:r>
    </w:p>
    <w:p w:rsidR="00A01052" w:rsidRDefault="00A01052" w:rsidP="00D6201F">
      <w:pPr>
        <w:pStyle w:val="a3"/>
        <w:rPr>
          <w:rtl/>
        </w:rPr>
      </w:pPr>
      <w:proofErr w:type="spellStart"/>
      <w:r>
        <w:rPr>
          <w:rFonts w:hint="cs"/>
          <w:rtl/>
        </w:rPr>
        <w:t>ביד"ר</w:t>
      </w:r>
      <w:proofErr w:type="spellEnd"/>
      <w:r>
        <w:rPr>
          <w:rFonts w:hint="cs"/>
          <w:rtl/>
        </w:rPr>
        <w:t>, שלח את הזוג לייעוץ</w:t>
      </w:r>
      <w:r w:rsidR="00EA0E1F">
        <w:rPr>
          <w:rFonts w:hint="cs"/>
          <w:rtl/>
        </w:rPr>
        <w:t xml:space="preserve">+ </w:t>
      </w:r>
      <w:r w:rsidR="00C97407">
        <w:rPr>
          <w:rFonts w:hint="cs"/>
          <w:rtl/>
        </w:rPr>
        <w:t>אישר את ההסכם ביניהם.</w:t>
      </w:r>
      <w:r>
        <w:rPr>
          <w:rFonts w:hint="cs"/>
          <w:rtl/>
        </w:rPr>
        <w:t xml:space="preserve"> </w:t>
      </w:r>
      <w:r w:rsidR="00C97407">
        <w:rPr>
          <w:rFonts w:hint="cs"/>
          <w:rtl/>
        </w:rPr>
        <w:t>ה</w:t>
      </w:r>
      <w:r>
        <w:rPr>
          <w:rFonts w:hint="cs"/>
          <w:rtl/>
        </w:rPr>
        <w:t xml:space="preserve">הסכם, לא כלל תניה לשיפוט עתידי באם יתעוררו מחלוקות בנוגע אליו. </w:t>
      </w:r>
      <w:r w:rsidRPr="00705F63">
        <w:rPr>
          <w:rFonts w:hint="cs"/>
          <w:b/>
          <w:bCs/>
          <w:u w:val="single"/>
          <w:rtl/>
        </w:rPr>
        <w:t>סמכות מקורית</w:t>
      </w:r>
      <w:r>
        <w:rPr>
          <w:rFonts w:hint="cs"/>
          <w:rtl/>
        </w:rPr>
        <w:t xml:space="preserve">- </w:t>
      </w:r>
      <w:proofErr w:type="spellStart"/>
      <w:r>
        <w:rPr>
          <w:rFonts w:hint="cs"/>
          <w:rtl/>
        </w:rPr>
        <w:t>לביד"ר</w:t>
      </w:r>
      <w:proofErr w:type="spellEnd"/>
      <w:r>
        <w:rPr>
          <w:rFonts w:hint="cs"/>
          <w:rtl/>
        </w:rPr>
        <w:t xml:space="preserve"> סמכות ייחודית לדון בנושא הגירושין והכרוך בה (סע' 1+3 </w:t>
      </w:r>
      <w:proofErr w:type="spellStart"/>
      <w:r>
        <w:rPr>
          <w:rFonts w:hint="cs"/>
          <w:rtl/>
        </w:rPr>
        <w:t>לחשבד"ר</w:t>
      </w:r>
      <w:proofErr w:type="spellEnd"/>
      <w:r>
        <w:rPr>
          <w:rFonts w:hint="cs"/>
          <w:rtl/>
        </w:rPr>
        <w:t xml:space="preserve">) וסמכות מקבילה בענייני המעמד האישי באם קיימת הסכמת הצדדים (סע' 9 </w:t>
      </w:r>
      <w:proofErr w:type="spellStart"/>
      <w:r>
        <w:rPr>
          <w:rFonts w:hint="cs"/>
          <w:rtl/>
        </w:rPr>
        <w:t>לחשבד"ר</w:t>
      </w:r>
      <w:proofErr w:type="spellEnd"/>
      <w:r>
        <w:rPr>
          <w:rFonts w:hint="cs"/>
          <w:rtl/>
        </w:rPr>
        <w:t xml:space="preserve">). ההסכם בין מרים ליוסף אושר בפני </w:t>
      </w:r>
      <w:proofErr w:type="spellStart"/>
      <w:r>
        <w:rPr>
          <w:rFonts w:hint="cs"/>
          <w:rtl/>
        </w:rPr>
        <w:t>ביד"ר</w:t>
      </w:r>
      <w:proofErr w:type="spellEnd"/>
      <w:r>
        <w:rPr>
          <w:rFonts w:hint="cs"/>
          <w:rtl/>
        </w:rPr>
        <w:t xml:space="preserve"> מכוחו של סע' 9 </w:t>
      </w:r>
      <w:proofErr w:type="spellStart"/>
      <w:r>
        <w:rPr>
          <w:rFonts w:hint="cs"/>
          <w:rtl/>
        </w:rPr>
        <w:t>לחשבד"ר</w:t>
      </w:r>
      <w:proofErr w:type="spellEnd"/>
      <w:r>
        <w:rPr>
          <w:rFonts w:hint="cs"/>
          <w:rtl/>
        </w:rPr>
        <w:t xml:space="preserve">. ע"מ שהסמכות תינתן </w:t>
      </w:r>
      <w:proofErr w:type="spellStart"/>
      <w:r>
        <w:rPr>
          <w:rFonts w:hint="cs"/>
          <w:rtl/>
        </w:rPr>
        <w:t>לביד"ר</w:t>
      </w:r>
      <w:proofErr w:type="spellEnd"/>
      <w:r>
        <w:rPr>
          <w:rFonts w:hint="cs"/>
          <w:rtl/>
        </w:rPr>
        <w:t xml:space="preserve"> בנושא, עליו להיות מוכר לפי חוק כמקור סמכות מקורית</w:t>
      </w:r>
      <w:r>
        <w:rPr>
          <w:rStyle w:val="a9"/>
          <w:rtl/>
        </w:rPr>
        <w:endnoteReference w:id="20"/>
      </w:r>
      <w:r>
        <w:rPr>
          <w:rFonts w:hint="cs"/>
          <w:rtl/>
        </w:rPr>
        <w:t>, יוסף עשוי לטעון כי ההסכם אינו תקף לענייני הרכוש כי אלה אינם חלק מענייני המעמד האישי</w:t>
      </w:r>
      <w:r>
        <w:rPr>
          <w:rStyle w:val="a9"/>
          <w:rtl/>
        </w:rPr>
        <w:endnoteReference w:id="21"/>
      </w:r>
      <w:r>
        <w:rPr>
          <w:rFonts w:hint="cs"/>
          <w:rtl/>
        </w:rPr>
        <w:t xml:space="preserve">, משמרות הילדים הינו עניין הכרוך מטיבו בתביעת הגירושין, מזונות הינם נושא הטעון כריכה מפורשת, כפי שאכן נעשה בתביעה המקורית- נראה כי בעניינים אלה קיימת </w:t>
      </w:r>
      <w:proofErr w:type="spellStart"/>
      <w:r>
        <w:rPr>
          <w:rFonts w:hint="cs"/>
          <w:rtl/>
        </w:rPr>
        <w:t>לביד"ר</w:t>
      </w:r>
      <w:proofErr w:type="spellEnd"/>
      <w:r>
        <w:rPr>
          <w:rFonts w:hint="cs"/>
          <w:rtl/>
        </w:rPr>
        <w:t xml:space="preserve"> סמכות. על נושא חינוך הילדים </w:t>
      </w:r>
      <w:proofErr w:type="spellStart"/>
      <w:r>
        <w:rPr>
          <w:rFonts w:hint="cs"/>
          <w:rtl/>
        </w:rPr>
        <w:t>להכרך</w:t>
      </w:r>
      <w:proofErr w:type="spellEnd"/>
      <w:r>
        <w:rPr>
          <w:rFonts w:hint="cs"/>
          <w:rtl/>
        </w:rPr>
        <w:t xml:space="preserve"> במפורש בתביעה</w:t>
      </w:r>
      <w:r>
        <w:rPr>
          <w:rStyle w:val="a9"/>
          <w:rtl/>
        </w:rPr>
        <w:endnoteReference w:id="22"/>
      </w:r>
      <w:r>
        <w:rPr>
          <w:rFonts w:hint="cs"/>
          <w:rtl/>
        </w:rPr>
        <w:t xml:space="preserve">. </w:t>
      </w:r>
      <w:proofErr w:type="spellStart"/>
      <w:r>
        <w:rPr>
          <w:rFonts w:hint="cs"/>
          <w:rtl/>
        </w:rPr>
        <w:t>בדנן</w:t>
      </w:r>
      <w:proofErr w:type="spellEnd"/>
      <w:r>
        <w:rPr>
          <w:rFonts w:hint="cs"/>
          <w:rtl/>
        </w:rPr>
        <w:t xml:space="preserve"> אמור</w:t>
      </w:r>
      <w:r w:rsidR="006556B8">
        <w:rPr>
          <w:rFonts w:hint="cs"/>
          <w:rtl/>
        </w:rPr>
        <w:t>ה</w:t>
      </w:r>
      <w:r>
        <w:rPr>
          <w:rFonts w:hint="cs"/>
          <w:rtl/>
        </w:rPr>
        <w:t xml:space="preserve"> לחול, לכאורה, </w:t>
      </w:r>
      <w:r w:rsidR="006556B8">
        <w:rPr>
          <w:rFonts w:hint="cs"/>
          <w:b/>
          <w:bCs/>
          <w:rtl/>
        </w:rPr>
        <w:t xml:space="preserve">דוקטרינת </w:t>
      </w:r>
      <w:r w:rsidRPr="00594825">
        <w:rPr>
          <w:rFonts w:hint="cs"/>
          <w:b/>
          <w:bCs/>
          <w:rtl/>
        </w:rPr>
        <w:t>הסמכות הנמשכת</w:t>
      </w:r>
      <w:r>
        <w:rPr>
          <w:rFonts w:hint="cs"/>
          <w:rtl/>
        </w:rPr>
        <w:t xml:space="preserve"> (</w:t>
      </w:r>
      <w:r w:rsidR="008E1784">
        <w:rPr>
          <w:rFonts w:hint="cs"/>
          <w:rtl/>
        </w:rPr>
        <w:t>הממקסמת</w:t>
      </w:r>
      <w:r>
        <w:rPr>
          <w:rFonts w:hint="cs"/>
          <w:rtl/>
        </w:rPr>
        <w:t xml:space="preserve"> יעילות דיונית</w:t>
      </w:r>
      <w:r>
        <w:rPr>
          <w:rStyle w:val="a9"/>
          <w:rtl/>
        </w:rPr>
        <w:endnoteReference w:id="23"/>
      </w:r>
      <w:r>
        <w:rPr>
          <w:rFonts w:hint="cs"/>
          <w:rtl/>
        </w:rPr>
        <w:t>), לפיו, דיון הנערך בעניין המצוי בסמכות ערכאה מקבילה, ידון ויוברר שנית בפני אותה ערכאה</w:t>
      </w:r>
      <w:r>
        <w:rPr>
          <w:rStyle w:val="a9"/>
          <w:rtl/>
        </w:rPr>
        <w:endnoteReference w:id="24"/>
      </w:r>
      <w:r>
        <w:rPr>
          <w:rFonts w:hint="cs"/>
          <w:rtl/>
        </w:rPr>
        <w:t xml:space="preserve">- </w:t>
      </w:r>
      <w:proofErr w:type="spellStart"/>
      <w:r>
        <w:rPr>
          <w:rFonts w:hint="cs"/>
          <w:rtl/>
        </w:rPr>
        <w:t>ובדנן</w:t>
      </w:r>
      <w:proofErr w:type="spellEnd"/>
      <w:r>
        <w:rPr>
          <w:rFonts w:hint="cs"/>
          <w:rtl/>
        </w:rPr>
        <w:t xml:space="preserve">: </w:t>
      </w:r>
      <w:proofErr w:type="spellStart"/>
      <w:r>
        <w:rPr>
          <w:rFonts w:hint="cs"/>
          <w:rtl/>
        </w:rPr>
        <w:t>ביד"ר</w:t>
      </w:r>
      <w:proofErr w:type="spellEnd"/>
      <w:r>
        <w:rPr>
          <w:rFonts w:hint="cs"/>
          <w:rtl/>
        </w:rPr>
        <w:t>, אשר רוכש סמכויות (מכוח פסק דינו</w:t>
      </w:r>
      <w:r>
        <w:rPr>
          <w:rStyle w:val="a9"/>
          <w:rtl/>
        </w:rPr>
        <w:endnoteReference w:id="25"/>
      </w:r>
      <w:r>
        <w:rPr>
          <w:rFonts w:hint="cs"/>
          <w:rtl/>
        </w:rPr>
        <w:t>) לעניין תיקון וביטול ההסכם, אך לא לעניין פרשנות או אכיפת ההסכם</w:t>
      </w:r>
      <w:r>
        <w:rPr>
          <w:rStyle w:val="a9"/>
          <w:rtl/>
        </w:rPr>
        <w:endnoteReference w:id="26"/>
      </w:r>
      <w:r>
        <w:rPr>
          <w:rFonts w:hint="cs"/>
          <w:rtl/>
        </w:rPr>
        <w:t xml:space="preserve">. נטל ההוכחה כי התביעה הינה לתיקון או ביטול ההסכם (המקנה כאמור </w:t>
      </w:r>
      <w:proofErr w:type="spellStart"/>
      <w:r>
        <w:rPr>
          <w:rFonts w:hint="cs"/>
          <w:rtl/>
        </w:rPr>
        <w:t>לביד"ר</w:t>
      </w:r>
      <w:proofErr w:type="spellEnd"/>
      <w:r>
        <w:rPr>
          <w:rFonts w:hint="cs"/>
          <w:rtl/>
        </w:rPr>
        <w:t xml:space="preserve"> הסמכות לדון בו) הינו של מרים</w:t>
      </w:r>
      <w:r>
        <w:rPr>
          <w:rStyle w:val="a9"/>
          <w:rtl/>
        </w:rPr>
        <w:endnoteReference w:id="27"/>
      </w:r>
      <w:r>
        <w:rPr>
          <w:rFonts w:hint="cs"/>
          <w:rtl/>
        </w:rPr>
        <w:t xml:space="preserve">. </w:t>
      </w:r>
      <w:r w:rsidR="004850B5" w:rsidRPr="00F95785">
        <w:rPr>
          <w:rFonts w:hint="cs"/>
          <w:b/>
          <w:bCs/>
          <w:rtl/>
        </w:rPr>
        <w:t>תנאי קיום הדוקטרינה</w:t>
      </w:r>
      <w:r w:rsidR="000A0B80">
        <w:rPr>
          <w:rStyle w:val="a9"/>
          <w:rtl/>
        </w:rPr>
        <w:endnoteReference w:id="28"/>
      </w:r>
      <w:r w:rsidR="000A0B80">
        <w:rPr>
          <w:rFonts w:hint="cs"/>
          <w:rtl/>
        </w:rPr>
        <w:t>:</w:t>
      </w:r>
      <w:r w:rsidR="004850B5">
        <w:rPr>
          <w:rFonts w:hint="cs"/>
          <w:rtl/>
        </w:rPr>
        <w:t xml:space="preserve"> (א) </w:t>
      </w:r>
      <w:r w:rsidR="004850B5" w:rsidRPr="004850B5">
        <w:rPr>
          <w:rFonts w:hint="cs"/>
          <w:u w:val="single"/>
          <w:rtl/>
        </w:rPr>
        <w:t>אותם צדדים לעניין</w:t>
      </w:r>
      <w:r w:rsidR="004850B5">
        <w:rPr>
          <w:rFonts w:hint="cs"/>
          <w:rtl/>
        </w:rPr>
        <w:t xml:space="preserve">- מתקיים. (ב) </w:t>
      </w:r>
      <w:r w:rsidR="004850B5" w:rsidRPr="004850B5">
        <w:rPr>
          <w:rFonts w:hint="cs"/>
          <w:u w:val="single"/>
          <w:rtl/>
        </w:rPr>
        <w:t>נושאים בעלי אופי מתמשך</w:t>
      </w:r>
      <w:r w:rsidR="004850B5">
        <w:rPr>
          <w:rFonts w:hint="cs"/>
          <w:rtl/>
        </w:rPr>
        <w:t>- חינוך+ מזונות אישה+ החזקה- עונים על הקריטריון. רכוש הינו נקודתי</w:t>
      </w:r>
      <w:r w:rsidR="009C12EC">
        <w:rPr>
          <w:rStyle w:val="a9"/>
          <w:rtl/>
        </w:rPr>
        <w:endnoteReference w:id="29"/>
      </w:r>
      <w:r w:rsidR="009C12EC">
        <w:rPr>
          <w:rFonts w:hint="cs"/>
          <w:rtl/>
        </w:rPr>
        <w:t xml:space="preserve"> </w:t>
      </w:r>
      <w:r w:rsidR="003B45F9">
        <w:rPr>
          <w:rFonts w:hint="cs"/>
          <w:rtl/>
        </w:rPr>
        <w:t xml:space="preserve">(ג) </w:t>
      </w:r>
      <w:r w:rsidR="00A85879" w:rsidRPr="00A85879">
        <w:rPr>
          <w:rFonts w:hint="cs"/>
          <w:u w:val="single"/>
          <w:rtl/>
        </w:rPr>
        <w:t>שינוי נסיבות מהותי</w:t>
      </w:r>
      <w:r w:rsidR="00A85879">
        <w:rPr>
          <w:rFonts w:hint="cs"/>
          <w:rtl/>
        </w:rPr>
        <w:t xml:space="preserve">- </w:t>
      </w:r>
      <w:r w:rsidR="009F798A">
        <w:rPr>
          <w:rFonts w:hint="cs"/>
          <w:rtl/>
        </w:rPr>
        <w:t>התחזקות ברמה דתית המשפיעה על תנאי ההסכם.</w:t>
      </w:r>
      <w:r w:rsidR="00753970">
        <w:rPr>
          <w:rFonts w:hint="cs"/>
          <w:rtl/>
        </w:rPr>
        <w:t xml:space="preserve"> (ד) </w:t>
      </w:r>
      <w:r w:rsidR="00753970" w:rsidRPr="00753970">
        <w:rPr>
          <w:rFonts w:hint="cs"/>
          <w:u w:val="single"/>
          <w:rtl/>
        </w:rPr>
        <w:t>סמכות מקורית ל</w:t>
      </w:r>
      <w:r w:rsidR="00D6201F">
        <w:rPr>
          <w:rFonts w:hint="cs"/>
          <w:u w:val="single"/>
          <w:rtl/>
        </w:rPr>
        <w:t>ערכאה השיפוטית</w:t>
      </w:r>
      <w:r w:rsidR="00753970">
        <w:rPr>
          <w:rFonts w:hint="cs"/>
          <w:rtl/>
        </w:rPr>
        <w:t>-</w:t>
      </w:r>
      <w:r w:rsidR="00D6201F">
        <w:rPr>
          <w:rFonts w:hint="cs"/>
          <w:rtl/>
        </w:rPr>
        <w:t xml:space="preserve"> סמכויות של </w:t>
      </w:r>
      <w:proofErr w:type="spellStart"/>
      <w:r w:rsidR="00D6201F">
        <w:rPr>
          <w:rFonts w:hint="cs"/>
          <w:rtl/>
        </w:rPr>
        <w:t>ביד"ר</w:t>
      </w:r>
      <w:proofErr w:type="spellEnd"/>
      <w:r w:rsidR="00D6201F">
        <w:rPr>
          <w:rFonts w:hint="cs"/>
          <w:rtl/>
        </w:rPr>
        <w:t xml:space="preserve"> נקבעו כאמור </w:t>
      </w:r>
      <w:proofErr w:type="spellStart"/>
      <w:r w:rsidR="00D6201F">
        <w:rPr>
          <w:rFonts w:hint="cs"/>
          <w:rtl/>
        </w:rPr>
        <w:t>בסע</w:t>
      </w:r>
      <w:proofErr w:type="spellEnd"/>
      <w:r w:rsidR="00D6201F">
        <w:rPr>
          <w:rFonts w:hint="cs"/>
          <w:rtl/>
        </w:rPr>
        <w:t xml:space="preserve">' 1 </w:t>
      </w:r>
      <w:proofErr w:type="spellStart"/>
      <w:r w:rsidR="00D6201F">
        <w:rPr>
          <w:rFonts w:hint="cs"/>
          <w:rtl/>
        </w:rPr>
        <w:t>לחשבד"ר</w:t>
      </w:r>
      <w:proofErr w:type="spellEnd"/>
      <w:r w:rsidR="00D6201F">
        <w:rPr>
          <w:rFonts w:hint="cs"/>
          <w:rtl/>
        </w:rPr>
        <w:t>: סמכות בענייני נישואין+ גירושין+</w:t>
      </w:r>
      <w:r w:rsidR="00E71C5B">
        <w:rPr>
          <w:rFonts w:hint="cs"/>
          <w:rtl/>
        </w:rPr>
        <w:t xml:space="preserve"> הנכרך להם כדין </w:t>
      </w:r>
      <w:proofErr w:type="spellStart"/>
      <w:r w:rsidR="00E71C5B">
        <w:rPr>
          <w:rFonts w:hint="cs"/>
          <w:rtl/>
        </w:rPr>
        <w:t>מכח</w:t>
      </w:r>
      <w:proofErr w:type="spellEnd"/>
      <w:r w:rsidR="00E71C5B">
        <w:rPr>
          <w:rFonts w:hint="cs"/>
          <w:rtl/>
        </w:rPr>
        <w:t xml:space="preserve"> סע' 3 וסמכויות מקבילות </w:t>
      </w:r>
      <w:proofErr w:type="spellStart"/>
      <w:r w:rsidR="00E71C5B">
        <w:rPr>
          <w:rFonts w:hint="cs"/>
          <w:rtl/>
        </w:rPr>
        <w:t>מכח</w:t>
      </w:r>
      <w:proofErr w:type="spellEnd"/>
      <w:r w:rsidR="00E71C5B">
        <w:rPr>
          <w:rFonts w:hint="cs"/>
          <w:rtl/>
        </w:rPr>
        <w:t xml:space="preserve"> סע' 9 </w:t>
      </w:r>
      <w:proofErr w:type="spellStart"/>
      <w:r w:rsidR="00E71C5B">
        <w:rPr>
          <w:rFonts w:hint="cs"/>
          <w:rtl/>
        </w:rPr>
        <w:t>לחשבד"ר</w:t>
      </w:r>
      <w:proofErr w:type="spellEnd"/>
      <w:r w:rsidR="00E71C5B">
        <w:rPr>
          <w:rFonts w:hint="cs"/>
          <w:rtl/>
        </w:rPr>
        <w:t>.</w:t>
      </w:r>
      <w:r w:rsidR="00ED2CBD">
        <w:rPr>
          <w:rFonts w:hint="cs"/>
          <w:rtl/>
        </w:rPr>
        <w:t xml:space="preserve"> במידה והחלת הסמכות נתקבלה כדין- הינו בעל סמכות ייחודית. רכוש+ מזונות אישה+ חינוך- רק אם נכרכו כדין. החזקה- כרוכה מטבעה בתביעת גירושין.</w:t>
      </w:r>
      <w:r w:rsidR="00753970">
        <w:rPr>
          <w:rFonts w:hint="cs"/>
          <w:rtl/>
        </w:rPr>
        <w:t xml:space="preserve"> </w:t>
      </w:r>
    </w:p>
    <w:p w:rsidR="00A01052" w:rsidRDefault="00A01052" w:rsidP="007A33E2">
      <w:pPr>
        <w:pStyle w:val="a3"/>
        <w:rPr>
          <w:rtl/>
        </w:rPr>
      </w:pPr>
      <w:r>
        <w:rPr>
          <w:rFonts w:hint="cs"/>
          <w:rtl/>
        </w:rPr>
        <w:t xml:space="preserve">נראה כי יוסף יבסס טענתו לחוסר סמכות </w:t>
      </w:r>
      <w:proofErr w:type="spellStart"/>
      <w:r>
        <w:rPr>
          <w:rFonts w:hint="cs"/>
          <w:rtl/>
        </w:rPr>
        <w:t>ביד"ר</w:t>
      </w:r>
      <w:proofErr w:type="spellEnd"/>
      <w:r>
        <w:rPr>
          <w:rFonts w:hint="cs"/>
          <w:rtl/>
        </w:rPr>
        <w:t xml:space="preserve"> לעסוק בסוגיה באמצעות</w:t>
      </w:r>
      <w:r w:rsidR="007A33E2">
        <w:rPr>
          <w:rFonts w:hint="cs"/>
          <w:rtl/>
        </w:rPr>
        <w:t xml:space="preserve"> מספר גורמים: ערכאה המאשרת הסכם </w:t>
      </w:r>
      <w:r>
        <w:rPr>
          <w:rFonts w:hint="cs"/>
          <w:rtl/>
        </w:rPr>
        <w:t>כפס"ד, ללא דיון ושקילה בסוגיות המועלות בה, אינה רוכשת סמכות נמשכת לפרשנות ואכיפת ההסכם.</w:t>
      </w:r>
      <w:r>
        <w:rPr>
          <w:rStyle w:val="a9"/>
          <w:rtl/>
        </w:rPr>
        <w:endnoteReference w:id="30"/>
      </w:r>
      <w:r>
        <w:rPr>
          <w:rFonts w:hint="cs"/>
          <w:rtl/>
        </w:rPr>
        <w:t xml:space="preserve"> בנוסף, כלל </w:t>
      </w:r>
      <w:r w:rsidRPr="00582F25">
        <w:rPr>
          <w:rFonts w:hint="cs"/>
          <w:b/>
          <w:bCs/>
          <w:rtl/>
        </w:rPr>
        <w:t>החריג לכלל הסמכות הנמשכת</w:t>
      </w:r>
      <w:r w:rsidR="00106C14">
        <w:rPr>
          <w:rFonts w:hint="cs"/>
          <w:rtl/>
        </w:rPr>
        <w:t>, קובע החרגת</w:t>
      </w:r>
      <w:r>
        <w:rPr>
          <w:rFonts w:hint="cs"/>
          <w:rtl/>
        </w:rPr>
        <w:t xml:space="preserve"> הכלל במקרה בו מדובר במחלוקת שונה מזו המקורית, וכאשר אין הצדקה מספקת להצרת סמכותה של הערכאה המקבילה. נראה כי שינוי קיצוני בסגנון החיים של מרים עשוי להצדיק את ההחרגה.</w:t>
      </w:r>
    </w:p>
    <w:p w:rsidR="00A01052" w:rsidRDefault="00A01052" w:rsidP="00EF6A5B">
      <w:pPr>
        <w:pStyle w:val="a3"/>
        <w:rPr>
          <w:rtl/>
        </w:rPr>
      </w:pPr>
      <w:r>
        <w:rPr>
          <w:rFonts w:hint="cs"/>
          <w:rtl/>
        </w:rPr>
        <w:t xml:space="preserve">נבחן את התקיימותו של  </w:t>
      </w:r>
      <w:r w:rsidRPr="0086347F">
        <w:rPr>
          <w:rFonts w:hint="cs"/>
          <w:b/>
          <w:bCs/>
          <w:rtl/>
        </w:rPr>
        <w:t>מבחן הסיכול</w:t>
      </w:r>
      <w:r>
        <w:rPr>
          <w:rStyle w:val="a9"/>
          <w:rtl/>
        </w:rPr>
        <w:endnoteReference w:id="31"/>
      </w:r>
      <w:r>
        <w:rPr>
          <w:rFonts w:hint="cs"/>
          <w:b/>
          <w:bCs/>
          <w:rtl/>
        </w:rPr>
        <w:t xml:space="preserve">: ההחלטה המקורית מבוססת על בירור ושקילה- </w:t>
      </w:r>
      <w:r>
        <w:rPr>
          <w:rFonts w:hint="cs"/>
          <w:b/>
          <w:bCs/>
          <w:rtl/>
        </w:rPr>
        <w:tab/>
      </w:r>
      <w:r>
        <w:rPr>
          <w:rFonts w:hint="cs"/>
          <w:rtl/>
        </w:rPr>
        <w:t xml:space="preserve">מנתוני </w:t>
      </w:r>
      <w:proofErr w:type="spellStart"/>
      <w:r>
        <w:rPr>
          <w:rFonts w:hint="cs"/>
          <w:rtl/>
        </w:rPr>
        <w:t>האירועון</w:t>
      </w:r>
      <w:proofErr w:type="spellEnd"/>
      <w:r>
        <w:rPr>
          <w:rFonts w:hint="cs"/>
          <w:rtl/>
        </w:rPr>
        <w:t xml:space="preserve"> נראה כי הכלל אינו מתקיים, וכי </w:t>
      </w:r>
      <w:proofErr w:type="spellStart"/>
      <w:r>
        <w:rPr>
          <w:rFonts w:hint="cs"/>
          <w:rtl/>
        </w:rPr>
        <w:t>ביד"ר</w:t>
      </w:r>
      <w:proofErr w:type="spellEnd"/>
      <w:r>
        <w:rPr>
          <w:rFonts w:hint="cs"/>
          <w:rtl/>
        </w:rPr>
        <w:t xml:space="preserve"> נתן הסכמתו ללא דיון מעמיק בסוגיה. מרים תטען כי </w:t>
      </w:r>
      <w:proofErr w:type="spellStart"/>
      <w:r>
        <w:rPr>
          <w:rFonts w:hint="cs"/>
          <w:rtl/>
        </w:rPr>
        <w:t>ביד"ר</w:t>
      </w:r>
      <w:proofErr w:type="spellEnd"/>
      <w:r>
        <w:rPr>
          <w:rFonts w:hint="cs"/>
          <w:rtl/>
        </w:rPr>
        <w:t xml:space="preserve"> קיים דיון והגיע להחלטה ועל כן אין המבחן חל </w:t>
      </w:r>
      <w:proofErr w:type="spellStart"/>
      <w:r>
        <w:rPr>
          <w:rFonts w:hint="cs"/>
          <w:rtl/>
        </w:rPr>
        <w:t>בדנן</w:t>
      </w:r>
      <w:proofErr w:type="spellEnd"/>
      <w:r>
        <w:rPr>
          <w:rFonts w:hint="cs"/>
          <w:rtl/>
        </w:rPr>
        <w:t xml:space="preserve">. </w:t>
      </w:r>
      <w:r w:rsidRPr="00CE3290">
        <w:rPr>
          <w:rFonts w:hint="cs"/>
          <w:b/>
          <w:bCs/>
          <w:rtl/>
        </w:rPr>
        <w:t>הסוגיה המקורית קרובה במידה מספקת לזו המקורית-</w:t>
      </w:r>
      <w:r>
        <w:rPr>
          <w:rFonts w:hint="cs"/>
          <w:rtl/>
        </w:rPr>
        <w:t xml:space="preserve"> ניתן להחליט לכאן או לכאן, שנה הינו פרק זמן משמעותי אך ייתכן כי אינו ארוך דיו להחלת הכלל בעניין. אם כי, יוסף יעלה טענה כי מדובר באירוע השונה מהותית מזה הכתוב בהסכם, אשר לגביו לא יכול כלל הסמכות הנמשכת, זאת בנוסף לניסיונו לצבוע את הדיון החלקי בהסכם כפגם מהותי.</w:t>
      </w:r>
    </w:p>
    <w:p w:rsidR="00A01052" w:rsidRDefault="00A01052" w:rsidP="00E600A6">
      <w:pPr>
        <w:pStyle w:val="a3"/>
        <w:rPr>
          <w:rtl/>
        </w:rPr>
      </w:pPr>
      <w:r>
        <w:rPr>
          <w:rFonts w:hint="cs"/>
          <w:rtl/>
        </w:rPr>
        <w:lastRenderedPageBreak/>
        <w:t xml:space="preserve">מנגד מרים תטען כי עצם עיסוקו ואישורו הקודם של </w:t>
      </w:r>
      <w:proofErr w:type="spellStart"/>
      <w:r>
        <w:rPr>
          <w:rFonts w:hint="cs"/>
          <w:rtl/>
        </w:rPr>
        <w:t>ביד"ר</w:t>
      </w:r>
      <w:proofErr w:type="spellEnd"/>
      <w:r>
        <w:rPr>
          <w:rFonts w:hint="cs"/>
          <w:rtl/>
        </w:rPr>
        <w:t xml:space="preserve"> את הנושא אמור להספיק לשם השארת ההכרעה בידו.</w:t>
      </w:r>
      <w:r>
        <w:rPr>
          <w:rStyle w:val="a9"/>
          <w:rtl/>
        </w:rPr>
        <w:endnoteReference w:id="32"/>
      </w:r>
      <w:r>
        <w:rPr>
          <w:rFonts w:hint="cs"/>
          <w:rtl/>
        </w:rPr>
        <w:t xml:space="preserve"> זאת בנוסף להיות הנושא בעל אופי מתמשך לגביו נקבע כי שמורה זכות ראשונים לערכאה המקורית</w:t>
      </w:r>
      <w:r>
        <w:rPr>
          <w:rStyle w:val="a9"/>
          <w:rtl/>
        </w:rPr>
        <w:endnoteReference w:id="33"/>
      </w:r>
      <w:r>
        <w:rPr>
          <w:rFonts w:hint="cs"/>
          <w:rtl/>
        </w:rPr>
        <w:t xml:space="preserve">. בנוסף, שני הצדדים הביעו הסכמתם לאישור ההסכם בידי </w:t>
      </w:r>
      <w:proofErr w:type="spellStart"/>
      <w:r>
        <w:rPr>
          <w:rFonts w:hint="cs"/>
          <w:rtl/>
        </w:rPr>
        <w:t>ביד"ר</w:t>
      </w:r>
      <w:proofErr w:type="spellEnd"/>
      <w:r>
        <w:rPr>
          <w:rFonts w:hint="cs"/>
          <w:rtl/>
        </w:rPr>
        <w:t xml:space="preserve">, דבר היוצר סמכות מתמשכת בנושא מזונות ומשמורת (אך לא חינוך ורכוש) שכן </w:t>
      </w:r>
      <w:proofErr w:type="spellStart"/>
      <w:r>
        <w:rPr>
          <w:rFonts w:hint="cs"/>
          <w:rtl/>
        </w:rPr>
        <w:t>ביד"ר</w:t>
      </w:r>
      <w:proofErr w:type="spellEnd"/>
      <w:r>
        <w:rPr>
          <w:rFonts w:hint="cs"/>
          <w:rtl/>
        </w:rPr>
        <w:t xml:space="preserve"> יכול לשאוב סמכותו בענייני מכוח הסכמת הצדדים</w:t>
      </w:r>
      <w:r>
        <w:rPr>
          <w:rStyle w:val="a9"/>
          <w:rtl/>
        </w:rPr>
        <w:endnoteReference w:id="34"/>
      </w:r>
      <w:r>
        <w:rPr>
          <w:rFonts w:hint="cs"/>
          <w:rtl/>
        </w:rPr>
        <w:t xml:space="preserve"> זאת ע"פ סע' 9 </w:t>
      </w:r>
      <w:proofErr w:type="spellStart"/>
      <w:r>
        <w:rPr>
          <w:rFonts w:hint="cs"/>
          <w:rtl/>
        </w:rPr>
        <w:t>לחשבד"ר</w:t>
      </w:r>
      <w:proofErr w:type="spellEnd"/>
      <w:r>
        <w:rPr>
          <w:rStyle w:val="a9"/>
          <w:rtl/>
        </w:rPr>
        <w:endnoteReference w:id="35"/>
      </w:r>
      <w:r>
        <w:rPr>
          <w:rFonts w:hint="cs"/>
          <w:rtl/>
        </w:rPr>
        <w:t>.</w:t>
      </w:r>
    </w:p>
    <w:p w:rsidR="00A01052" w:rsidRDefault="00A01052" w:rsidP="008D23E8">
      <w:pPr>
        <w:pStyle w:val="a3"/>
        <w:rPr>
          <w:rtl/>
        </w:rPr>
      </w:pPr>
      <w:proofErr w:type="spellStart"/>
      <w:r>
        <w:rPr>
          <w:rFonts w:hint="cs"/>
          <w:rtl/>
        </w:rPr>
        <w:t>כככל</w:t>
      </w:r>
      <w:proofErr w:type="spellEnd"/>
      <w:r>
        <w:rPr>
          <w:rFonts w:hint="cs"/>
          <w:rtl/>
        </w:rPr>
        <w:t xml:space="preserve">, כל צד ינסה לנכס לזכותו את אשר נקבע לאור פס"ד פלונית, </w:t>
      </w:r>
      <w:r>
        <w:rPr>
          <w:rFonts w:hint="cs"/>
          <w:rtl/>
        </w:rPr>
        <w:tab/>
        <w:t>תביעה לשינוי/תיקון/ביטול הסכם יושאר בטיפול הערכאה הראשונית</w:t>
      </w:r>
      <w:r>
        <w:rPr>
          <w:rStyle w:val="a9"/>
          <w:rtl/>
        </w:rPr>
        <w:endnoteReference w:id="36"/>
      </w:r>
      <w:r>
        <w:rPr>
          <w:rFonts w:hint="cs"/>
          <w:rtl/>
        </w:rPr>
        <w:t xml:space="preserve">- מרים תבקש לטעון כי ברצונה לשנות/לתקן חלקים בהסכם, ועל כן סמכות </w:t>
      </w:r>
      <w:proofErr w:type="spellStart"/>
      <w:r>
        <w:rPr>
          <w:rFonts w:hint="cs"/>
          <w:rtl/>
        </w:rPr>
        <w:t>ביד"ר</w:t>
      </w:r>
      <w:proofErr w:type="spellEnd"/>
      <w:r>
        <w:rPr>
          <w:rFonts w:hint="cs"/>
          <w:rtl/>
        </w:rPr>
        <w:t xml:space="preserve"> נשארת. לעומתה יבקש יוסף לטעון כי מרים מעוניינת באכיפת ההסכם, אשר מביא לפקיעת הסמכות הנמשכת</w:t>
      </w:r>
      <w:r>
        <w:rPr>
          <w:rStyle w:val="a9"/>
          <w:rtl/>
        </w:rPr>
        <w:endnoteReference w:id="37"/>
      </w:r>
      <w:r w:rsidR="006A2DDF">
        <w:rPr>
          <w:rFonts w:hint="cs"/>
          <w:rtl/>
        </w:rPr>
        <w:t>.</w:t>
      </w:r>
    </w:p>
    <w:p w:rsidR="00486436" w:rsidRDefault="00486436" w:rsidP="00486436">
      <w:pPr>
        <w:pStyle w:val="a3"/>
        <w:rPr>
          <w:rtl/>
        </w:rPr>
      </w:pPr>
      <w:r>
        <w:rPr>
          <w:rFonts w:hint="cs"/>
          <w:rtl/>
        </w:rPr>
        <w:t xml:space="preserve">בנושא מזונות אישה, הדורש כריכה מפורשת (בה עומדת מרים) באם זה יתנגד, תשיב מרים ליוסף כי היה עליו להעלות את שאלת סמכות </w:t>
      </w:r>
      <w:proofErr w:type="spellStart"/>
      <w:r>
        <w:rPr>
          <w:rFonts w:hint="cs"/>
          <w:rtl/>
        </w:rPr>
        <w:t>ביד"ר</w:t>
      </w:r>
      <w:proofErr w:type="spellEnd"/>
      <w:r>
        <w:rPr>
          <w:rFonts w:hint="cs"/>
          <w:rtl/>
        </w:rPr>
        <w:t xml:space="preserve"> בשלב מוקדם יותר ולא כשנה לאחר עריכת ההסכם</w:t>
      </w:r>
      <w:r>
        <w:rPr>
          <w:rStyle w:val="a9"/>
          <w:rtl/>
        </w:rPr>
        <w:endnoteReference w:id="38"/>
      </w:r>
      <w:r>
        <w:rPr>
          <w:rFonts w:hint="cs"/>
          <w:rtl/>
        </w:rPr>
        <w:t>.</w:t>
      </w:r>
    </w:p>
    <w:p w:rsidR="00F05BAF" w:rsidRDefault="006A2DDF" w:rsidP="00F05BAF">
      <w:pPr>
        <w:pStyle w:val="a3"/>
        <w:rPr>
          <w:rtl/>
        </w:rPr>
      </w:pPr>
      <w:r>
        <w:rPr>
          <w:rFonts w:hint="cs"/>
          <w:rtl/>
        </w:rPr>
        <w:t xml:space="preserve">בנושא מזונות ילדים, אלא אינם ניתנים לכריכה (אלא בהסכמת הצדדים), בנוסף, הילדים אינם כפופים להסכם ההורים (הדבר </w:t>
      </w:r>
      <w:r w:rsidR="00F05BAF">
        <w:rPr>
          <w:rFonts w:hint="cs"/>
          <w:rtl/>
        </w:rPr>
        <w:t>אפשרי</w:t>
      </w:r>
      <w:r>
        <w:rPr>
          <w:rFonts w:hint="cs"/>
          <w:rtl/>
        </w:rPr>
        <w:t xml:space="preserve"> ע"י החלטת ביהמ"ש),</w:t>
      </w:r>
      <w:r w:rsidR="00F05BAF">
        <w:rPr>
          <w:rFonts w:hint="cs"/>
          <w:rtl/>
        </w:rPr>
        <w:t xml:space="preserve"> ולכן הילדים יכולים להגיש תביעה לאחת הערכאות בעניין מזונותיהם</w:t>
      </w:r>
      <w:r w:rsidR="00F05BAF">
        <w:rPr>
          <w:rStyle w:val="a9"/>
          <w:rtl/>
        </w:rPr>
        <w:endnoteReference w:id="39"/>
      </w:r>
      <w:r w:rsidR="00C0579B">
        <w:rPr>
          <w:rFonts w:hint="cs"/>
          <w:rtl/>
        </w:rPr>
        <w:t xml:space="preserve">. יוסף יטען בנושא זה כי </w:t>
      </w:r>
      <w:proofErr w:type="spellStart"/>
      <w:r w:rsidR="00C0579B">
        <w:rPr>
          <w:rFonts w:hint="cs"/>
          <w:rtl/>
        </w:rPr>
        <w:t>לביד"ר</w:t>
      </w:r>
      <w:proofErr w:type="spellEnd"/>
      <w:r w:rsidR="00C0579B">
        <w:rPr>
          <w:rFonts w:hint="cs"/>
          <w:rtl/>
        </w:rPr>
        <w:t xml:space="preserve"> אין סמכות דיונית מכיוון שלא דן בנושא לעומק.</w:t>
      </w:r>
    </w:p>
    <w:p w:rsidR="002041FE" w:rsidRDefault="00A01052" w:rsidP="00A80090">
      <w:pPr>
        <w:pStyle w:val="a3"/>
        <w:rPr>
          <w:rtl/>
        </w:rPr>
      </w:pPr>
      <w:r>
        <w:rPr>
          <w:rFonts w:hint="cs"/>
          <w:rtl/>
        </w:rPr>
        <w:t xml:space="preserve">בנושא חינוך הילדים, תטען מרים כי שינוי הנסיבות </w:t>
      </w:r>
      <w:r w:rsidR="006A2DDF">
        <w:rPr>
          <w:rFonts w:hint="cs"/>
          <w:rtl/>
        </w:rPr>
        <w:t xml:space="preserve">(התחזקותה הדתית) </w:t>
      </w:r>
      <w:r>
        <w:rPr>
          <w:rFonts w:hint="cs"/>
          <w:rtl/>
        </w:rPr>
        <w:t>צרי</w:t>
      </w:r>
      <w:r w:rsidR="006A2DDF">
        <w:rPr>
          <w:rFonts w:hint="cs"/>
          <w:rtl/>
        </w:rPr>
        <w:t>כים</w:t>
      </w:r>
      <w:r w:rsidR="00A80090">
        <w:rPr>
          <w:rFonts w:hint="cs"/>
          <w:rtl/>
        </w:rPr>
        <w:t xml:space="preserve"> להביא להפעלת הכלל,</w:t>
      </w:r>
      <w:r>
        <w:rPr>
          <w:rFonts w:hint="cs"/>
          <w:rtl/>
        </w:rPr>
        <w:t xml:space="preserve"> </w:t>
      </w:r>
      <w:r w:rsidR="00A80090">
        <w:rPr>
          <w:rFonts w:hint="cs"/>
          <w:rtl/>
        </w:rPr>
        <w:t xml:space="preserve">וכי </w:t>
      </w:r>
      <w:proofErr w:type="spellStart"/>
      <w:r w:rsidR="00A80090">
        <w:rPr>
          <w:rFonts w:hint="cs"/>
          <w:rtl/>
        </w:rPr>
        <w:t>ביד"ר</w:t>
      </w:r>
      <w:proofErr w:type="spellEnd"/>
      <w:r w:rsidR="00A80090">
        <w:rPr>
          <w:rFonts w:hint="cs"/>
          <w:rtl/>
        </w:rPr>
        <w:t xml:space="preserve"> לא יכול לקנות סמכות בנושא רק באמצעות הערה כללית אותה אישר ללא דיון מעמיק</w:t>
      </w:r>
      <w:r w:rsidR="00A80090">
        <w:rPr>
          <w:rStyle w:val="a9"/>
          <w:rtl/>
        </w:rPr>
        <w:endnoteReference w:id="40"/>
      </w:r>
      <w:r w:rsidR="00A80090">
        <w:rPr>
          <w:rFonts w:hint="cs"/>
          <w:rtl/>
        </w:rPr>
        <w:t>.</w:t>
      </w:r>
    </w:p>
    <w:p w:rsidR="005F4E66" w:rsidRDefault="005F4E66" w:rsidP="00140B91">
      <w:pPr>
        <w:pStyle w:val="a3"/>
        <w:rPr>
          <w:rtl/>
        </w:rPr>
      </w:pPr>
      <w:r>
        <w:rPr>
          <w:rFonts w:hint="cs"/>
          <w:rtl/>
        </w:rPr>
        <w:t xml:space="preserve">בנושא הרכוש, </w:t>
      </w:r>
      <w:r w:rsidR="00140B91">
        <w:rPr>
          <w:rFonts w:hint="cs"/>
          <w:rtl/>
        </w:rPr>
        <w:t xml:space="preserve">גם אם עסק </w:t>
      </w:r>
      <w:proofErr w:type="spellStart"/>
      <w:r w:rsidR="00140B91">
        <w:rPr>
          <w:rFonts w:hint="cs"/>
          <w:rtl/>
        </w:rPr>
        <w:t>בנגזרותיו</w:t>
      </w:r>
      <w:proofErr w:type="spellEnd"/>
      <w:r w:rsidR="00140B91">
        <w:rPr>
          <w:rFonts w:hint="cs"/>
          <w:rtl/>
        </w:rPr>
        <w:t xml:space="preserve"> בעבר, </w:t>
      </w:r>
      <w:proofErr w:type="spellStart"/>
      <w:r w:rsidR="00140B91">
        <w:rPr>
          <w:rFonts w:hint="cs"/>
          <w:rtl/>
        </w:rPr>
        <w:t>ביד"ר</w:t>
      </w:r>
      <w:proofErr w:type="spellEnd"/>
      <w:r w:rsidR="00140B91">
        <w:rPr>
          <w:rFonts w:hint="cs"/>
          <w:rtl/>
        </w:rPr>
        <w:t xml:space="preserve"> אינו בעל סמכות נמשכת לנושא, זאת בשל אופיו הנקודתי של התחום+ אינו מענייני המעמד האישי</w:t>
      </w:r>
      <w:r w:rsidR="00AE48FA">
        <w:rPr>
          <w:rStyle w:val="a9"/>
          <w:rtl/>
        </w:rPr>
        <w:endnoteReference w:id="41"/>
      </w:r>
      <w:r w:rsidR="00A45457">
        <w:rPr>
          <w:rFonts w:hint="cs"/>
          <w:rtl/>
        </w:rPr>
        <w:t>.</w:t>
      </w: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p w:rsidR="00D0302E" w:rsidRDefault="00D0302E" w:rsidP="00140B91">
      <w:pPr>
        <w:pStyle w:val="a3"/>
        <w:rPr>
          <w:rtl/>
        </w:rPr>
      </w:pPr>
    </w:p>
    <w:sectPr w:rsidR="00D0302E" w:rsidSect="005F4E66">
      <w:headerReference w:type="default" r:id="rId8"/>
      <w:footerReference w:type="default" r:id="rId9"/>
      <w:endnotePr>
        <w:numFmt w:val="decimal"/>
      </w:endnotePr>
      <w:pgSz w:w="11906" w:h="16838"/>
      <w:pgMar w:top="1304" w:right="1304" w:bottom="1304" w:left="1304"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4E2" w:rsidRDefault="005A44E2" w:rsidP="00DF6FEC">
      <w:pPr>
        <w:spacing w:after="0" w:line="240" w:lineRule="auto"/>
      </w:pPr>
      <w:r>
        <w:separator/>
      </w:r>
    </w:p>
  </w:endnote>
  <w:endnote w:type="continuationSeparator" w:id="0">
    <w:p w:rsidR="005A44E2" w:rsidRDefault="005A44E2" w:rsidP="00DF6FEC">
      <w:pPr>
        <w:spacing w:after="0" w:line="240" w:lineRule="auto"/>
      </w:pPr>
      <w:r>
        <w:continuationSeparator/>
      </w:r>
    </w:p>
  </w:endnote>
  <w:endnote w:id="1">
    <w:p w:rsidR="005F4E66" w:rsidRPr="009A7233" w:rsidRDefault="005F4E66" w:rsidP="00450090">
      <w:pPr>
        <w:pStyle w:val="a7"/>
        <w:rPr>
          <w:rFonts w:cs="David"/>
          <w:rtl/>
        </w:rPr>
      </w:pPr>
      <w:r w:rsidRPr="009A7233">
        <w:rPr>
          <w:rStyle w:val="a9"/>
          <w:rFonts w:cs="David"/>
        </w:rPr>
        <w:endnoteRef/>
      </w:r>
      <w:r w:rsidRPr="009A7233">
        <w:rPr>
          <w:rFonts w:cs="David"/>
          <w:rtl/>
        </w:rPr>
        <w:t xml:space="preserve"> חוק שיפוט בתי דין רבניים (נישואין וגירושין), תשי"ג-1953</w:t>
      </w:r>
    </w:p>
  </w:endnote>
  <w:endnote w:id="2">
    <w:p w:rsidR="005F4E66" w:rsidRPr="009A7233" w:rsidRDefault="005F4E66" w:rsidP="0018526F">
      <w:pPr>
        <w:pStyle w:val="a7"/>
        <w:rPr>
          <w:rFonts w:cs="David"/>
        </w:rPr>
      </w:pPr>
      <w:r w:rsidRPr="009A7233">
        <w:rPr>
          <w:rStyle w:val="a9"/>
          <w:rFonts w:cs="David"/>
        </w:rPr>
        <w:endnoteRef/>
      </w:r>
      <w:r w:rsidRPr="009A7233">
        <w:rPr>
          <w:rFonts w:cs="David"/>
          <w:rtl/>
        </w:rPr>
        <w:t xml:space="preserve"> בג"צ 304/86 </w:t>
      </w:r>
      <w:r w:rsidRPr="009A7233">
        <w:rPr>
          <w:rFonts w:cs="David"/>
          <w:b/>
          <w:bCs/>
          <w:rtl/>
        </w:rPr>
        <w:t xml:space="preserve">ברק נ. ביה"ד </w:t>
      </w:r>
      <w:proofErr w:type="spellStart"/>
      <w:r w:rsidRPr="009A7233">
        <w:rPr>
          <w:rFonts w:cs="David"/>
          <w:b/>
          <w:bCs/>
          <w:rtl/>
        </w:rPr>
        <w:t>השרעי</w:t>
      </w:r>
      <w:proofErr w:type="spellEnd"/>
      <w:r w:rsidRPr="009A7233">
        <w:rPr>
          <w:rFonts w:cs="David"/>
          <w:rtl/>
        </w:rPr>
        <w:t xml:space="preserve">, </w:t>
      </w:r>
      <w:proofErr w:type="spellStart"/>
      <w:r w:rsidRPr="009A7233">
        <w:rPr>
          <w:rFonts w:cs="David"/>
          <w:rtl/>
        </w:rPr>
        <w:t>מא</w:t>
      </w:r>
      <w:proofErr w:type="spellEnd"/>
      <w:r w:rsidRPr="009A7233">
        <w:rPr>
          <w:rFonts w:cs="David"/>
          <w:rtl/>
        </w:rPr>
        <w:t>(2) 745</w:t>
      </w:r>
    </w:p>
  </w:endnote>
  <w:endnote w:id="3">
    <w:p w:rsidR="005F4E66" w:rsidRPr="009A7233" w:rsidRDefault="005F4E66" w:rsidP="00596813">
      <w:pPr>
        <w:pStyle w:val="a7"/>
        <w:rPr>
          <w:rFonts w:cs="David"/>
        </w:rPr>
      </w:pPr>
      <w:r w:rsidRPr="009A7233">
        <w:rPr>
          <w:rStyle w:val="a9"/>
          <w:rFonts w:cs="David"/>
        </w:rPr>
        <w:endnoteRef/>
      </w:r>
      <w:r w:rsidRPr="009A7233">
        <w:rPr>
          <w:rFonts w:cs="David"/>
          <w:rtl/>
        </w:rPr>
        <w:t xml:space="preserve"> </w:t>
      </w:r>
      <w:r w:rsidRPr="009A7233">
        <w:rPr>
          <w:rFonts w:cs="David" w:hint="cs"/>
          <w:rtl/>
        </w:rPr>
        <w:t>ס' 2 לפקודת העדה הדתית (המרה), 1929</w:t>
      </w:r>
    </w:p>
  </w:endnote>
  <w:endnote w:id="4">
    <w:p w:rsidR="00DF207D" w:rsidRPr="009A7233" w:rsidRDefault="00DF207D">
      <w:pPr>
        <w:pStyle w:val="a7"/>
        <w:rPr>
          <w:rFonts w:cs="David"/>
        </w:rPr>
      </w:pPr>
      <w:r w:rsidRPr="009A7233">
        <w:rPr>
          <w:rStyle w:val="a9"/>
          <w:rFonts w:cs="David"/>
        </w:rPr>
        <w:endnoteRef/>
      </w:r>
      <w:r w:rsidRPr="009A7233">
        <w:rPr>
          <w:rFonts w:cs="David"/>
          <w:rtl/>
        </w:rPr>
        <w:t xml:space="preserve"> בג"צ 148/84 </w:t>
      </w:r>
      <w:r w:rsidRPr="009A7233">
        <w:rPr>
          <w:rFonts w:cs="David"/>
          <w:b/>
          <w:bCs/>
          <w:rtl/>
        </w:rPr>
        <w:t>שמואל נ</w:t>
      </w:r>
      <w:r w:rsidRPr="009A7233">
        <w:rPr>
          <w:rFonts w:cs="David" w:hint="cs"/>
          <w:b/>
          <w:bCs/>
          <w:rtl/>
        </w:rPr>
        <w:t>'</w:t>
      </w:r>
      <w:r w:rsidRPr="009A7233">
        <w:rPr>
          <w:rFonts w:cs="David"/>
          <w:b/>
          <w:bCs/>
          <w:rtl/>
        </w:rPr>
        <w:t xml:space="preserve"> ביה"ד הרבני</w:t>
      </w:r>
      <w:r w:rsidRPr="009A7233">
        <w:rPr>
          <w:rFonts w:cs="David"/>
          <w:rtl/>
        </w:rPr>
        <w:t>, לט(4) 393</w:t>
      </w:r>
      <w:r w:rsidRPr="009A7233">
        <w:rPr>
          <w:rFonts w:cs="David" w:hint="cs"/>
          <w:rtl/>
        </w:rPr>
        <w:t>. פס' 5 לדבריו של השופט ברק</w:t>
      </w:r>
    </w:p>
  </w:endnote>
  <w:endnote w:id="5">
    <w:p w:rsidR="004227F4" w:rsidRPr="009A7233" w:rsidRDefault="004227F4" w:rsidP="004227F4">
      <w:pPr>
        <w:pStyle w:val="a7"/>
        <w:rPr>
          <w:rFonts w:cs="David"/>
          <w:rtl/>
        </w:rPr>
      </w:pPr>
      <w:r w:rsidRPr="009A7233">
        <w:rPr>
          <w:rStyle w:val="a9"/>
          <w:rFonts w:cs="David"/>
        </w:rPr>
        <w:endnoteRef/>
      </w:r>
      <w:r w:rsidRPr="009A7233">
        <w:rPr>
          <w:rFonts w:cs="David"/>
          <w:rtl/>
        </w:rPr>
        <w:t xml:space="preserve"> </w:t>
      </w:r>
      <w:r w:rsidRPr="009A7233">
        <w:rPr>
          <w:rFonts w:ascii="Arial" w:hAnsi="Arial" w:cs="David"/>
          <w:rtl/>
        </w:rPr>
        <w:t>בג"צ 113/84</w:t>
      </w:r>
      <w:r w:rsidRPr="009A7233">
        <w:rPr>
          <w:rFonts w:ascii="Arial" w:hAnsi="Arial" w:cs="David"/>
          <w:b/>
          <w:bCs/>
          <w:rtl/>
        </w:rPr>
        <w:t xml:space="preserve"> </w:t>
      </w:r>
      <w:proofErr w:type="spellStart"/>
      <w:r w:rsidRPr="009A7233">
        <w:rPr>
          <w:rFonts w:ascii="Arial" w:hAnsi="Arial" w:cs="David"/>
          <w:b/>
          <w:bCs/>
          <w:rtl/>
        </w:rPr>
        <w:t>בנקובסקי</w:t>
      </w:r>
      <w:proofErr w:type="spellEnd"/>
      <w:r w:rsidRPr="009A7233">
        <w:rPr>
          <w:rFonts w:ascii="Arial" w:hAnsi="Arial" w:cs="David"/>
          <w:b/>
          <w:bCs/>
          <w:rtl/>
        </w:rPr>
        <w:t xml:space="preserve"> נ' בית הדין הרבני האזורי חיפה</w:t>
      </w:r>
      <w:r w:rsidRPr="009A7233">
        <w:rPr>
          <w:rFonts w:ascii="Arial" w:hAnsi="Arial" w:cs="David"/>
          <w:rtl/>
        </w:rPr>
        <w:t>, פ"ד לט (3)</w:t>
      </w:r>
      <w:r w:rsidRPr="009A7233">
        <w:rPr>
          <w:rFonts w:ascii="Arial" w:hAnsi="Arial" w:cs="David" w:hint="cs"/>
          <w:rtl/>
        </w:rPr>
        <w:t>. פס' 19 לדבריו של השופט ברק</w:t>
      </w:r>
    </w:p>
  </w:endnote>
  <w:endnote w:id="6">
    <w:p w:rsidR="005F4E66" w:rsidRPr="009A7233" w:rsidRDefault="005F4E66" w:rsidP="00664916">
      <w:pPr>
        <w:pStyle w:val="a7"/>
        <w:rPr>
          <w:rFonts w:cs="David"/>
          <w:rtl/>
        </w:rPr>
      </w:pPr>
      <w:r w:rsidRPr="009A7233">
        <w:rPr>
          <w:rStyle w:val="a9"/>
          <w:rFonts w:cs="David"/>
        </w:rPr>
        <w:endnoteRef/>
      </w:r>
      <w:r w:rsidRPr="009A7233">
        <w:rPr>
          <w:rFonts w:cs="David"/>
          <w:rtl/>
        </w:rPr>
        <w:t xml:space="preserve"> </w:t>
      </w:r>
      <w:r w:rsidRPr="009A7233">
        <w:rPr>
          <w:rFonts w:cs="David" w:hint="cs"/>
          <w:rtl/>
        </w:rPr>
        <w:t xml:space="preserve">בג"צ 58/08 </w:t>
      </w:r>
      <w:r w:rsidRPr="009A7233">
        <w:rPr>
          <w:rFonts w:cs="David" w:hint="cs"/>
          <w:b/>
          <w:bCs/>
          <w:rtl/>
        </w:rPr>
        <w:t xml:space="preserve">פלונית נ' ביה"ד הרבני </w:t>
      </w:r>
      <w:proofErr w:type="spellStart"/>
      <w:r w:rsidRPr="009A7233">
        <w:rPr>
          <w:rFonts w:cs="David" w:hint="cs"/>
          <w:b/>
          <w:bCs/>
          <w:rtl/>
        </w:rPr>
        <w:t>האיזורי</w:t>
      </w:r>
      <w:proofErr w:type="spellEnd"/>
      <w:r w:rsidRPr="009A7233">
        <w:rPr>
          <w:rFonts w:cs="David" w:hint="cs"/>
          <w:b/>
          <w:bCs/>
          <w:rtl/>
        </w:rPr>
        <w:t xml:space="preserve"> בחיפה</w:t>
      </w:r>
      <w:r w:rsidRPr="009A7233">
        <w:rPr>
          <w:rFonts w:cs="David" w:hint="cs"/>
          <w:rtl/>
        </w:rPr>
        <w:t>, פסקה 22 (טרם פורסם, 2010).</w:t>
      </w:r>
    </w:p>
  </w:endnote>
  <w:endnote w:id="7">
    <w:p w:rsidR="005F4E66" w:rsidRPr="009A7233" w:rsidRDefault="005F4E66" w:rsidP="00E82C5B">
      <w:pPr>
        <w:pStyle w:val="a7"/>
        <w:rPr>
          <w:rFonts w:cs="David"/>
          <w:rtl/>
        </w:rPr>
      </w:pPr>
      <w:r w:rsidRPr="009A7233">
        <w:rPr>
          <w:rStyle w:val="a9"/>
          <w:rFonts w:cs="David"/>
        </w:rPr>
        <w:endnoteRef/>
      </w:r>
      <w:r w:rsidRPr="009A7233">
        <w:rPr>
          <w:rFonts w:cs="David"/>
          <w:rtl/>
        </w:rPr>
        <w:t xml:space="preserve"> </w:t>
      </w:r>
      <w:proofErr w:type="spellStart"/>
      <w:r w:rsidRPr="009A7233">
        <w:rPr>
          <w:rFonts w:cs="David"/>
          <w:rtl/>
        </w:rPr>
        <w:t>עמ"ש</w:t>
      </w:r>
      <w:proofErr w:type="spellEnd"/>
      <w:r w:rsidRPr="009A7233">
        <w:rPr>
          <w:rFonts w:cs="David"/>
          <w:rtl/>
        </w:rPr>
        <w:t xml:space="preserve"> 17/96 </w:t>
      </w:r>
      <w:r w:rsidRPr="009A7233">
        <w:rPr>
          <w:rFonts w:cs="David"/>
          <w:b/>
          <w:bCs/>
          <w:rtl/>
        </w:rPr>
        <w:t>תורג'מן נ</w:t>
      </w:r>
      <w:r w:rsidRPr="009A7233">
        <w:rPr>
          <w:rFonts w:cs="David" w:hint="cs"/>
          <w:b/>
          <w:bCs/>
          <w:rtl/>
        </w:rPr>
        <w:t>'</w:t>
      </w:r>
      <w:r w:rsidRPr="009A7233">
        <w:rPr>
          <w:rFonts w:cs="David"/>
          <w:b/>
          <w:bCs/>
          <w:rtl/>
        </w:rPr>
        <w:t xml:space="preserve"> תורג'מן</w:t>
      </w:r>
      <w:r w:rsidR="00E82C5B">
        <w:rPr>
          <w:rFonts w:cs="David" w:hint="cs"/>
          <w:rtl/>
        </w:rPr>
        <w:t>,</w:t>
      </w:r>
      <w:r w:rsidRPr="009A7233">
        <w:rPr>
          <w:rFonts w:cs="David" w:hint="cs"/>
          <w:rtl/>
        </w:rPr>
        <w:t xml:space="preserve"> פס' 22-28</w:t>
      </w:r>
      <w:r w:rsidR="00E82C5B">
        <w:rPr>
          <w:rFonts w:cs="David" w:hint="cs"/>
          <w:rtl/>
        </w:rPr>
        <w:t xml:space="preserve"> (לא פורסם).</w:t>
      </w:r>
    </w:p>
  </w:endnote>
  <w:endnote w:id="8">
    <w:p w:rsidR="005F4E66" w:rsidRPr="009A7233" w:rsidRDefault="005F4E66" w:rsidP="00C40BB1">
      <w:pPr>
        <w:pStyle w:val="a7"/>
        <w:rPr>
          <w:rFonts w:cs="David"/>
          <w:rtl/>
        </w:rPr>
      </w:pPr>
      <w:r w:rsidRPr="009A7233">
        <w:rPr>
          <w:rStyle w:val="a9"/>
          <w:rFonts w:cs="David"/>
        </w:rPr>
        <w:endnoteRef/>
      </w:r>
      <w:r w:rsidRPr="009A7233">
        <w:rPr>
          <w:rFonts w:cs="David"/>
          <w:rtl/>
        </w:rPr>
        <w:t xml:space="preserve"> </w:t>
      </w:r>
      <w:proofErr w:type="spellStart"/>
      <w:r w:rsidRPr="009A7233">
        <w:rPr>
          <w:rFonts w:cs="David" w:hint="cs"/>
          <w:rtl/>
        </w:rPr>
        <w:t>עמ"ש</w:t>
      </w:r>
      <w:proofErr w:type="spellEnd"/>
      <w:r w:rsidRPr="009A7233">
        <w:rPr>
          <w:rFonts w:cs="David" w:hint="cs"/>
          <w:rtl/>
        </w:rPr>
        <w:t xml:space="preserve"> 17/96 </w:t>
      </w:r>
      <w:r w:rsidRPr="009A7233">
        <w:rPr>
          <w:rFonts w:cs="David" w:hint="cs"/>
          <w:b/>
          <w:bCs/>
          <w:rtl/>
        </w:rPr>
        <w:t>תורג'מן נ' תורג'מן</w:t>
      </w:r>
      <w:r w:rsidRPr="009A7233">
        <w:rPr>
          <w:rFonts w:cs="David" w:hint="cs"/>
          <w:rtl/>
        </w:rPr>
        <w:t>, פסקה 22 (לא פורסם).</w:t>
      </w:r>
    </w:p>
  </w:endnote>
  <w:endnote w:id="9">
    <w:p w:rsidR="005F4E66" w:rsidRPr="009A7233" w:rsidRDefault="005F4E66" w:rsidP="00C40BB1">
      <w:pPr>
        <w:pStyle w:val="a7"/>
        <w:rPr>
          <w:rFonts w:cs="David"/>
          <w:rtl/>
        </w:rPr>
      </w:pPr>
      <w:r w:rsidRPr="009A7233">
        <w:rPr>
          <w:rStyle w:val="a9"/>
          <w:rFonts w:cs="David"/>
        </w:rPr>
        <w:endnoteRef/>
      </w:r>
      <w:r w:rsidRPr="009A7233">
        <w:rPr>
          <w:rFonts w:cs="David"/>
          <w:rtl/>
        </w:rPr>
        <w:t xml:space="preserve"> </w:t>
      </w:r>
      <w:proofErr w:type="spellStart"/>
      <w:r w:rsidRPr="009A7233">
        <w:rPr>
          <w:rFonts w:cs="David" w:hint="cs"/>
          <w:rtl/>
        </w:rPr>
        <w:t>עמ"ש</w:t>
      </w:r>
      <w:proofErr w:type="spellEnd"/>
      <w:r w:rsidRPr="009A7233">
        <w:rPr>
          <w:rFonts w:cs="David" w:hint="cs"/>
          <w:rtl/>
        </w:rPr>
        <w:t xml:space="preserve"> 17/96 </w:t>
      </w:r>
      <w:r w:rsidRPr="009A7233">
        <w:rPr>
          <w:rFonts w:cs="David" w:hint="cs"/>
          <w:b/>
          <w:bCs/>
          <w:rtl/>
        </w:rPr>
        <w:t>תורג'מן נ' תורג'מן</w:t>
      </w:r>
      <w:r w:rsidRPr="009A7233">
        <w:rPr>
          <w:rFonts w:cs="David" w:hint="cs"/>
          <w:rtl/>
        </w:rPr>
        <w:t>, פסקה 25 (לא פורסם).</w:t>
      </w:r>
    </w:p>
  </w:endnote>
  <w:endnote w:id="10">
    <w:p w:rsidR="002A70A7" w:rsidRPr="009A7233" w:rsidRDefault="002A70A7" w:rsidP="002A70A7">
      <w:pPr>
        <w:pStyle w:val="a7"/>
        <w:rPr>
          <w:rFonts w:cs="David"/>
          <w:rtl/>
        </w:rPr>
      </w:pPr>
      <w:r w:rsidRPr="009A7233">
        <w:rPr>
          <w:rStyle w:val="a9"/>
          <w:rFonts w:cs="David"/>
        </w:rPr>
        <w:endnoteRef/>
      </w:r>
      <w:r w:rsidRPr="009A7233">
        <w:rPr>
          <w:rFonts w:cs="David"/>
          <w:rtl/>
        </w:rPr>
        <w:t xml:space="preserve"> </w:t>
      </w:r>
      <w:r w:rsidRPr="009A7233">
        <w:rPr>
          <w:rFonts w:cs="David" w:hint="cs"/>
          <w:rtl/>
        </w:rPr>
        <w:t xml:space="preserve">בג"ץ 5918/07 </w:t>
      </w:r>
      <w:r w:rsidRPr="009A7233">
        <w:rPr>
          <w:rFonts w:cs="David" w:hint="cs"/>
          <w:b/>
          <w:bCs/>
          <w:rtl/>
        </w:rPr>
        <w:t>פלונית נ' ביה"ד הרבני הגדול</w:t>
      </w:r>
      <w:r w:rsidRPr="009A7233">
        <w:rPr>
          <w:rFonts w:cs="David" w:hint="cs"/>
          <w:rtl/>
        </w:rPr>
        <w:t>. דבריה של השופטת בייניש.</w:t>
      </w:r>
    </w:p>
  </w:endnote>
  <w:endnote w:id="11">
    <w:p w:rsidR="005F4E66" w:rsidRPr="009A7233" w:rsidRDefault="005F4E66">
      <w:pPr>
        <w:pStyle w:val="a7"/>
        <w:rPr>
          <w:rFonts w:cs="David"/>
          <w:rtl/>
        </w:rPr>
      </w:pPr>
      <w:r w:rsidRPr="009A7233">
        <w:rPr>
          <w:rStyle w:val="a9"/>
          <w:rFonts w:cs="David"/>
        </w:rPr>
        <w:endnoteRef/>
      </w:r>
      <w:r w:rsidRPr="009A7233">
        <w:rPr>
          <w:rFonts w:cs="David"/>
          <w:rtl/>
        </w:rPr>
        <w:t xml:space="preserve"> </w:t>
      </w:r>
      <w:r w:rsidRPr="009A7233">
        <w:rPr>
          <w:rFonts w:cs="David" w:hint="cs"/>
          <w:rtl/>
        </w:rPr>
        <w:t xml:space="preserve">בג"צ 6334/96 </w:t>
      </w:r>
      <w:r w:rsidRPr="009A7233">
        <w:rPr>
          <w:rFonts w:cs="David" w:hint="cs"/>
          <w:b/>
          <w:bCs/>
          <w:rtl/>
        </w:rPr>
        <w:t>אליהו נ' ביה"ד האזורי ת"א</w:t>
      </w:r>
      <w:r w:rsidRPr="009A7233">
        <w:rPr>
          <w:rFonts w:cs="David" w:hint="cs"/>
          <w:rtl/>
        </w:rPr>
        <w:t xml:space="preserve">, </w:t>
      </w:r>
      <w:proofErr w:type="spellStart"/>
      <w:r w:rsidRPr="009A7233">
        <w:rPr>
          <w:rFonts w:cs="David" w:hint="cs"/>
          <w:rtl/>
        </w:rPr>
        <w:t>נג</w:t>
      </w:r>
      <w:proofErr w:type="spellEnd"/>
      <w:r w:rsidRPr="009A7233">
        <w:rPr>
          <w:rFonts w:cs="David" w:hint="cs"/>
          <w:rtl/>
        </w:rPr>
        <w:t>(2) 153, 163 (1999</w:t>
      </w:r>
      <w:r w:rsidR="006260B3">
        <w:rPr>
          <w:rFonts w:cs="David" w:hint="cs"/>
          <w:rtl/>
        </w:rPr>
        <w:t>)</w:t>
      </w:r>
      <w:r w:rsidR="006C6B3B">
        <w:rPr>
          <w:rFonts w:cs="David" w:hint="cs"/>
          <w:rtl/>
        </w:rPr>
        <w:t>.</w:t>
      </w:r>
    </w:p>
  </w:endnote>
  <w:endnote w:id="12">
    <w:p w:rsidR="005F4E66" w:rsidRPr="009A7233" w:rsidRDefault="005F4E66" w:rsidP="00C2100C">
      <w:pPr>
        <w:pStyle w:val="a7"/>
        <w:rPr>
          <w:rFonts w:cs="David"/>
        </w:rPr>
      </w:pPr>
      <w:r w:rsidRPr="009A7233">
        <w:rPr>
          <w:rStyle w:val="a9"/>
          <w:rFonts w:cs="David"/>
        </w:rPr>
        <w:endnoteRef/>
      </w:r>
      <w:r w:rsidRPr="009A7233">
        <w:rPr>
          <w:rFonts w:cs="David"/>
          <w:rtl/>
        </w:rPr>
        <w:t xml:space="preserve"> </w:t>
      </w:r>
      <w:proofErr w:type="spellStart"/>
      <w:r w:rsidRPr="009A7233">
        <w:rPr>
          <w:rFonts w:cs="David" w:hint="cs"/>
          <w:rtl/>
        </w:rPr>
        <w:t>עמ"ש</w:t>
      </w:r>
      <w:proofErr w:type="spellEnd"/>
      <w:r w:rsidRPr="009A7233">
        <w:rPr>
          <w:rFonts w:cs="David" w:hint="cs"/>
          <w:rtl/>
        </w:rPr>
        <w:t xml:space="preserve"> 17/96 </w:t>
      </w:r>
      <w:r w:rsidRPr="009A7233">
        <w:rPr>
          <w:rFonts w:cs="David" w:hint="cs"/>
          <w:b/>
          <w:bCs/>
          <w:rtl/>
        </w:rPr>
        <w:t>תורג'מן נ' תורג'מן</w:t>
      </w:r>
      <w:r w:rsidRPr="009A7233">
        <w:rPr>
          <w:rFonts w:cs="David" w:hint="cs"/>
          <w:rtl/>
        </w:rPr>
        <w:t>, פסקה 36 (לא פורסם).</w:t>
      </w:r>
    </w:p>
  </w:endnote>
  <w:endnote w:id="13">
    <w:p w:rsidR="005F4E66" w:rsidRPr="009A7233" w:rsidRDefault="005F4E66" w:rsidP="001F11DF">
      <w:pPr>
        <w:pStyle w:val="a7"/>
        <w:rPr>
          <w:rFonts w:cs="David"/>
        </w:rPr>
      </w:pPr>
      <w:r w:rsidRPr="009A7233">
        <w:rPr>
          <w:rStyle w:val="a9"/>
          <w:rFonts w:cs="David"/>
        </w:rPr>
        <w:endnoteRef/>
      </w:r>
      <w:r w:rsidRPr="009A7233">
        <w:rPr>
          <w:rFonts w:cs="David"/>
          <w:rtl/>
        </w:rPr>
        <w:t xml:space="preserve"> </w:t>
      </w:r>
      <w:proofErr w:type="spellStart"/>
      <w:r w:rsidRPr="009A7233">
        <w:rPr>
          <w:rFonts w:cs="David" w:hint="cs"/>
          <w:rtl/>
        </w:rPr>
        <w:t>עמ"ש</w:t>
      </w:r>
      <w:proofErr w:type="spellEnd"/>
      <w:r w:rsidRPr="009A7233">
        <w:rPr>
          <w:rFonts w:cs="David" w:hint="cs"/>
          <w:rtl/>
        </w:rPr>
        <w:t xml:space="preserve"> 17/96 </w:t>
      </w:r>
      <w:r w:rsidRPr="009A7233">
        <w:rPr>
          <w:rFonts w:cs="David" w:hint="cs"/>
          <w:b/>
          <w:bCs/>
          <w:rtl/>
        </w:rPr>
        <w:t>תורג'מן נ' תורג'מן</w:t>
      </w:r>
      <w:r w:rsidRPr="009A7233">
        <w:rPr>
          <w:rFonts w:cs="David" w:hint="cs"/>
          <w:rtl/>
        </w:rPr>
        <w:t>, פסקאות 32-34 (לא פורסם).</w:t>
      </w:r>
    </w:p>
  </w:endnote>
  <w:endnote w:id="14">
    <w:p w:rsidR="005F4E66" w:rsidRPr="009A7233" w:rsidRDefault="005F4E66">
      <w:pPr>
        <w:pStyle w:val="a7"/>
        <w:rPr>
          <w:rFonts w:cs="David"/>
        </w:rPr>
      </w:pPr>
      <w:r w:rsidRPr="009A7233">
        <w:rPr>
          <w:rStyle w:val="a9"/>
          <w:rFonts w:cs="David"/>
        </w:rPr>
        <w:endnoteRef/>
      </w:r>
      <w:r w:rsidRPr="009A7233">
        <w:rPr>
          <w:rFonts w:cs="David"/>
          <w:rtl/>
        </w:rPr>
        <w:t xml:space="preserve"> </w:t>
      </w:r>
      <w:proofErr w:type="spellStart"/>
      <w:r w:rsidRPr="009A7233">
        <w:rPr>
          <w:rFonts w:ascii="Arial" w:hAnsi="Arial" w:cs="David"/>
          <w:rtl/>
        </w:rPr>
        <w:t>בר"ע</w:t>
      </w:r>
      <w:proofErr w:type="spellEnd"/>
      <w:r w:rsidRPr="009A7233">
        <w:rPr>
          <w:rFonts w:ascii="Arial" w:hAnsi="Arial" w:cs="David"/>
          <w:rtl/>
        </w:rPr>
        <w:t xml:space="preserve"> 110/69 </w:t>
      </w:r>
      <w:r w:rsidRPr="009A7233">
        <w:rPr>
          <w:rFonts w:ascii="Arial" w:hAnsi="Arial" w:cs="David"/>
          <w:b/>
          <w:bCs/>
          <w:rtl/>
        </w:rPr>
        <w:t>שרגאי נ' שרגאי</w:t>
      </w:r>
      <w:r w:rsidRPr="009A7233">
        <w:rPr>
          <w:rFonts w:ascii="Arial" w:hAnsi="Arial" w:cs="David"/>
          <w:rtl/>
        </w:rPr>
        <w:t xml:space="preserve">, פ"ד </w:t>
      </w:r>
      <w:proofErr w:type="spellStart"/>
      <w:r w:rsidRPr="009A7233">
        <w:rPr>
          <w:rFonts w:ascii="Arial" w:hAnsi="Arial" w:cs="David"/>
          <w:rtl/>
        </w:rPr>
        <w:t>כג</w:t>
      </w:r>
      <w:proofErr w:type="spellEnd"/>
      <w:r w:rsidRPr="009A7233">
        <w:rPr>
          <w:rFonts w:ascii="Arial" w:hAnsi="Arial" w:cs="David"/>
          <w:rtl/>
        </w:rPr>
        <w:t xml:space="preserve"> (2) 171</w:t>
      </w:r>
      <w:r w:rsidRPr="009A7233">
        <w:rPr>
          <w:rFonts w:cs="David" w:hint="cs"/>
          <w:rtl/>
        </w:rPr>
        <w:t>. פס' 6-9 לדבריו של השופט זוסמן</w:t>
      </w:r>
    </w:p>
  </w:endnote>
  <w:endnote w:id="15">
    <w:p w:rsidR="005F4E66" w:rsidRPr="009A7233" w:rsidRDefault="005F4E66">
      <w:pPr>
        <w:pStyle w:val="a7"/>
        <w:rPr>
          <w:rFonts w:cs="David"/>
          <w:rtl/>
        </w:rPr>
      </w:pPr>
      <w:r w:rsidRPr="009A7233">
        <w:rPr>
          <w:rStyle w:val="a9"/>
          <w:rFonts w:cs="David"/>
        </w:rPr>
        <w:endnoteRef/>
      </w:r>
      <w:r w:rsidRPr="009A7233">
        <w:rPr>
          <w:rFonts w:cs="David"/>
          <w:rtl/>
        </w:rPr>
        <w:t xml:space="preserve"> </w:t>
      </w:r>
      <w:r w:rsidRPr="009A7233">
        <w:rPr>
          <w:rFonts w:cs="David" w:hint="cs"/>
          <w:rtl/>
        </w:rPr>
        <w:t xml:space="preserve">בג"צ 58/08 </w:t>
      </w:r>
      <w:r w:rsidRPr="009A7233">
        <w:rPr>
          <w:rFonts w:cs="David" w:hint="cs"/>
          <w:b/>
          <w:bCs/>
          <w:rtl/>
        </w:rPr>
        <w:t xml:space="preserve">פלונית נ' ביה"ד הרבני </w:t>
      </w:r>
      <w:proofErr w:type="spellStart"/>
      <w:r w:rsidRPr="009A7233">
        <w:rPr>
          <w:rFonts w:cs="David" w:hint="cs"/>
          <w:b/>
          <w:bCs/>
          <w:rtl/>
        </w:rPr>
        <w:t>האיזורי</w:t>
      </w:r>
      <w:proofErr w:type="spellEnd"/>
      <w:r w:rsidRPr="009A7233">
        <w:rPr>
          <w:rFonts w:cs="David" w:hint="cs"/>
          <w:b/>
          <w:bCs/>
          <w:rtl/>
        </w:rPr>
        <w:t xml:space="preserve"> בחיפה</w:t>
      </w:r>
      <w:r w:rsidRPr="009A7233">
        <w:rPr>
          <w:rFonts w:cs="David" w:hint="cs"/>
          <w:rtl/>
        </w:rPr>
        <w:t>, פסקה 13 (טרם פורסם, 2010).</w:t>
      </w:r>
    </w:p>
  </w:endnote>
  <w:endnote w:id="16">
    <w:p w:rsidR="005F4E66" w:rsidRPr="009A7233" w:rsidRDefault="005F4E66" w:rsidP="00436C98">
      <w:pPr>
        <w:pStyle w:val="a7"/>
        <w:rPr>
          <w:rFonts w:cs="David"/>
          <w:rtl/>
        </w:rPr>
      </w:pPr>
      <w:r w:rsidRPr="009A7233">
        <w:rPr>
          <w:rStyle w:val="a9"/>
          <w:rFonts w:cs="David"/>
        </w:rPr>
        <w:endnoteRef/>
      </w:r>
      <w:r w:rsidRPr="009A7233">
        <w:rPr>
          <w:rFonts w:cs="David"/>
          <w:rtl/>
        </w:rPr>
        <w:t xml:space="preserve"> </w:t>
      </w:r>
      <w:r w:rsidRPr="009A7233">
        <w:rPr>
          <w:rFonts w:cs="David" w:hint="cs"/>
          <w:rtl/>
        </w:rPr>
        <w:t xml:space="preserve">בג"צ 58/08 </w:t>
      </w:r>
      <w:r w:rsidRPr="009A7233">
        <w:rPr>
          <w:rFonts w:cs="David" w:hint="cs"/>
          <w:b/>
          <w:bCs/>
          <w:rtl/>
        </w:rPr>
        <w:t xml:space="preserve">פלונית נ' ביה"ד הרבני </w:t>
      </w:r>
      <w:proofErr w:type="spellStart"/>
      <w:r w:rsidRPr="009A7233">
        <w:rPr>
          <w:rFonts w:cs="David" w:hint="cs"/>
          <w:b/>
          <w:bCs/>
          <w:rtl/>
        </w:rPr>
        <w:t>האיזורי</w:t>
      </w:r>
      <w:proofErr w:type="spellEnd"/>
      <w:r w:rsidRPr="009A7233">
        <w:rPr>
          <w:rFonts w:cs="David" w:hint="cs"/>
          <w:b/>
          <w:bCs/>
          <w:rtl/>
        </w:rPr>
        <w:t xml:space="preserve"> בחיפה</w:t>
      </w:r>
      <w:r w:rsidRPr="009A7233">
        <w:rPr>
          <w:rFonts w:cs="David" w:hint="cs"/>
          <w:rtl/>
        </w:rPr>
        <w:t>, פסקה 22 (טרם פורסם, 2010).</w:t>
      </w:r>
    </w:p>
  </w:endnote>
  <w:endnote w:id="17">
    <w:p w:rsidR="005F4E66" w:rsidRPr="009A7233" w:rsidRDefault="005F4E66" w:rsidP="001C4583">
      <w:pPr>
        <w:pStyle w:val="a7"/>
        <w:rPr>
          <w:rFonts w:cs="David"/>
          <w:rtl/>
        </w:rPr>
      </w:pPr>
      <w:r w:rsidRPr="009A7233">
        <w:rPr>
          <w:rStyle w:val="a9"/>
          <w:rFonts w:cs="David"/>
        </w:rPr>
        <w:endnoteRef/>
      </w:r>
      <w:r w:rsidRPr="009A7233">
        <w:rPr>
          <w:rFonts w:cs="David"/>
          <w:rtl/>
        </w:rPr>
        <w:t xml:space="preserve"> ע"א 2626/90 </w:t>
      </w:r>
      <w:r w:rsidRPr="009A7233">
        <w:rPr>
          <w:rFonts w:cs="David"/>
          <w:b/>
          <w:bCs/>
          <w:rtl/>
        </w:rPr>
        <w:t>ראש חודש נ</w:t>
      </w:r>
      <w:r w:rsidRPr="009A7233">
        <w:rPr>
          <w:rFonts w:cs="David" w:hint="cs"/>
          <w:b/>
          <w:bCs/>
          <w:rtl/>
        </w:rPr>
        <w:t xml:space="preserve">' </w:t>
      </w:r>
      <w:r w:rsidRPr="009A7233">
        <w:rPr>
          <w:rFonts w:cs="David"/>
          <w:b/>
          <w:bCs/>
          <w:rtl/>
        </w:rPr>
        <w:t>ראש חודש</w:t>
      </w:r>
      <w:r w:rsidRPr="009A7233">
        <w:rPr>
          <w:rFonts w:cs="David" w:hint="cs"/>
          <w:rtl/>
        </w:rPr>
        <w:t>. פס' 6 לדבריו של השופט גולדברג</w:t>
      </w:r>
    </w:p>
  </w:endnote>
  <w:endnote w:id="18">
    <w:p w:rsidR="005F4E66" w:rsidRPr="009A7233" w:rsidRDefault="005F4E66" w:rsidP="00E255B1">
      <w:pPr>
        <w:pStyle w:val="a7"/>
        <w:rPr>
          <w:rFonts w:cs="David"/>
        </w:rPr>
      </w:pPr>
      <w:r w:rsidRPr="009A7233">
        <w:rPr>
          <w:rStyle w:val="a9"/>
          <w:rFonts w:cs="David"/>
        </w:rPr>
        <w:endnoteRef/>
      </w:r>
      <w:r w:rsidRPr="009A7233">
        <w:rPr>
          <w:rFonts w:cs="David"/>
          <w:rtl/>
        </w:rPr>
        <w:t xml:space="preserve"> </w:t>
      </w:r>
      <w:r w:rsidRPr="009A7233">
        <w:rPr>
          <w:rFonts w:cs="David" w:hint="cs"/>
          <w:rtl/>
        </w:rPr>
        <w:t xml:space="preserve">בג"צ 8497/00 </w:t>
      </w:r>
      <w:proofErr w:type="spellStart"/>
      <w:r w:rsidRPr="009A7233">
        <w:rPr>
          <w:rFonts w:cs="David" w:hint="cs"/>
          <w:b/>
          <w:bCs/>
          <w:rtl/>
        </w:rPr>
        <w:t>פייג-פלמן</w:t>
      </w:r>
      <w:proofErr w:type="spellEnd"/>
      <w:r w:rsidRPr="009A7233">
        <w:rPr>
          <w:rFonts w:cs="David" w:hint="cs"/>
          <w:b/>
          <w:bCs/>
          <w:rtl/>
        </w:rPr>
        <w:t xml:space="preserve"> נ' </w:t>
      </w:r>
      <w:proofErr w:type="spellStart"/>
      <w:r w:rsidRPr="009A7233">
        <w:rPr>
          <w:rFonts w:cs="David" w:hint="cs"/>
          <w:b/>
          <w:bCs/>
          <w:rtl/>
        </w:rPr>
        <w:t>פלמן</w:t>
      </w:r>
      <w:proofErr w:type="spellEnd"/>
      <w:r w:rsidRPr="009A7233">
        <w:rPr>
          <w:rFonts w:cs="David" w:hint="cs"/>
          <w:rtl/>
        </w:rPr>
        <w:t xml:space="preserve">, </w:t>
      </w:r>
      <w:proofErr w:type="spellStart"/>
      <w:r w:rsidRPr="009A7233">
        <w:rPr>
          <w:rFonts w:cs="David" w:hint="cs"/>
          <w:rtl/>
        </w:rPr>
        <w:t>נז</w:t>
      </w:r>
      <w:proofErr w:type="spellEnd"/>
      <w:r w:rsidRPr="009A7233">
        <w:rPr>
          <w:rFonts w:cs="David" w:hint="cs"/>
          <w:rtl/>
        </w:rPr>
        <w:t>(2) 118. פס' 16 לדבריה של השופטת בייניש</w:t>
      </w:r>
    </w:p>
  </w:endnote>
  <w:endnote w:id="19">
    <w:p w:rsidR="005F4E66" w:rsidRPr="009A7233" w:rsidRDefault="005F4E66">
      <w:pPr>
        <w:pStyle w:val="a7"/>
        <w:rPr>
          <w:rFonts w:cs="David"/>
          <w:rtl/>
        </w:rPr>
      </w:pPr>
      <w:r w:rsidRPr="009A7233">
        <w:rPr>
          <w:rStyle w:val="a9"/>
          <w:rFonts w:cs="David"/>
        </w:rPr>
        <w:endnoteRef/>
      </w:r>
      <w:r w:rsidRPr="009A7233">
        <w:rPr>
          <w:rFonts w:cs="David"/>
          <w:rtl/>
        </w:rPr>
        <w:t xml:space="preserve"> </w:t>
      </w:r>
      <w:r w:rsidRPr="009A7233">
        <w:rPr>
          <w:rFonts w:cs="David" w:hint="cs"/>
          <w:rtl/>
        </w:rPr>
        <w:t xml:space="preserve">בג"צ 8497/00 </w:t>
      </w:r>
      <w:proofErr w:type="spellStart"/>
      <w:r w:rsidRPr="009A7233">
        <w:rPr>
          <w:rFonts w:cs="David" w:hint="cs"/>
          <w:b/>
          <w:bCs/>
          <w:rtl/>
        </w:rPr>
        <w:t>פייג-פלמן</w:t>
      </w:r>
      <w:proofErr w:type="spellEnd"/>
      <w:r w:rsidRPr="009A7233">
        <w:rPr>
          <w:rFonts w:cs="David" w:hint="cs"/>
          <w:b/>
          <w:bCs/>
          <w:rtl/>
        </w:rPr>
        <w:t xml:space="preserve"> נ' </w:t>
      </w:r>
      <w:proofErr w:type="spellStart"/>
      <w:r w:rsidRPr="009A7233">
        <w:rPr>
          <w:rFonts w:cs="David" w:hint="cs"/>
          <w:b/>
          <w:bCs/>
          <w:rtl/>
        </w:rPr>
        <w:t>פלמן</w:t>
      </w:r>
      <w:proofErr w:type="spellEnd"/>
      <w:r w:rsidRPr="009A7233">
        <w:rPr>
          <w:rFonts w:cs="David" w:hint="cs"/>
          <w:rtl/>
        </w:rPr>
        <w:t xml:space="preserve">, </w:t>
      </w:r>
      <w:proofErr w:type="spellStart"/>
      <w:r w:rsidRPr="009A7233">
        <w:rPr>
          <w:rFonts w:cs="David" w:hint="cs"/>
          <w:rtl/>
        </w:rPr>
        <w:t>נז</w:t>
      </w:r>
      <w:proofErr w:type="spellEnd"/>
      <w:r w:rsidRPr="009A7233">
        <w:rPr>
          <w:rFonts w:cs="David" w:hint="cs"/>
          <w:rtl/>
        </w:rPr>
        <w:t>(2) 118</w:t>
      </w:r>
    </w:p>
  </w:endnote>
  <w:endnote w:id="20">
    <w:p w:rsidR="005F4E66" w:rsidRPr="009A7233" w:rsidRDefault="005F4E66">
      <w:pPr>
        <w:pStyle w:val="a7"/>
        <w:rPr>
          <w:rFonts w:cs="David"/>
        </w:rPr>
      </w:pPr>
      <w:r w:rsidRPr="009A7233">
        <w:rPr>
          <w:rStyle w:val="a9"/>
          <w:rFonts w:cs="David"/>
        </w:rPr>
        <w:endnoteRef/>
      </w:r>
      <w:r w:rsidRPr="009A7233">
        <w:rPr>
          <w:rFonts w:cs="David"/>
          <w:rtl/>
        </w:rPr>
        <w:t xml:space="preserve"> בג"צ 6103/93 </w:t>
      </w:r>
      <w:r w:rsidRPr="009A7233">
        <w:rPr>
          <w:rFonts w:cs="David"/>
          <w:b/>
          <w:bCs/>
          <w:rtl/>
        </w:rPr>
        <w:t>סימה לוי נ</w:t>
      </w:r>
      <w:r w:rsidRPr="009A7233">
        <w:rPr>
          <w:rFonts w:cs="David" w:hint="cs"/>
          <w:b/>
          <w:bCs/>
          <w:rtl/>
        </w:rPr>
        <w:t>'</w:t>
      </w:r>
      <w:r w:rsidRPr="009A7233">
        <w:rPr>
          <w:rFonts w:cs="David"/>
          <w:b/>
          <w:bCs/>
          <w:rtl/>
        </w:rPr>
        <w:t xml:space="preserve"> ביה"ד הרבני</w:t>
      </w:r>
      <w:r w:rsidRPr="009A7233">
        <w:rPr>
          <w:rFonts w:cs="David"/>
          <w:rtl/>
        </w:rPr>
        <w:t>, מח(4) 591</w:t>
      </w:r>
    </w:p>
  </w:endnote>
  <w:endnote w:id="21">
    <w:p w:rsidR="005F4E66" w:rsidRPr="009A7233" w:rsidRDefault="005F4E66">
      <w:pPr>
        <w:pStyle w:val="a7"/>
        <w:rPr>
          <w:rFonts w:cs="David"/>
          <w:rtl/>
        </w:rPr>
      </w:pPr>
      <w:r w:rsidRPr="009A7233">
        <w:rPr>
          <w:rStyle w:val="a9"/>
          <w:rFonts w:cs="David"/>
        </w:rPr>
        <w:endnoteRef/>
      </w:r>
      <w:r w:rsidRPr="009A7233">
        <w:rPr>
          <w:rFonts w:cs="David"/>
          <w:rtl/>
        </w:rPr>
        <w:t xml:space="preserve"> בג"צ 6103/93 </w:t>
      </w:r>
      <w:r w:rsidRPr="009A7233">
        <w:rPr>
          <w:rFonts w:cs="David"/>
          <w:b/>
          <w:bCs/>
          <w:rtl/>
        </w:rPr>
        <w:t>סימה לוי נ</w:t>
      </w:r>
      <w:r w:rsidRPr="009A7233">
        <w:rPr>
          <w:rFonts w:cs="David" w:hint="cs"/>
          <w:b/>
          <w:bCs/>
          <w:rtl/>
        </w:rPr>
        <w:t>'</w:t>
      </w:r>
      <w:r w:rsidRPr="009A7233">
        <w:rPr>
          <w:rFonts w:cs="David"/>
          <w:b/>
          <w:bCs/>
          <w:rtl/>
        </w:rPr>
        <w:t xml:space="preserve"> ביה"ד הרבני</w:t>
      </w:r>
      <w:r w:rsidRPr="009A7233">
        <w:rPr>
          <w:rFonts w:cs="David"/>
          <w:rtl/>
        </w:rPr>
        <w:t>, מח(4) 591</w:t>
      </w:r>
    </w:p>
  </w:endnote>
  <w:endnote w:id="22">
    <w:p w:rsidR="005F4E66" w:rsidRPr="009A7233" w:rsidRDefault="005F4E66" w:rsidP="00CA1336">
      <w:pPr>
        <w:pStyle w:val="a7"/>
        <w:rPr>
          <w:rFonts w:cs="David"/>
        </w:rPr>
      </w:pPr>
      <w:r w:rsidRPr="009A7233">
        <w:rPr>
          <w:rStyle w:val="a9"/>
          <w:rFonts w:cs="David"/>
        </w:rPr>
        <w:endnoteRef/>
      </w:r>
      <w:r w:rsidRPr="009A7233">
        <w:rPr>
          <w:rFonts w:cs="David"/>
          <w:rtl/>
        </w:rPr>
        <w:t xml:space="preserve"> בג"צ 5507/95 </w:t>
      </w:r>
      <w:r w:rsidRPr="009A7233">
        <w:rPr>
          <w:rFonts w:cs="David"/>
          <w:b/>
          <w:bCs/>
          <w:rtl/>
        </w:rPr>
        <w:t xml:space="preserve">אמיר </w:t>
      </w:r>
      <w:r w:rsidRPr="009A7233">
        <w:rPr>
          <w:rFonts w:cs="David" w:hint="cs"/>
          <w:b/>
          <w:bCs/>
          <w:rtl/>
        </w:rPr>
        <w:t>נ'</w:t>
      </w:r>
      <w:r w:rsidRPr="009A7233">
        <w:rPr>
          <w:rFonts w:cs="David"/>
          <w:b/>
          <w:bCs/>
          <w:rtl/>
        </w:rPr>
        <w:t xml:space="preserve"> ביה"ד הרבני</w:t>
      </w:r>
      <w:r w:rsidRPr="009A7233">
        <w:rPr>
          <w:rFonts w:cs="David"/>
          <w:rtl/>
        </w:rPr>
        <w:t>, נ(3</w:t>
      </w:r>
      <w:r w:rsidRPr="009A7233">
        <w:rPr>
          <w:rFonts w:cs="David" w:hint="cs"/>
          <w:rtl/>
        </w:rPr>
        <w:t>). פס' 12-18 לדבריו של השופט חשין</w:t>
      </w:r>
    </w:p>
  </w:endnote>
  <w:endnote w:id="23">
    <w:p w:rsidR="005F4E66" w:rsidRPr="009A7233" w:rsidRDefault="005F4E66">
      <w:pPr>
        <w:pStyle w:val="a7"/>
        <w:rPr>
          <w:rFonts w:cs="David"/>
        </w:rPr>
      </w:pPr>
      <w:r w:rsidRPr="009A7233">
        <w:rPr>
          <w:rStyle w:val="a9"/>
          <w:rFonts w:cs="David"/>
        </w:rPr>
        <w:endnoteRef/>
      </w:r>
      <w:r w:rsidRPr="009A7233">
        <w:rPr>
          <w:rFonts w:cs="David"/>
          <w:rtl/>
        </w:rPr>
        <w:t xml:space="preserve"> ע"א 5385/95 </w:t>
      </w:r>
      <w:proofErr w:type="spellStart"/>
      <w:r w:rsidRPr="009A7233">
        <w:rPr>
          <w:rFonts w:cs="David"/>
          <w:b/>
          <w:bCs/>
          <w:rtl/>
        </w:rPr>
        <w:t>ורבר</w:t>
      </w:r>
      <w:proofErr w:type="spellEnd"/>
      <w:r w:rsidRPr="009A7233">
        <w:rPr>
          <w:rFonts w:cs="David"/>
          <w:b/>
          <w:bCs/>
          <w:rtl/>
        </w:rPr>
        <w:t xml:space="preserve"> נ</w:t>
      </w:r>
      <w:r w:rsidRPr="009A7233">
        <w:rPr>
          <w:rFonts w:cs="David" w:hint="cs"/>
          <w:b/>
          <w:bCs/>
          <w:rtl/>
        </w:rPr>
        <w:t>'</w:t>
      </w:r>
      <w:r w:rsidRPr="009A7233">
        <w:rPr>
          <w:rFonts w:cs="David"/>
          <w:b/>
          <w:bCs/>
          <w:rtl/>
        </w:rPr>
        <w:t xml:space="preserve"> </w:t>
      </w:r>
      <w:proofErr w:type="spellStart"/>
      <w:r w:rsidRPr="009A7233">
        <w:rPr>
          <w:rFonts w:cs="David"/>
          <w:b/>
          <w:bCs/>
          <w:rtl/>
        </w:rPr>
        <w:t>ורבר</w:t>
      </w:r>
      <w:proofErr w:type="spellEnd"/>
      <w:r w:rsidRPr="009A7233">
        <w:rPr>
          <w:rFonts w:cs="David"/>
          <w:rtl/>
        </w:rPr>
        <w:t xml:space="preserve">, </w:t>
      </w:r>
      <w:r w:rsidRPr="009A7233">
        <w:rPr>
          <w:rFonts w:cs="David" w:hint="cs"/>
          <w:rtl/>
        </w:rPr>
        <w:t>נב (5) 817</w:t>
      </w:r>
    </w:p>
  </w:endnote>
  <w:endnote w:id="24">
    <w:p w:rsidR="005F4E66" w:rsidRPr="009A7233" w:rsidRDefault="005F4E66" w:rsidP="00B84503">
      <w:pPr>
        <w:pStyle w:val="a7"/>
        <w:rPr>
          <w:rFonts w:cs="David"/>
          <w:rtl/>
        </w:rPr>
      </w:pPr>
      <w:r w:rsidRPr="009A7233">
        <w:rPr>
          <w:rStyle w:val="a9"/>
          <w:rFonts w:cs="David"/>
        </w:rPr>
        <w:endnoteRef/>
      </w:r>
      <w:r w:rsidRPr="009A7233">
        <w:rPr>
          <w:rFonts w:cs="David"/>
          <w:rtl/>
        </w:rPr>
        <w:t xml:space="preserve"> בג"צ 6103/93 </w:t>
      </w:r>
      <w:r w:rsidRPr="009A7233">
        <w:rPr>
          <w:rFonts w:cs="David"/>
          <w:b/>
          <w:bCs/>
          <w:rtl/>
        </w:rPr>
        <w:t>סימה לוי נ</w:t>
      </w:r>
      <w:r w:rsidRPr="009A7233">
        <w:rPr>
          <w:rFonts w:cs="David" w:hint="cs"/>
          <w:b/>
          <w:bCs/>
          <w:rtl/>
        </w:rPr>
        <w:t>'</w:t>
      </w:r>
      <w:r w:rsidRPr="009A7233">
        <w:rPr>
          <w:rFonts w:cs="David"/>
          <w:b/>
          <w:bCs/>
          <w:rtl/>
        </w:rPr>
        <w:t xml:space="preserve"> ביה"ד הרבני</w:t>
      </w:r>
      <w:r w:rsidRPr="009A7233">
        <w:rPr>
          <w:rFonts w:cs="David"/>
          <w:rtl/>
        </w:rPr>
        <w:t>, מח(4) 591</w:t>
      </w:r>
      <w:r w:rsidRPr="009A7233">
        <w:rPr>
          <w:rFonts w:cs="David" w:hint="cs"/>
          <w:rtl/>
        </w:rPr>
        <w:t>. פסקאו</w:t>
      </w:r>
      <w:r w:rsidR="006260B3">
        <w:rPr>
          <w:rFonts w:cs="David" w:hint="cs"/>
          <w:rtl/>
        </w:rPr>
        <w:t>ת 32-37 לפסק דינו של השופט חשין</w:t>
      </w:r>
    </w:p>
  </w:endnote>
  <w:endnote w:id="25">
    <w:p w:rsidR="005F4E66" w:rsidRPr="009A7233" w:rsidRDefault="005F4E66">
      <w:pPr>
        <w:pStyle w:val="a7"/>
        <w:rPr>
          <w:rFonts w:cs="David"/>
        </w:rPr>
      </w:pPr>
      <w:r w:rsidRPr="009A7233">
        <w:rPr>
          <w:rStyle w:val="a9"/>
          <w:rFonts w:cs="David"/>
        </w:rPr>
        <w:endnoteRef/>
      </w:r>
      <w:r w:rsidRPr="009A7233">
        <w:rPr>
          <w:rFonts w:cs="David"/>
          <w:rtl/>
        </w:rPr>
        <w:t xml:space="preserve"> </w:t>
      </w:r>
      <w:r w:rsidRPr="009A7233">
        <w:rPr>
          <w:rFonts w:cs="David" w:hint="cs"/>
          <w:rtl/>
        </w:rPr>
        <w:t xml:space="preserve">בג"צ 4111/07 </w:t>
      </w:r>
      <w:r w:rsidRPr="009A7233">
        <w:rPr>
          <w:rFonts w:cs="David" w:hint="cs"/>
          <w:b/>
          <w:bCs/>
          <w:rtl/>
        </w:rPr>
        <w:t>פלונית נ' פלוני</w:t>
      </w:r>
      <w:r w:rsidRPr="009A7233">
        <w:rPr>
          <w:rFonts w:cs="David" w:hint="cs"/>
          <w:rtl/>
        </w:rPr>
        <w:t>, פסקה 12 לפסק דינו של השופט לוי (27.07.2008)</w:t>
      </w:r>
    </w:p>
  </w:endnote>
  <w:endnote w:id="26">
    <w:p w:rsidR="005F4E66" w:rsidRPr="009A7233" w:rsidRDefault="005F4E66">
      <w:pPr>
        <w:pStyle w:val="a7"/>
        <w:rPr>
          <w:rFonts w:cs="David"/>
        </w:rPr>
      </w:pPr>
      <w:r w:rsidRPr="009A7233">
        <w:rPr>
          <w:rStyle w:val="a9"/>
          <w:rFonts w:cs="David"/>
        </w:rPr>
        <w:endnoteRef/>
      </w:r>
      <w:r w:rsidRPr="009A7233">
        <w:rPr>
          <w:rFonts w:cs="David"/>
          <w:rtl/>
        </w:rPr>
        <w:t xml:space="preserve"> </w:t>
      </w:r>
      <w:r w:rsidRPr="009A7233">
        <w:rPr>
          <w:rFonts w:cs="David" w:hint="cs"/>
          <w:rtl/>
        </w:rPr>
        <w:t xml:space="preserve">ע"א 5285/95 </w:t>
      </w:r>
      <w:proofErr w:type="spellStart"/>
      <w:r w:rsidRPr="009A7233">
        <w:rPr>
          <w:rFonts w:cs="David" w:hint="cs"/>
          <w:b/>
          <w:bCs/>
          <w:rtl/>
        </w:rPr>
        <w:t>ורבר</w:t>
      </w:r>
      <w:proofErr w:type="spellEnd"/>
      <w:r w:rsidRPr="009A7233">
        <w:rPr>
          <w:rFonts w:cs="David" w:hint="cs"/>
          <w:b/>
          <w:bCs/>
          <w:rtl/>
        </w:rPr>
        <w:t xml:space="preserve"> נ' </w:t>
      </w:r>
      <w:proofErr w:type="spellStart"/>
      <w:r w:rsidRPr="009A7233">
        <w:rPr>
          <w:rFonts w:cs="David" w:hint="cs"/>
          <w:b/>
          <w:bCs/>
          <w:rtl/>
        </w:rPr>
        <w:t>ורבר</w:t>
      </w:r>
      <w:proofErr w:type="spellEnd"/>
      <w:r w:rsidRPr="009A7233">
        <w:rPr>
          <w:rFonts w:cs="David" w:hint="cs"/>
          <w:rtl/>
        </w:rPr>
        <w:t>, נב(5) 817, 847 (1998) עמ' 838</w:t>
      </w:r>
    </w:p>
  </w:endnote>
  <w:endnote w:id="27">
    <w:p w:rsidR="005F4E66" w:rsidRPr="009A7233" w:rsidRDefault="005F4E66" w:rsidP="00E62377">
      <w:pPr>
        <w:pStyle w:val="a7"/>
        <w:rPr>
          <w:rFonts w:cs="David"/>
          <w:rtl/>
        </w:rPr>
      </w:pPr>
      <w:r w:rsidRPr="009A7233">
        <w:rPr>
          <w:rStyle w:val="a9"/>
          <w:rFonts w:cs="David"/>
        </w:rPr>
        <w:endnoteRef/>
      </w:r>
      <w:r w:rsidRPr="009A7233">
        <w:rPr>
          <w:rFonts w:cs="David"/>
          <w:rtl/>
        </w:rPr>
        <w:t xml:space="preserve"> </w:t>
      </w:r>
      <w:proofErr w:type="spellStart"/>
      <w:r w:rsidRPr="009A7233">
        <w:rPr>
          <w:rFonts w:cs="David"/>
          <w:rtl/>
        </w:rPr>
        <w:t>עמ"ש</w:t>
      </w:r>
      <w:proofErr w:type="spellEnd"/>
      <w:r w:rsidRPr="009A7233">
        <w:rPr>
          <w:rFonts w:cs="David"/>
          <w:rtl/>
        </w:rPr>
        <w:t xml:space="preserve"> 17/96 </w:t>
      </w:r>
      <w:r w:rsidRPr="009A7233">
        <w:rPr>
          <w:rFonts w:cs="David"/>
          <w:b/>
          <w:bCs/>
          <w:rtl/>
        </w:rPr>
        <w:t>תורג'מן נ</w:t>
      </w:r>
      <w:r w:rsidRPr="009A7233">
        <w:rPr>
          <w:rFonts w:cs="David" w:hint="cs"/>
          <w:b/>
          <w:bCs/>
          <w:rtl/>
        </w:rPr>
        <w:t>'</w:t>
      </w:r>
      <w:r w:rsidRPr="009A7233">
        <w:rPr>
          <w:rFonts w:cs="David"/>
          <w:b/>
          <w:bCs/>
          <w:rtl/>
        </w:rPr>
        <w:t xml:space="preserve"> תורג'מן</w:t>
      </w:r>
      <w:r w:rsidRPr="009A7233">
        <w:rPr>
          <w:rFonts w:cs="David"/>
          <w:rtl/>
        </w:rPr>
        <w:t xml:space="preserve"> (ביהמ"ש המחוזי ת"א, </w:t>
      </w:r>
      <w:r w:rsidRPr="009A7233">
        <w:rPr>
          <w:rFonts w:cs="David" w:hint="cs"/>
          <w:rtl/>
        </w:rPr>
        <w:t>לא</w:t>
      </w:r>
      <w:r w:rsidRPr="009A7233">
        <w:rPr>
          <w:rFonts w:cs="David"/>
          <w:rtl/>
        </w:rPr>
        <w:t xml:space="preserve"> פורס</w:t>
      </w:r>
      <w:r w:rsidRPr="009A7233">
        <w:rPr>
          <w:rFonts w:cs="David" w:hint="cs"/>
          <w:rtl/>
        </w:rPr>
        <w:t>ם)</w:t>
      </w:r>
    </w:p>
  </w:endnote>
  <w:endnote w:id="28">
    <w:p w:rsidR="000A0B80" w:rsidRDefault="000A0B80" w:rsidP="00A53689">
      <w:pPr>
        <w:pStyle w:val="a7"/>
      </w:pPr>
      <w:r>
        <w:rPr>
          <w:rStyle w:val="a9"/>
        </w:rPr>
        <w:endnoteRef/>
      </w:r>
      <w:r>
        <w:rPr>
          <w:rtl/>
        </w:rPr>
        <w:t xml:space="preserve"> </w:t>
      </w:r>
      <w:r w:rsidRPr="009A7233">
        <w:rPr>
          <w:rFonts w:cs="David" w:hint="cs"/>
          <w:rtl/>
        </w:rPr>
        <w:t xml:space="preserve">בג"ץ 4111/07 </w:t>
      </w:r>
      <w:r w:rsidRPr="009A7233">
        <w:rPr>
          <w:rFonts w:cs="David" w:hint="cs"/>
          <w:b/>
          <w:bCs/>
          <w:rtl/>
        </w:rPr>
        <w:t>פלונית נ' פלוני</w:t>
      </w:r>
      <w:r w:rsidRPr="009A7233">
        <w:rPr>
          <w:rFonts w:cs="David" w:hint="cs"/>
          <w:rtl/>
        </w:rPr>
        <w:t xml:space="preserve"> (27.7.08). </w:t>
      </w:r>
      <w:r>
        <w:rPr>
          <w:rFonts w:hint="cs"/>
          <w:rtl/>
        </w:rPr>
        <w:t>פסקה 7</w:t>
      </w:r>
      <w:r w:rsidRPr="009A7233">
        <w:rPr>
          <w:rFonts w:cs="David" w:hint="cs"/>
          <w:rtl/>
        </w:rPr>
        <w:t xml:space="preserve"> לדבריו של השופט לוי</w:t>
      </w:r>
    </w:p>
  </w:endnote>
  <w:endnote w:id="29">
    <w:p w:rsidR="009C12EC" w:rsidRDefault="009C12EC" w:rsidP="00E82C5B">
      <w:pPr>
        <w:pStyle w:val="a7"/>
        <w:rPr>
          <w:rtl/>
        </w:rPr>
      </w:pPr>
      <w:r>
        <w:rPr>
          <w:rStyle w:val="a9"/>
        </w:rPr>
        <w:endnoteRef/>
      </w:r>
      <w:r>
        <w:rPr>
          <w:rtl/>
        </w:rPr>
        <w:t xml:space="preserve"> </w:t>
      </w:r>
      <w:r w:rsidRPr="00A24BFD">
        <w:rPr>
          <w:rFonts w:cs="David" w:hint="cs"/>
          <w:rtl/>
        </w:rPr>
        <w:t xml:space="preserve">בג"צ 8578/01 </w:t>
      </w:r>
      <w:proofErr w:type="spellStart"/>
      <w:r w:rsidRPr="00A24BFD">
        <w:rPr>
          <w:rFonts w:cs="David" w:hint="cs"/>
          <w:b/>
          <w:bCs/>
          <w:rtl/>
        </w:rPr>
        <w:t>חליווה</w:t>
      </w:r>
      <w:proofErr w:type="spellEnd"/>
      <w:r w:rsidRPr="00A24BFD">
        <w:rPr>
          <w:rFonts w:cs="David" w:hint="cs"/>
          <w:b/>
          <w:bCs/>
          <w:rtl/>
        </w:rPr>
        <w:t xml:space="preserve"> נ' </w:t>
      </w:r>
      <w:proofErr w:type="spellStart"/>
      <w:r w:rsidRPr="00A24BFD">
        <w:rPr>
          <w:rFonts w:cs="David" w:hint="cs"/>
          <w:b/>
          <w:bCs/>
          <w:rtl/>
        </w:rPr>
        <w:t>חליווה</w:t>
      </w:r>
      <w:proofErr w:type="spellEnd"/>
      <w:r w:rsidRPr="00A24BFD">
        <w:rPr>
          <w:rFonts w:cs="David" w:hint="cs"/>
          <w:rtl/>
        </w:rPr>
        <w:t>, נו(5) 634</w:t>
      </w:r>
      <w:r>
        <w:rPr>
          <w:rFonts w:cs="David" w:hint="cs"/>
          <w:rtl/>
        </w:rPr>
        <w:t xml:space="preserve"> </w:t>
      </w:r>
      <w:r w:rsidRPr="00A24BFD">
        <w:rPr>
          <w:rFonts w:cs="David" w:hint="cs"/>
          <w:rtl/>
        </w:rPr>
        <w:t>(2002)</w:t>
      </w:r>
    </w:p>
  </w:endnote>
  <w:endnote w:id="30">
    <w:p w:rsidR="005F4E66" w:rsidRPr="009A7233" w:rsidRDefault="005F4E66" w:rsidP="009051EE">
      <w:pPr>
        <w:pStyle w:val="a7"/>
        <w:rPr>
          <w:rFonts w:cs="David"/>
        </w:rPr>
      </w:pPr>
      <w:r w:rsidRPr="009A7233">
        <w:rPr>
          <w:rStyle w:val="a9"/>
          <w:rFonts w:cs="David"/>
        </w:rPr>
        <w:endnoteRef/>
      </w:r>
      <w:r w:rsidRPr="009A7233">
        <w:rPr>
          <w:rFonts w:cs="David"/>
          <w:rtl/>
        </w:rPr>
        <w:t xml:space="preserve"> בג"צ 8578/01 </w:t>
      </w:r>
      <w:proofErr w:type="spellStart"/>
      <w:r w:rsidRPr="009A7233">
        <w:rPr>
          <w:rFonts w:cs="David"/>
          <w:b/>
          <w:bCs/>
          <w:rtl/>
        </w:rPr>
        <w:t>חליווה</w:t>
      </w:r>
      <w:proofErr w:type="spellEnd"/>
      <w:r w:rsidRPr="009A7233">
        <w:rPr>
          <w:rFonts w:cs="David"/>
          <w:b/>
          <w:bCs/>
          <w:rtl/>
        </w:rPr>
        <w:t xml:space="preserve"> נ</w:t>
      </w:r>
      <w:r w:rsidRPr="009A7233">
        <w:rPr>
          <w:rFonts w:cs="David" w:hint="cs"/>
          <w:b/>
          <w:bCs/>
          <w:rtl/>
        </w:rPr>
        <w:t>'</w:t>
      </w:r>
      <w:r w:rsidRPr="009A7233">
        <w:rPr>
          <w:rFonts w:cs="David"/>
          <w:b/>
          <w:bCs/>
          <w:rtl/>
        </w:rPr>
        <w:t xml:space="preserve"> </w:t>
      </w:r>
      <w:proofErr w:type="spellStart"/>
      <w:r w:rsidRPr="009A7233">
        <w:rPr>
          <w:rFonts w:cs="David"/>
          <w:b/>
          <w:bCs/>
          <w:rtl/>
        </w:rPr>
        <w:t>חליווה</w:t>
      </w:r>
      <w:proofErr w:type="spellEnd"/>
      <w:r w:rsidRPr="009A7233">
        <w:rPr>
          <w:rFonts w:cs="David"/>
          <w:rtl/>
        </w:rPr>
        <w:t xml:space="preserve">, </w:t>
      </w:r>
      <w:r w:rsidRPr="009A7233">
        <w:rPr>
          <w:rFonts w:cs="David" w:hint="cs"/>
          <w:rtl/>
        </w:rPr>
        <w:t>נו(5) 634</w:t>
      </w:r>
      <w:r w:rsidR="006C630B">
        <w:rPr>
          <w:rFonts w:cs="David" w:hint="cs"/>
          <w:rtl/>
        </w:rPr>
        <w:t xml:space="preserve"> (2002)</w:t>
      </w:r>
      <w:r w:rsidR="009051EE">
        <w:rPr>
          <w:rFonts w:cs="David" w:hint="cs"/>
          <w:rtl/>
        </w:rPr>
        <w:t xml:space="preserve"> דבריה של השופטת בייניש</w:t>
      </w:r>
    </w:p>
  </w:endnote>
  <w:endnote w:id="31">
    <w:p w:rsidR="005F4E66" w:rsidRPr="009A7233" w:rsidRDefault="005F4E66" w:rsidP="0086347F">
      <w:pPr>
        <w:pStyle w:val="a7"/>
        <w:rPr>
          <w:rFonts w:cs="David"/>
        </w:rPr>
      </w:pPr>
      <w:r w:rsidRPr="009A7233">
        <w:rPr>
          <w:rStyle w:val="a9"/>
          <w:rFonts w:cs="David"/>
        </w:rPr>
        <w:endnoteRef/>
      </w:r>
      <w:r w:rsidRPr="009A7233">
        <w:rPr>
          <w:rFonts w:cs="David"/>
          <w:rtl/>
        </w:rPr>
        <w:t xml:space="preserve"> </w:t>
      </w:r>
      <w:r w:rsidRPr="009A7233">
        <w:rPr>
          <w:rFonts w:cs="David" w:hint="cs"/>
          <w:rtl/>
        </w:rPr>
        <w:t xml:space="preserve">בג"ץ 4111/07 </w:t>
      </w:r>
      <w:r w:rsidRPr="009A7233">
        <w:rPr>
          <w:rFonts w:cs="David" w:hint="cs"/>
          <w:b/>
          <w:bCs/>
          <w:rtl/>
        </w:rPr>
        <w:t>פלונית נ' פלוני</w:t>
      </w:r>
      <w:r w:rsidRPr="009A7233">
        <w:rPr>
          <w:rFonts w:cs="David" w:hint="cs"/>
          <w:rtl/>
        </w:rPr>
        <w:t xml:space="preserve"> (27.7.08). ס' 9 לדבריו של השופט לוי</w:t>
      </w:r>
    </w:p>
  </w:endnote>
  <w:endnote w:id="32">
    <w:p w:rsidR="005F4E66" w:rsidRPr="009A7233" w:rsidRDefault="005F4E66" w:rsidP="007D4D3D">
      <w:pPr>
        <w:pStyle w:val="a7"/>
        <w:rPr>
          <w:rFonts w:cs="David"/>
        </w:rPr>
      </w:pPr>
      <w:r w:rsidRPr="009A7233">
        <w:rPr>
          <w:rStyle w:val="a9"/>
          <w:rFonts w:cs="David"/>
        </w:rPr>
        <w:endnoteRef/>
      </w:r>
      <w:r w:rsidRPr="009A7233">
        <w:rPr>
          <w:rFonts w:cs="David"/>
          <w:rtl/>
        </w:rPr>
        <w:t xml:space="preserve"> ע"א 5385/95 </w:t>
      </w:r>
      <w:proofErr w:type="spellStart"/>
      <w:r w:rsidRPr="009A7233">
        <w:rPr>
          <w:rFonts w:cs="David"/>
          <w:b/>
          <w:bCs/>
          <w:rtl/>
        </w:rPr>
        <w:t>ורבר</w:t>
      </w:r>
      <w:proofErr w:type="spellEnd"/>
      <w:r w:rsidRPr="009A7233">
        <w:rPr>
          <w:rFonts w:cs="David"/>
          <w:b/>
          <w:bCs/>
          <w:rtl/>
        </w:rPr>
        <w:t xml:space="preserve"> נ</w:t>
      </w:r>
      <w:r w:rsidRPr="009A7233">
        <w:rPr>
          <w:rFonts w:cs="David" w:hint="cs"/>
          <w:b/>
          <w:bCs/>
          <w:rtl/>
        </w:rPr>
        <w:t>'</w:t>
      </w:r>
      <w:r w:rsidRPr="009A7233">
        <w:rPr>
          <w:rFonts w:cs="David"/>
          <w:b/>
          <w:bCs/>
          <w:rtl/>
        </w:rPr>
        <w:t xml:space="preserve"> </w:t>
      </w:r>
      <w:proofErr w:type="spellStart"/>
      <w:r w:rsidRPr="009A7233">
        <w:rPr>
          <w:rFonts w:cs="David"/>
          <w:b/>
          <w:bCs/>
          <w:rtl/>
        </w:rPr>
        <w:t>ורבר</w:t>
      </w:r>
      <w:proofErr w:type="spellEnd"/>
      <w:r w:rsidRPr="009A7233">
        <w:rPr>
          <w:rFonts w:cs="David"/>
          <w:rtl/>
        </w:rPr>
        <w:t xml:space="preserve">, </w:t>
      </w:r>
      <w:r w:rsidRPr="009A7233">
        <w:rPr>
          <w:rFonts w:cs="David" w:hint="cs"/>
          <w:rtl/>
        </w:rPr>
        <w:t>נב (5) 817. פס' 18 לדבריו של השופט זמיר</w:t>
      </w:r>
    </w:p>
  </w:endnote>
  <w:endnote w:id="33">
    <w:p w:rsidR="005F4E66" w:rsidRPr="009A7233" w:rsidRDefault="005F4E66">
      <w:pPr>
        <w:pStyle w:val="a7"/>
        <w:rPr>
          <w:rFonts w:cs="David"/>
        </w:rPr>
      </w:pPr>
      <w:r w:rsidRPr="009A7233">
        <w:rPr>
          <w:rStyle w:val="a9"/>
          <w:rFonts w:cs="David"/>
        </w:rPr>
        <w:endnoteRef/>
      </w:r>
      <w:r w:rsidRPr="009A7233">
        <w:rPr>
          <w:rFonts w:cs="David"/>
          <w:rtl/>
        </w:rPr>
        <w:t xml:space="preserve"> בג"צ 6103/93 </w:t>
      </w:r>
      <w:r w:rsidRPr="009A7233">
        <w:rPr>
          <w:rFonts w:cs="David"/>
          <w:b/>
          <w:bCs/>
          <w:rtl/>
        </w:rPr>
        <w:t>סימה לוי נ</w:t>
      </w:r>
      <w:r w:rsidRPr="009A7233">
        <w:rPr>
          <w:rFonts w:cs="David" w:hint="cs"/>
          <w:b/>
          <w:bCs/>
          <w:rtl/>
        </w:rPr>
        <w:t>'</w:t>
      </w:r>
      <w:r w:rsidRPr="009A7233">
        <w:rPr>
          <w:rFonts w:cs="David"/>
          <w:b/>
          <w:bCs/>
          <w:rtl/>
        </w:rPr>
        <w:t xml:space="preserve"> ביה"ד הרבני</w:t>
      </w:r>
      <w:r w:rsidRPr="009A7233">
        <w:rPr>
          <w:rFonts w:cs="David"/>
          <w:rtl/>
        </w:rPr>
        <w:t>, מח(4) 591</w:t>
      </w:r>
      <w:r w:rsidRPr="009A7233">
        <w:rPr>
          <w:rFonts w:cs="David" w:hint="cs"/>
          <w:rtl/>
        </w:rPr>
        <w:t>. פס' 21-23 לדבריו של השופט חשין.</w:t>
      </w:r>
    </w:p>
  </w:endnote>
  <w:endnote w:id="34">
    <w:p w:rsidR="005F4E66" w:rsidRPr="009A7233" w:rsidRDefault="005F4E66">
      <w:pPr>
        <w:pStyle w:val="a7"/>
        <w:rPr>
          <w:rFonts w:cs="David"/>
          <w:rtl/>
        </w:rPr>
      </w:pPr>
      <w:r w:rsidRPr="009A7233">
        <w:rPr>
          <w:rStyle w:val="a9"/>
          <w:rFonts w:cs="David"/>
        </w:rPr>
        <w:endnoteRef/>
      </w:r>
      <w:r w:rsidRPr="009A7233">
        <w:rPr>
          <w:rFonts w:cs="David"/>
          <w:rtl/>
        </w:rPr>
        <w:t xml:space="preserve"> </w:t>
      </w:r>
      <w:r w:rsidRPr="009A7233">
        <w:rPr>
          <w:rFonts w:cs="David" w:hint="cs"/>
          <w:rtl/>
        </w:rPr>
        <w:t xml:space="preserve">בג"צ 8638/03 </w:t>
      </w:r>
      <w:r w:rsidRPr="009A7233">
        <w:rPr>
          <w:rFonts w:cs="David" w:hint="cs"/>
          <w:b/>
          <w:bCs/>
          <w:rtl/>
        </w:rPr>
        <w:t>סימה אמיר נ' בית הדין הרבני הגדול</w:t>
      </w:r>
      <w:r w:rsidRPr="009A7233">
        <w:rPr>
          <w:rFonts w:cs="David" w:hint="cs"/>
          <w:rtl/>
        </w:rPr>
        <w:t xml:space="preserve">. פס' 15 לדבריה של השופטת </w:t>
      </w:r>
      <w:proofErr w:type="spellStart"/>
      <w:r w:rsidRPr="009A7233">
        <w:rPr>
          <w:rFonts w:cs="David" w:hint="cs"/>
          <w:rtl/>
        </w:rPr>
        <w:t>פרוקצ'יה</w:t>
      </w:r>
      <w:proofErr w:type="spellEnd"/>
    </w:p>
  </w:endnote>
  <w:endnote w:id="35">
    <w:p w:rsidR="005F4E66" w:rsidRPr="009A7233" w:rsidRDefault="005F4E66">
      <w:pPr>
        <w:pStyle w:val="a7"/>
        <w:rPr>
          <w:rFonts w:cs="David"/>
        </w:rPr>
      </w:pPr>
      <w:r w:rsidRPr="009A7233">
        <w:rPr>
          <w:rStyle w:val="a9"/>
          <w:rFonts w:cs="David"/>
        </w:rPr>
        <w:endnoteRef/>
      </w:r>
      <w:r w:rsidRPr="009A7233">
        <w:rPr>
          <w:rFonts w:cs="David"/>
          <w:rtl/>
        </w:rPr>
        <w:t xml:space="preserve"> חוק שיפוט בתי דין רבניים (נישואין וגירושין), תשי"ג-1953</w:t>
      </w:r>
    </w:p>
  </w:endnote>
  <w:endnote w:id="36">
    <w:p w:rsidR="005F4E66" w:rsidRPr="009A7233" w:rsidRDefault="005F4E66" w:rsidP="001403D8">
      <w:pPr>
        <w:pStyle w:val="a7"/>
        <w:rPr>
          <w:rFonts w:cs="David"/>
        </w:rPr>
      </w:pPr>
      <w:r w:rsidRPr="009A7233">
        <w:rPr>
          <w:rStyle w:val="a9"/>
          <w:rFonts w:cs="David"/>
        </w:rPr>
        <w:endnoteRef/>
      </w:r>
      <w:r w:rsidRPr="009A7233">
        <w:rPr>
          <w:rFonts w:cs="David"/>
          <w:rtl/>
        </w:rPr>
        <w:t xml:space="preserve"> </w:t>
      </w:r>
      <w:r w:rsidRPr="009A7233">
        <w:rPr>
          <w:rFonts w:cs="David" w:hint="cs"/>
          <w:rtl/>
        </w:rPr>
        <w:t xml:space="preserve">בג"ץ 1607/11 </w:t>
      </w:r>
      <w:r w:rsidRPr="009A7233">
        <w:rPr>
          <w:rFonts w:cs="David" w:hint="cs"/>
          <w:b/>
          <w:bCs/>
          <w:rtl/>
        </w:rPr>
        <w:t>פלונית נ' ביה"ד הרבני הגדול</w:t>
      </w:r>
      <w:r w:rsidRPr="009A7233">
        <w:rPr>
          <w:rFonts w:cs="David" w:hint="cs"/>
          <w:rtl/>
        </w:rPr>
        <w:t xml:space="preserve"> (18.4.12). פס' 19 לדבריה של השופטת נאור</w:t>
      </w:r>
    </w:p>
  </w:endnote>
  <w:endnote w:id="37">
    <w:p w:rsidR="005F4E66" w:rsidRPr="009A7233" w:rsidRDefault="005F4E66" w:rsidP="00A01052">
      <w:pPr>
        <w:pStyle w:val="a7"/>
        <w:rPr>
          <w:rFonts w:cs="David"/>
          <w:rtl/>
        </w:rPr>
      </w:pPr>
      <w:r w:rsidRPr="009A7233">
        <w:rPr>
          <w:rStyle w:val="a9"/>
          <w:rFonts w:cs="David"/>
        </w:rPr>
        <w:endnoteRef/>
      </w:r>
      <w:r w:rsidRPr="009A7233">
        <w:rPr>
          <w:rFonts w:cs="David"/>
          <w:rtl/>
        </w:rPr>
        <w:t xml:space="preserve"> </w:t>
      </w:r>
      <w:r w:rsidRPr="009A7233">
        <w:rPr>
          <w:rFonts w:cs="David" w:hint="cs"/>
          <w:rtl/>
        </w:rPr>
        <w:t xml:space="preserve">בג"ץ 1607/11 </w:t>
      </w:r>
      <w:r w:rsidRPr="009A7233">
        <w:rPr>
          <w:rFonts w:cs="David" w:hint="cs"/>
          <w:b/>
          <w:bCs/>
          <w:rtl/>
        </w:rPr>
        <w:t>פלונית נ' ביה"ד הרבני הגדול</w:t>
      </w:r>
      <w:r w:rsidRPr="009A7233">
        <w:rPr>
          <w:rFonts w:cs="David" w:hint="cs"/>
          <w:rtl/>
        </w:rPr>
        <w:t xml:space="preserve"> (18.4.12). פס' 19 לדבריה של השופטת נאור</w:t>
      </w:r>
    </w:p>
  </w:endnote>
  <w:endnote w:id="38">
    <w:p w:rsidR="00486436" w:rsidRPr="00486436" w:rsidRDefault="00486436" w:rsidP="00486436">
      <w:pPr>
        <w:pStyle w:val="a7"/>
        <w:rPr>
          <w:rFonts w:cs="David"/>
          <w:rtl/>
        </w:rPr>
      </w:pPr>
      <w:r>
        <w:rPr>
          <w:rStyle w:val="a9"/>
        </w:rPr>
        <w:endnoteRef/>
      </w:r>
      <w:r>
        <w:rPr>
          <w:rtl/>
        </w:rPr>
        <w:t xml:space="preserve"> </w:t>
      </w:r>
      <w:r w:rsidRPr="001323B3">
        <w:rPr>
          <w:rFonts w:cs="David" w:hint="cs"/>
          <w:rtl/>
        </w:rPr>
        <w:t xml:space="preserve">בג"צ </w:t>
      </w:r>
      <w:r w:rsidRPr="001323B3">
        <w:rPr>
          <w:rFonts w:cs="David" w:hint="cs"/>
          <w:b/>
          <w:bCs/>
          <w:rtl/>
        </w:rPr>
        <w:t>עמרני נ' בית הדין הרבני הגדול</w:t>
      </w:r>
      <w:r w:rsidRPr="001323B3">
        <w:rPr>
          <w:rFonts w:cs="David" w:hint="cs"/>
          <w:rtl/>
        </w:rPr>
        <w:t xml:space="preserve">, פ"ד </w:t>
      </w:r>
      <w:proofErr w:type="spellStart"/>
      <w:r w:rsidRPr="001323B3">
        <w:rPr>
          <w:rFonts w:cs="David" w:hint="cs"/>
          <w:rtl/>
        </w:rPr>
        <w:t>לז</w:t>
      </w:r>
      <w:proofErr w:type="spellEnd"/>
      <w:r w:rsidRPr="001323B3">
        <w:rPr>
          <w:rFonts w:cs="David" w:hint="cs"/>
          <w:rtl/>
        </w:rPr>
        <w:t>(2) 1</w:t>
      </w:r>
      <w:r>
        <w:rPr>
          <w:rFonts w:cs="David" w:hint="cs"/>
          <w:rtl/>
        </w:rPr>
        <w:t>, פסקה 11 לפסק דינו של השופט אלון</w:t>
      </w:r>
      <w:r w:rsidRPr="001323B3">
        <w:rPr>
          <w:rFonts w:cs="David" w:hint="cs"/>
          <w:rtl/>
        </w:rPr>
        <w:t xml:space="preserve"> (1982)</w:t>
      </w:r>
    </w:p>
  </w:endnote>
  <w:endnote w:id="39">
    <w:p w:rsidR="00F05BAF" w:rsidRDefault="00F05BAF">
      <w:pPr>
        <w:pStyle w:val="a7"/>
        <w:rPr>
          <w:rtl/>
        </w:rPr>
      </w:pPr>
      <w:r>
        <w:rPr>
          <w:rStyle w:val="a9"/>
        </w:rPr>
        <w:endnoteRef/>
      </w:r>
      <w:r>
        <w:rPr>
          <w:rtl/>
        </w:rPr>
        <w:t xml:space="preserve"> </w:t>
      </w:r>
      <w:r w:rsidRPr="008D3E86">
        <w:rPr>
          <w:rFonts w:cs="David" w:hint="cs"/>
          <w:rtl/>
        </w:rPr>
        <w:t xml:space="preserve">בג"צ </w:t>
      </w:r>
      <w:r>
        <w:rPr>
          <w:rFonts w:cs="David" w:hint="cs"/>
          <w:rtl/>
        </w:rPr>
        <w:t>10109/02</w:t>
      </w:r>
      <w:r w:rsidRPr="008D3E86">
        <w:rPr>
          <w:rFonts w:cs="David" w:hint="cs"/>
          <w:rtl/>
        </w:rPr>
        <w:t xml:space="preserve">, </w:t>
      </w:r>
      <w:r>
        <w:rPr>
          <w:rFonts w:cs="David" w:hint="cs"/>
          <w:rtl/>
        </w:rPr>
        <w:t>78/03</w:t>
      </w:r>
      <w:r w:rsidRPr="008D3E86">
        <w:rPr>
          <w:rFonts w:cs="David" w:hint="cs"/>
          <w:rtl/>
        </w:rPr>
        <w:t xml:space="preserve"> </w:t>
      </w:r>
      <w:r w:rsidRPr="00222DEE">
        <w:rPr>
          <w:rFonts w:cs="David" w:hint="cs"/>
          <w:b/>
          <w:bCs/>
          <w:rtl/>
        </w:rPr>
        <w:t>כץ נ' ביה"ד הרבני הגדול</w:t>
      </w:r>
      <w:r w:rsidRPr="008D3E86">
        <w:rPr>
          <w:rFonts w:cs="David" w:hint="cs"/>
          <w:rtl/>
        </w:rPr>
        <w:t xml:space="preserve">, פ"ד </w:t>
      </w:r>
      <w:proofErr w:type="spellStart"/>
      <w:r w:rsidRPr="008D3E86">
        <w:rPr>
          <w:rFonts w:cs="David" w:hint="cs"/>
          <w:rtl/>
        </w:rPr>
        <w:t>נז</w:t>
      </w:r>
      <w:proofErr w:type="spellEnd"/>
      <w:r w:rsidRPr="008D3E86">
        <w:rPr>
          <w:rFonts w:cs="David" w:hint="cs"/>
          <w:rtl/>
        </w:rPr>
        <w:t>(</w:t>
      </w:r>
      <w:r>
        <w:rPr>
          <w:rFonts w:cs="David" w:hint="cs"/>
          <w:rtl/>
        </w:rPr>
        <w:t>2</w:t>
      </w:r>
      <w:r w:rsidRPr="008D3E86">
        <w:rPr>
          <w:rFonts w:cs="David" w:hint="cs"/>
          <w:rtl/>
        </w:rPr>
        <w:t xml:space="preserve">) </w:t>
      </w:r>
      <w:r>
        <w:rPr>
          <w:rFonts w:cs="David" w:hint="cs"/>
          <w:rtl/>
        </w:rPr>
        <w:t xml:space="preserve">875, פסקה 6 לפסק דינה של השופטת </w:t>
      </w:r>
      <w:proofErr w:type="spellStart"/>
      <w:r>
        <w:rPr>
          <w:rFonts w:cs="David" w:hint="cs"/>
          <w:rtl/>
        </w:rPr>
        <w:t>פרוקצ'יה</w:t>
      </w:r>
      <w:proofErr w:type="spellEnd"/>
      <w:r w:rsidRPr="008D3E86">
        <w:rPr>
          <w:rFonts w:cs="David" w:hint="cs"/>
          <w:rtl/>
        </w:rPr>
        <w:t xml:space="preserve"> (</w:t>
      </w:r>
      <w:r>
        <w:rPr>
          <w:rFonts w:cs="David" w:hint="cs"/>
          <w:rtl/>
        </w:rPr>
        <w:t>2003</w:t>
      </w:r>
      <w:r w:rsidRPr="008D3E86">
        <w:rPr>
          <w:rFonts w:cs="David" w:hint="cs"/>
          <w:rtl/>
        </w:rPr>
        <w:t>)</w:t>
      </w:r>
    </w:p>
  </w:endnote>
  <w:endnote w:id="40">
    <w:p w:rsidR="00A80090" w:rsidRPr="009A7233" w:rsidRDefault="00A80090" w:rsidP="00A80090">
      <w:pPr>
        <w:pStyle w:val="a7"/>
        <w:rPr>
          <w:rFonts w:cs="David"/>
          <w:rtl/>
        </w:rPr>
      </w:pPr>
      <w:r w:rsidRPr="009A7233">
        <w:rPr>
          <w:rStyle w:val="a9"/>
          <w:rFonts w:cs="David"/>
        </w:rPr>
        <w:endnoteRef/>
      </w:r>
      <w:r w:rsidRPr="009A7233">
        <w:rPr>
          <w:rFonts w:cs="David"/>
          <w:rtl/>
        </w:rPr>
        <w:t xml:space="preserve">בג"צ 5507/95 </w:t>
      </w:r>
      <w:r w:rsidRPr="009A7233">
        <w:rPr>
          <w:rFonts w:cs="David"/>
          <w:b/>
          <w:bCs/>
          <w:rtl/>
        </w:rPr>
        <w:t>אמיר נ</w:t>
      </w:r>
      <w:r w:rsidRPr="009A7233">
        <w:rPr>
          <w:rFonts w:cs="David" w:hint="cs"/>
          <w:b/>
          <w:bCs/>
          <w:rtl/>
        </w:rPr>
        <w:t>'</w:t>
      </w:r>
      <w:r w:rsidRPr="009A7233">
        <w:rPr>
          <w:rFonts w:cs="David"/>
          <w:b/>
          <w:bCs/>
          <w:rtl/>
        </w:rPr>
        <w:t xml:space="preserve"> ביה"ד הרבני</w:t>
      </w:r>
      <w:r w:rsidRPr="009A7233">
        <w:rPr>
          <w:rFonts w:cs="David"/>
          <w:rtl/>
        </w:rPr>
        <w:t>, נ(3</w:t>
      </w:r>
      <w:r w:rsidRPr="009A7233">
        <w:rPr>
          <w:rFonts w:cs="David" w:hint="cs"/>
          <w:rtl/>
        </w:rPr>
        <w:t>). פס' 12-18 לדבריו של השופט חשין</w:t>
      </w:r>
    </w:p>
  </w:endnote>
  <w:endnote w:id="41">
    <w:p w:rsidR="00AE48FA" w:rsidRDefault="00AE48FA">
      <w:pPr>
        <w:pStyle w:val="a7"/>
        <w:rPr>
          <w:rtl/>
        </w:rPr>
      </w:pPr>
      <w:r w:rsidRPr="009A7233">
        <w:rPr>
          <w:rStyle w:val="a9"/>
          <w:rFonts w:cs="David"/>
        </w:rPr>
        <w:endnoteRef/>
      </w:r>
      <w:r w:rsidRPr="009A7233">
        <w:rPr>
          <w:rFonts w:cs="David"/>
          <w:rtl/>
        </w:rPr>
        <w:t xml:space="preserve"> בג"צ 6103/93 </w:t>
      </w:r>
      <w:r w:rsidR="00C96DA1">
        <w:rPr>
          <w:rFonts w:cs="David"/>
          <w:b/>
          <w:bCs/>
          <w:rtl/>
        </w:rPr>
        <w:t>סימה לוי נ</w:t>
      </w:r>
      <w:r w:rsidR="00C96DA1">
        <w:rPr>
          <w:rFonts w:cs="David" w:hint="cs"/>
          <w:b/>
          <w:bCs/>
          <w:rtl/>
        </w:rPr>
        <w:t>'</w:t>
      </w:r>
      <w:r w:rsidRPr="009A7233">
        <w:rPr>
          <w:rFonts w:cs="David"/>
          <w:b/>
          <w:bCs/>
          <w:rtl/>
        </w:rPr>
        <w:t xml:space="preserve"> ביה"ד הרבני</w:t>
      </w:r>
      <w:r w:rsidRPr="009A7233">
        <w:rPr>
          <w:rFonts w:cs="David"/>
          <w:rtl/>
        </w:rPr>
        <w:t>, מח(4) 591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521581902"/>
      <w:docPartObj>
        <w:docPartGallery w:val="Page Numbers (Bottom of Page)"/>
        <w:docPartUnique/>
      </w:docPartObj>
    </w:sdtPr>
    <w:sdtEndPr>
      <w:rPr>
        <w:cs/>
      </w:rPr>
    </w:sdtEndPr>
    <w:sdtContent>
      <w:p w:rsidR="007E5957" w:rsidRDefault="007E5957">
        <w:pPr>
          <w:pStyle w:val="ad"/>
          <w:jc w:val="center"/>
          <w:rPr>
            <w:rtl/>
            <w:cs/>
          </w:rPr>
        </w:pPr>
        <w:r>
          <w:fldChar w:fldCharType="begin"/>
        </w:r>
        <w:r>
          <w:rPr>
            <w:rtl/>
            <w:cs/>
          </w:rPr>
          <w:instrText>PAGE   \* MERGEFORMAT</w:instrText>
        </w:r>
        <w:r>
          <w:fldChar w:fldCharType="separate"/>
        </w:r>
        <w:r w:rsidR="002B4D1F" w:rsidRPr="002B4D1F">
          <w:rPr>
            <w:noProof/>
            <w:rtl/>
            <w:lang w:val="he-IL"/>
          </w:rPr>
          <w:t>1</w:t>
        </w:r>
        <w:r>
          <w:fldChar w:fldCharType="end"/>
        </w:r>
      </w:p>
    </w:sdtContent>
  </w:sdt>
  <w:p w:rsidR="007E5957" w:rsidRDefault="007E595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4E2" w:rsidRDefault="005A44E2" w:rsidP="00DF6FEC">
      <w:pPr>
        <w:spacing w:after="0" w:line="240" w:lineRule="auto"/>
      </w:pPr>
      <w:r>
        <w:separator/>
      </w:r>
    </w:p>
  </w:footnote>
  <w:footnote w:type="continuationSeparator" w:id="0">
    <w:p w:rsidR="005A44E2" w:rsidRDefault="005A44E2" w:rsidP="00DF6F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957" w:rsidRPr="0090349F" w:rsidRDefault="0090349F" w:rsidP="002B4D1F">
    <w:pPr>
      <w:pStyle w:val="ab"/>
      <w:rPr>
        <w:rFonts w:cs="David"/>
        <w:rtl/>
      </w:rPr>
    </w:pPr>
    <w:r w:rsidRPr="00DB3B0C">
      <w:rPr>
        <w:rFonts w:cs="David" w:hint="cs"/>
        <w:b/>
        <w:bCs/>
        <w:i/>
        <w:iCs/>
        <w:color w:val="1F497D" w:themeColor="text2"/>
        <w:u w:val="single"/>
        <w:rtl/>
      </w:rPr>
      <w:t>דיני משפחה</w:t>
    </w:r>
    <w:r w:rsidRPr="00DB3B0C">
      <w:rPr>
        <w:rFonts w:cs="David" w:hint="cs"/>
        <w:color w:val="1F497D" w:themeColor="text2"/>
        <w:rtl/>
      </w:rPr>
      <w:t xml:space="preserve"> / סמכויות ויחסי גומלין בין ערכאות                                                       </w:t>
    </w:r>
    <w:r w:rsidR="00950076" w:rsidRPr="00DB3B0C">
      <w:rPr>
        <w:rFonts w:cs="David" w:hint="cs"/>
        <w:color w:val="1F497D" w:themeColor="text2"/>
        <w:rtl/>
      </w:rPr>
      <w:t xml:space="preserve">                      </w:t>
    </w:r>
    <w:r w:rsidRPr="00DB3B0C">
      <w:rPr>
        <w:rFonts w:cs="David" w:hint="cs"/>
        <w:color w:val="1F497D" w:themeColor="text2"/>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EC"/>
    <w:rsid w:val="00012750"/>
    <w:rsid w:val="00016292"/>
    <w:rsid w:val="00021B1C"/>
    <w:rsid w:val="00022ABF"/>
    <w:rsid w:val="0003145B"/>
    <w:rsid w:val="00066235"/>
    <w:rsid w:val="00066B74"/>
    <w:rsid w:val="00066C75"/>
    <w:rsid w:val="000708EA"/>
    <w:rsid w:val="000711BC"/>
    <w:rsid w:val="00074F41"/>
    <w:rsid w:val="00086287"/>
    <w:rsid w:val="00090010"/>
    <w:rsid w:val="00091272"/>
    <w:rsid w:val="00091615"/>
    <w:rsid w:val="00094651"/>
    <w:rsid w:val="000A0B80"/>
    <w:rsid w:val="000A30D2"/>
    <w:rsid w:val="000A77FD"/>
    <w:rsid w:val="000B2152"/>
    <w:rsid w:val="000B3EEC"/>
    <w:rsid w:val="000E0DBE"/>
    <w:rsid w:val="000E6A6F"/>
    <w:rsid w:val="000F53FD"/>
    <w:rsid w:val="00100BCB"/>
    <w:rsid w:val="00102794"/>
    <w:rsid w:val="00106C14"/>
    <w:rsid w:val="00121549"/>
    <w:rsid w:val="0013555F"/>
    <w:rsid w:val="001403D8"/>
    <w:rsid w:val="00140735"/>
    <w:rsid w:val="00140B91"/>
    <w:rsid w:val="00152E55"/>
    <w:rsid w:val="00162FE0"/>
    <w:rsid w:val="001659C5"/>
    <w:rsid w:val="00167C58"/>
    <w:rsid w:val="001813E4"/>
    <w:rsid w:val="0018526F"/>
    <w:rsid w:val="001A0BCE"/>
    <w:rsid w:val="001B3CFD"/>
    <w:rsid w:val="001C216B"/>
    <w:rsid w:val="001C44C3"/>
    <w:rsid w:val="001C4583"/>
    <w:rsid w:val="001C47FA"/>
    <w:rsid w:val="001C562D"/>
    <w:rsid w:val="001C5D44"/>
    <w:rsid w:val="001D0F38"/>
    <w:rsid w:val="001D1BAD"/>
    <w:rsid w:val="001D31C1"/>
    <w:rsid w:val="001D7134"/>
    <w:rsid w:val="001E0256"/>
    <w:rsid w:val="001E7828"/>
    <w:rsid w:val="001F0A8C"/>
    <w:rsid w:val="001F11DF"/>
    <w:rsid w:val="001F4E8B"/>
    <w:rsid w:val="00202C7D"/>
    <w:rsid w:val="002041FE"/>
    <w:rsid w:val="00223539"/>
    <w:rsid w:val="0022386C"/>
    <w:rsid w:val="00225855"/>
    <w:rsid w:val="00230766"/>
    <w:rsid w:val="002348AE"/>
    <w:rsid w:val="002367A9"/>
    <w:rsid w:val="00242F26"/>
    <w:rsid w:val="0024586B"/>
    <w:rsid w:val="00245894"/>
    <w:rsid w:val="002479EC"/>
    <w:rsid w:val="00283B61"/>
    <w:rsid w:val="002A0808"/>
    <w:rsid w:val="002A384D"/>
    <w:rsid w:val="002A70A7"/>
    <w:rsid w:val="002B4D1F"/>
    <w:rsid w:val="002B554C"/>
    <w:rsid w:val="002C3BDC"/>
    <w:rsid w:val="002C62FE"/>
    <w:rsid w:val="002C6DB7"/>
    <w:rsid w:val="002D6EBA"/>
    <w:rsid w:val="002E3B81"/>
    <w:rsid w:val="002F32DE"/>
    <w:rsid w:val="00306D28"/>
    <w:rsid w:val="003070A4"/>
    <w:rsid w:val="00307C73"/>
    <w:rsid w:val="003100EB"/>
    <w:rsid w:val="003146DA"/>
    <w:rsid w:val="0031488E"/>
    <w:rsid w:val="00322ABD"/>
    <w:rsid w:val="00335FC2"/>
    <w:rsid w:val="00337722"/>
    <w:rsid w:val="00337C96"/>
    <w:rsid w:val="003453D0"/>
    <w:rsid w:val="00375BC0"/>
    <w:rsid w:val="00381A29"/>
    <w:rsid w:val="00393896"/>
    <w:rsid w:val="003A3846"/>
    <w:rsid w:val="003A779E"/>
    <w:rsid w:val="003B02A3"/>
    <w:rsid w:val="003B45F9"/>
    <w:rsid w:val="003C7CBE"/>
    <w:rsid w:val="003D3509"/>
    <w:rsid w:val="003D3975"/>
    <w:rsid w:val="003D3AC8"/>
    <w:rsid w:val="003D588C"/>
    <w:rsid w:val="003D5A86"/>
    <w:rsid w:val="003E4DA6"/>
    <w:rsid w:val="003F72BF"/>
    <w:rsid w:val="004017E1"/>
    <w:rsid w:val="004078BC"/>
    <w:rsid w:val="0041618B"/>
    <w:rsid w:val="004227F4"/>
    <w:rsid w:val="0042492D"/>
    <w:rsid w:val="00434178"/>
    <w:rsid w:val="00436C98"/>
    <w:rsid w:val="004452C7"/>
    <w:rsid w:val="00445B81"/>
    <w:rsid w:val="00450090"/>
    <w:rsid w:val="004504D2"/>
    <w:rsid w:val="00450604"/>
    <w:rsid w:val="00453569"/>
    <w:rsid w:val="00453DDC"/>
    <w:rsid w:val="00456112"/>
    <w:rsid w:val="004562D1"/>
    <w:rsid w:val="0047741B"/>
    <w:rsid w:val="00480F37"/>
    <w:rsid w:val="00481F44"/>
    <w:rsid w:val="004850B5"/>
    <w:rsid w:val="00486436"/>
    <w:rsid w:val="00493785"/>
    <w:rsid w:val="00493A77"/>
    <w:rsid w:val="00495501"/>
    <w:rsid w:val="00497FE6"/>
    <w:rsid w:val="004A3854"/>
    <w:rsid w:val="004A3C90"/>
    <w:rsid w:val="004B0CCB"/>
    <w:rsid w:val="004C0B82"/>
    <w:rsid w:val="004C6C29"/>
    <w:rsid w:val="004D7C06"/>
    <w:rsid w:val="004E39BB"/>
    <w:rsid w:val="004E42C9"/>
    <w:rsid w:val="004E78F1"/>
    <w:rsid w:val="004F3A64"/>
    <w:rsid w:val="00524348"/>
    <w:rsid w:val="00524A55"/>
    <w:rsid w:val="0053010B"/>
    <w:rsid w:val="00547BF7"/>
    <w:rsid w:val="00547F0F"/>
    <w:rsid w:val="005576F1"/>
    <w:rsid w:val="00572D87"/>
    <w:rsid w:val="00572DCB"/>
    <w:rsid w:val="00582F25"/>
    <w:rsid w:val="0058368A"/>
    <w:rsid w:val="00584B44"/>
    <w:rsid w:val="00586F03"/>
    <w:rsid w:val="00590A77"/>
    <w:rsid w:val="00594825"/>
    <w:rsid w:val="00596311"/>
    <w:rsid w:val="00596813"/>
    <w:rsid w:val="005A4236"/>
    <w:rsid w:val="005A44E2"/>
    <w:rsid w:val="005A72AE"/>
    <w:rsid w:val="005C4E8A"/>
    <w:rsid w:val="005E2020"/>
    <w:rsid w:val="005E48BA"/>
    <w:rsid w:val="005F4E66"/>
    <w:rsid w:val="00600214"/>
    <w:rsid w:val="00601B34"/>
    <w:rsid w:val="00611F62"/>
    <w:rsid w:val="006260B3"/>
    <w:rsid w:val="00637F55"/>
    <w:rsid w:val="0065412F"/>
    <w:rsid w:val="006556B8"/>
    <w:rsid w:val="00660E2C"/>
    <w:rsid w:val="0066108B"/>
    <w:rsid w:val="00661822"/>
    <w:rsid w:val="00664916"/>
    <w:rsid w:val="00665DC7"/>
    <w:rsid w:val="00672EFC"/>
    <w:rsid w:val="00675A0E"/>
    <w:rsid w:val="00684408"/>
    <w:rsid w:val="00686F05"/>
    <w:rsid w:val="00691EF4"/>
    <w:rsid w:val="006A2DDF"/>
    <w:rsid w:val="006A3098"/>
    <w:rsid w:val="006B23FF"/>
    <w:rsid w:val="006B5B9D"/>
    <w:rsid w:val="006C4A00"/>
    <w:rsid w:val="006C630B"/>
    <w:rsid w:val="006C6B3B"/>
    <w:rsid w:val="006F38C2"/>
    <w:rsid w:val="006F5701"/>
    <w:rsid w:val="00701EB9"/>
    <w:rsid w:val="00705F63"/>
    <w:rsid w:val="00707F2E"/>
    <w:rsid w:val="00717B37"/>
    <w:rsid w:val="00717E3E"/>
    <w:rsid w:val="007231E1"/>
    <w:rsid w:val="00727D49"/>
    <w:rsid w:val="00730BC7"/>
    <w:rsid w:val="007454DB"/>
    <w:rsid w:val="007459F6"/>
    <w:rsid w:val="00746220"/>
    <w:rsid w:val="00753970"/>
    <w:rsid w:val="007613A0"/>
    <w:rsid w:val="007637EF"/>
    <w:rsid w:val="0077627D"/>
    <w:rsid w:val="00787DA0"/>
    <w:rsid w:val="00790D40"/>
    <w:rsid w:val="007910C2"/>
    <w:rsid w:val="007970CB"/>
    <w:rsid w:val="007A33E2"/>
    <w:rsid w:val="007B5762"/>
    <w:rsid w:val="007B68EE"/>
    <w:rsid w:val="007B711E"/>
    <w:rsid w:val="007C40D5"/>
    <w:rsid w:val="007D4D3D"/>
    <w:rsid w:val="007E5957"/>
    <w:rsid w:val="007F12A2"/>
    <w:rsid w:val="00800D7D"/>
    <w:rsid w:val="0081132D"/>
    <w:rsid w:val="00823D88"/>
    <w:rsid w:val="00837D68"/>
    <w:rsid w:val="00841F5D"/>
    <w:rsid w:val="00851078"/>
    <w:rsid w:val="0086347F"/>
    <w:rsid w:val="0086402D"/>
    <w:rsid w:val="008642D1"/>
    <w:rsid w:val="00883388"/>
    <w:rsid w:val="00891474"/>
    <w:rsid w:val="00892F9B"/>
    <w:rsid w:val="008938DA"/>
    <w:rsid w:val="008B0327"/>
    <w:rsid w:val="008B6DEC"/>
    <w:rsid w:val="008C3E67"/>
    <w:rsid w:val="008D23E8"/>
    <w:rsid w:val="008D391D"/>
    <w:rsid w:val="008D3A48"/>
    <w:rsid w:val="008D46D2"/>
    <w:rsid w:val="008D6016"/>
    <w:rsid w:val="008E01F2"/>
    <w:rsid w:val="008E1784"/>
    <w:rsid w:val="0090349F"/>
    <w:rsid w:val="009051EE"/>
    <w:rsid w:val="009173CC"/>
    <w:rsid w:val="00922422"/>
    <w:rsid w:val="00924907"/>
    <w:rsid w:val="00940B0E"/>
    <w:rsid w:val="00950076"/>
    <w:rsid w:val="00967438"/>
    <w:rsid w:val="0097363F"/>
    <w:rsid w:val="00973FAF"/>
    <w:rsid w:val="00984A4A"/>
    <w:rsid w:val="00987ECC"/>
    <w:rsid w:val="00994B6B"/>
    <w:rsid w:val="009A7233"/>
    <w:rsid w:val="009C12EC"/>
    <w:rsid w:val="009D1A45"/>
    <w:rsid w:val="009D60B3"/>
    <w:rsid w:val="009D682B"/>
    <w:rsid w:val="009E43BC"/>
    <w:rsid w:val="009E5B1D"/>
    <w:rsid w:val="009E60AA"/>
    <w:rsid w:val="009E7341"/>
    <w:rsid w:val="009F0346"/>
    <w:rsid w:val="009F6F7A"/>
    <w:rsid w:val="009F798A"/>
    <w:rsid w:val="00A01052"/>
    <w:rsid w:val="00A17A7A"/>
    <w:rsid w:val="00A30847"/>
    <w:rsid w:val="00A373D4"/>
    <w:rsid w:val="00A4299F"/>
    <w:rsid w:val="00A45457"/>
    <w:rsid w:val="00A46112"/>
    <w:rsid w:val="00A53689"/>
    <w:rsid w:val="00A57BF0"/>
    <w:rsid w:val="00A66CEC"/>
    <w:rsid w:val="00A761E6"/>
    <w:rsid w:val="00A80090"/>
    <w:rsid w:val="00A85879"/>
    <w:rsid w:val="00A858BE"/>
    <w:rsid w:val="00A91F16"/>
    <w:rsid w:val="00A943A6"/>
    <w:rsid w:val="00A9759A"/>
    <w:rsid w:val="00AA6F54"/>
    <w:rsid w:val="00AB37CF"/>
    <w:rsid w:val="00AB7370"/>
    <w:rsid w:val="00AC5405"/>
    <w:rsid w:val="00AD6FEB"/>
    <w:rsid w:val="00AD7270"/>
    <w:rsid w:val="00AE48FA"/>
    <w:rsid w:val="00AE7100"/>
    <w:rsid w:val="00B020E6"/>
    <w:rsid w:val="00B1587E"/>
    <w:rsid w:val="00B26EB0"/>
    <w:rsid w:val="00B3242C"/>
    <w:rsid w:val="00B32ADA"/>
    <w:rsid w:val="00B32F11"/>
    <w:rsid w:val="00B4144D"/>
    <w:rsid w:val="00B50E9C"/>
    <w:rsid w:val="00B56842"/>
    <w:rsid w:val="00B63D9C"/>
    <w:rsid w:val="00B64B22"/>
    <w:rsid w:val="00B669F7"/>
    <w:rsid w:val="00B74137"/>
    <w:rsid w:val="00B77B8A"/>
    <w:rsid w:val="00B84503"/>
    <w:rsid w:val="00BB4299"/>
    <w:rsid w:val="00BC19AA"/>
    <w:rsid w:val="00BF066D"/>
    <w:rsid w:val="00BF39C0"/>
    <w:rsid w:val="00BF67A8"/>
    <w:rsid w:val="00C02F1D"/>
    <w:rsid w:val="00C0579B"/>
    <w:rsid w:val="00C2100C"/>
    <w:rsid w:val="00C40BB1"/>
    <w:rsid w:val="00C53EEA"/>
    <w:rsid w:val="00C60366"/>
    <w:rsid w:val="00C60839"/>
    <w:rsid w:val="00C76C2F"/>
    <w:rsid w:val="00C80EB1"/>
    <w:rsid w:val="00C86FC3"/>
    <w:rsid w:val="00C922D0"/>
    <w:rsid w:val="00C92A8C"/>
    <w:rsid w:val="00C96DA1"/>
    <w:rsid w:val="00C97407"/>
    <w:rsid w:val="00CA1336"/>
    <w:rsid w:val="00CA5034"/>
    <w:rsid w:val="00CB630B"/>
    <w:rsid w:val="00CC6577"/>
    <w:rsid w:val="00CD1378"/>
    <w:rsid w:val="00CD64C2"/>
    <w:rsid w:val="00CE3290"/>
    <w:rsid w:val="00CF31BE"/>
    <w:rsid w:val="00D0302E"/>
    <w:rsid w:val="00D20A42"/>
    <w:rsid w:val="00D6201F"/>
    <w:rsid w:val="00D723F9"/>
    <w:rsid w:val="00D73236"/>
    <w:rsid w:val="00D8586F"/>
    <w:rsid w:val="00D9162E"/>
    <w:rsid w:val="00D91F6A"/>
    <w:rsid w:val="00DA28A1"/>
    <w:rsid w:val="00DB196E"/>
    <w:rsid w:val="00DB3B0C"/>
    <w:rsid w:val="00DB4D70"/>
    <w:rsid w:val="00DB5CA9"/>
    <w:rsid w:val="00DB64EF"/>
    <w:rsid w:val="00DC3612"/>
    <w:rsid w:val="00DD023D"/>
    <w:rsid w:val="00DD0D25"/>
    <w:rsid w:val="00DD3AF5"/>
    <w:rsid w:val="00DF1917"/>
    <w:rsid w:val="00DF207D"/>
    <w:rsid w:val="00DF6FEC"/>
    <w:rsid w:val="00E13ED9"/>
    <w:rsid w:val="00E16FAC"/>
    <w:rsid w:val="00E23345"/>
    <w:rsid w:val="00E255B1"/>
    <w:rsid w:val="00E40725"/>
    <w:rsid w:val="00E433AD"/>
    <w:rsid w:val="00E55EDB"/>
    <w:rsid w:val="00E600A6"/>
    <w:rsid w:val="00E61AEC"/>
    <w:rsid w:val="00E62377"/>
    <w:rsid w:val="00E634B8"/>
    <w:rsid w:val="00E71C5B"/>
    <w:rsid w:val="00E720B7"/>
    <w:rsid w:val="00E810D7"/>
    <w:rsid w:val="00E82C5B"/>
    <w:rsid w:val="00E86DDF"/>
    <w:rsid w:val="00E926E6"/>
    <w:rsid w:val="00E96052"/>
    <w:rsid w:val="00EA0E1F"/>
    <w:rsid w:val="00EA1D4B"/>
    <w:rsid w:val="00EA270D"/>
    <w:rsid w:val="00EC4E18"/>
    <w:rsid w:val="00ED134F"/>
    <w:rsid w:val="00ED2CBD"/>
    <w:rsid w:val="00ED5E5C"/>
    <w:rsid w:val="00EE0851"/>
    <w:rsid w:val="00EF6A5B"/>
    <w:rsid w:val="00F006B6"/>
    <w:rsid w:val="00F05BAF"/>
    <w:rsid w:val="00F07E8D"/>
    <w:rsid w:val="00F11972"/>
    <w:rsid w:val="00F15436"/>
    <w:rsid w:val="00F24234"/>
    <w:rsid w:val="00F30DF4"/>
    <w:rsid w:val="00F315B5"/>
    <w:rsid w:val="00F340BF"/>
    <w:rsid w:val="00F36E03"/>
    <w:rsid w:val="00F44AE7"/>
    <w:rsid w:val="00F527A7"/>
    <w:rsid w:val="00F54B83"/>
    <w:rsid w:val="00F57494"/>
    <w:rsid w:val="00F6503A"/>
    <w:rsid w:val="00F65B54"/>
    <w:rsid w:val="00F71AEE"/>
    <w:rsid w:val="00F8043D"/>
    <w:rsid w:val="00F8051F"/>
    <w:rsid w:val="00F90EE9"/>
    <w:rsid w:val="00F9310D"/>
    <w:rsid w:val="00F95785"/>
    <w:rsid w:val="00F97F53"/>
    <w:rsid w:val="00FD0999"/>
    <w:rsid w:val="00FD1864"/>
    <w:rsid w:val="00FD6C1F"/>
    <w:rsid w:val="00FF49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F6FEC"/>
    <w:pPr>
      <w:bidi/>
      <w:spacing w:after="0" w:line="360" w:lineRule="auto"/>
      <w:jc w:val="both"/>
    </w:pPr>
    <w:rPr>
      <w:rFonts w:cs="David"/>
      <w:szCs w:val="24"/>
    </w:rPr>
  </w:style>
  <w:style w:type="paragraph" w:styleId="a4">
    <w:name w:val="footnote text"/>
    <w:basedOn w:val="a"/>
    <w:link w:val="a5"/>
    <w:uiPriority w:val="99"/>
    <w:unhideWhenUsed/>
    <w:rsid w:val="00DF6FEC"/>
    <w:pPr>
      <w:spacing w:after="0" w:line="240" w:lineRule="auto"/>
      <w:jc w:val="both"/>
    </w:pPr>
    <w:rPr>
      <w:rFonts w:ascii="Times New Roman" w:eastAsia="Times New Roman" w:hAnsi="Times New Roman" w:cs="David"/>
      <w:sz w:val="20"/>
      <w:szCs w:val="20"/>
    </w:rPr>
  </w:style>
  <w:style w:type="character" w:customStyle="1" w:styleId="a5">
    <w:name w:val="טקסט הערת שוליים תו"/>
    <w:basedOn w:val="a0"/>
    <w:link w:val="a4"/>
    <w:uiPriority w:val="99"/>
    <w:rsid w:val="00DF6FEC"/>
    <w:rPr>
      <w:rFonts w:ascii="Times New Roman" w:eastAsia="Times New Roman" w:hAnsi="Times New Roman" w:cs="David"/>
      <w:sz w:val="20"/>
      <w:szCs w:val="20"/>
    </w:rPr>
  </w:style>
  <w:style w:type="character" w:styleId="a6">
    <w:name w:val="footnote reference"/>
    <w:basedOn w:val="a0"/>
    <w:uiPriority w:val="99"/>
    <w:semiHidden/>
    <w:unhideWhenUsed/>
    <w:rsid w:val="00DF6FEC"/>
    <w:rPr>
      <w:vertAlign w:val="superscript"/>
    </w:rPr>
  </w:style>
  <w:style w:type="paragraph" w:styleId="a7">
    <w:name w:val="endnote text"/>
    <w:basedOn w:val="a"/>
    <w:link w:val="a8"/>
    <w:unhideWhenUsed/>
    <w:rsid w:val="00094651"/>
    <w:pPr>
      <w:spacing w:after="0" w:line="240" w:lineRule="auto"/>
    </w:pPr>
    <w:rPr>
      <w:rFonts w:ascii="Times New Roman" w:eastAsia="Times New Roman" w:hAnsi="Times New Roman" w:cs="Times New Roman"/>
      <w:sz w:val="20"/>
      <w:szCs w:val="20"/>
    </w:rPr>
  </w:style>
  <w:style w:type="character" w:customStyle="1" w:styleId="a8">
    <w:name w:val="טקסט הערת סיום תו"/>
    <w:basedOn w:val="a0"/>
    <w:link w:val="a7"/>
    <w:rsid w:val="00094651"/>
    <w:rPr>
      <w:rFonts w:ascii="Times New Roman" w:eastAsia="Times New Roman" w:hAnsi="Times New Roman" w:cs="Times New Roman"/>
      <w:sz w:val="20"/>
      <w:szCs w:val="20"/>
    </w:rPr>
  </w:style>
  <w:style w:type="character" w:styleId="a9">
    <w:name w:val="endnote reference"/>
    <w:basedOn w:val="a0"/>
    <w:uiPriority w:val="99"/>
    <w:semiHidden/>
    <w:unhideWhenUsed/>
    <w:rsid w:val="0018526F"/>
    <w:rPr>
      <w:vertAlign w:val="superscript"/>
    </w:rPr>
  </w:style>
  <w:style w:type="table" w:styleId="aa">
    <w:name w:val="Table Grid"/>
    <w:basedOn w:val="a1"/>
    <w:rsid w:val="007637EF"/>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E16FAC"/>
    <w:pPr>
      <w:tabs>
        <w:tab w:val="center" w:pos="4153"/>
        <w:tab w:val="right" w:pos="8306"/>
      </w:tabs>
      <w:spacing w:after="0" w:line="240" w:lineRule="auto"/>
    </w:pPr>
  </w:style>
  <w:style w:type="character" w:customStyle="1" w:styleId="ac">
    <w:name w:val="כותרת עליונה תו"/>
    <w:basedOn w:val="a0"/>
    <w:link w:val="ab"/>
    <w:uiPriority w:val="99"/>
    <w:rsid w:val="00E16FAC"/>
  </w:style>
  <w:style w:type="paragraph" w:styleId="ad">
    <w:name w:val="footer"/>
    <w:basedOn w:val="a"/>
    <w:link w:val="ae"/>
    <w:uiPriority w:val="99"/>
    <w:unhideWhenUsed/>
    <w:rsid w:val="00E16FAC"/>
    <w:pPr>
      <w:tabs>
        <w:tab w:val="center" w:pos="4153"/>
        <w:tab w:val="right" w:pos="8306"/>
      </w:tabs>
      <w:spacing w:after="0" w:line="240" w:lineRule="auto"/>
    </w:pPr>
  </w:style>
  <w:style w:type="character" w:customStyle="1" w:styleId="ae">
    <w:name w:val="כותרת תחתונה תו"/>
    <w:basedOn w:val="a0"/>
    <w:link w:val="ad"/>
    <w:uiPriority w:val="99"/>
    <w:rsid w:val="00E16FAC"/>
  </w:style>
  <w:style w:type="paragraph" w:styleId="af">
    <w:name w:val="Balloon Text"/>
    <w:basedOn w:val="a"/>
    <w:link w:val="af0"/>
    <w:uiPriority w:val="99"/>
    <w:semiHidden/>
    <w:unhideWhenUsed/>
    <w:rsid w:val="007E5957"/>
    <w:pPr>
      <w:spacing w:after="0" w:line="240" w:lineRule="auto"/>
    </w:pPr>
    <w:rPr>
      <w:rFonts w:ascii="Tahoma" w:hAnsi="Tahoma" w:cs="Tahoma"/>
      <w:sz w:val="16"/>
      <w:szCs w:val="16"/>
    </w:rPr>
  </w:style>
  <w:style w:type="character" w:customStyle="1" w:styleId="af0">
    <w:name w:val="טקסט בלונים תו"/>
    <w:basedOn w:val="a0"/>
    <w:link w:val="af"/>
    <w:uiPriority w:val="99"/>
    <w:semiHidden/>
    <w:rsid w:val="007E59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F6FEC"/>
    <w:pPr>
      <w:bidi/>
      <w:spacing w:after="0" w:line="360" w:lineRule="auto"/>
      <w:jc w:val="both"/>
    </w:pPr>
    <w:rPr>
      <w:rFonts w:cs="David"/>
      <w:szCs w:val="24"/>
    </w:rPr>
  </w:style>
  <w:style w:type="paragraph" w:styleId="a4">
    <w:name w:val="footnote text"/>
    <w:basedOn w:val="a"/>
    <w:link w:val="a5"/>
    <w:uiPriority w:val="99"/>
    <w:unhideWhenUsed/>
    <w:rsid w:val="00DF6FEC"/>
    <w:pPr>
      <w:spacing w:after="0" w:line="240" w:lineRule="auto"/>
      <w:jc w:val="both"/>
    </w:pPr>
    <w:rPr>
      <w:rFonts w:ascii="Times New Roman" w:eastAsia="Times New Roman" w:hAnsi="Times New Roman" w:cs="David"/>
      <w:sz w:val="20"/>
      <w:szCs w:val="20"/>
    </w:rPr>
  </w:style>
  <w:style w:type="character" w:customStyle="1" w:styleId="a5">
    <w:name w:val="טקסט הערת שוליים תו"/>
    <w:basedOn w:val="a0"/>
    <w:link w:val="a4"/>
    <w:uiPriority w:val="99"/>
    <w:rsid w:val="00DF6FEC"/>
    <w:rPr>
      <w:rFonts w:ascii="Times New Roman" w:eastAsia="Times New Roman" w:hAnsi="Times New Roman" w:cs="David"/>
      <w:sz w:val="20"/>
      <w:szCs w:val="20"/>
    </w:rPr>
  </w:style>
  <w:style w:type="character" w:styleId="a6">
    <w:name w:val="footnote reference"/>
    <w:basedOn w:val="a0"/>
    <w:uiPriority w:val="99"/>
    <w:semiHidden/>
    <w:unhideWhenUsed/>
    <w:rsid w:val="00DF6FEC"/>
    <w:rPr>
      <w:vertAlign w:val="superscript"/>
    </w:rPr>
  </w:style>
  <w:style w:type="paragraph" w:styleId="a7">
    <w:name w:val="endnote text"/>
    <w:basedOn w:val="a"/>
    <w:link w:val="a8"/>
    <w:unhideWhenUsed/>
    <w:rsid w:val="00094651"/>
    <w:pPr>
      <w:spacing w:after="0" w:line="240" w:lineRule="auto"/>
    </w:pPr>
    <w:rPr>
      <w:rFonts w:ascii="Times New Roman" w:eastAsia="Times New Roman" w:hAnsi="Times New Roman" w:cs="Times New Roman"/>
      <w:sz w:val="20"/>
      <w:szCs w:val="20"/>
    </w:rPr>
  </w:style>
  <w:style w:type="character" w:customStyle="1" w:styleId="a8">
    <w:name w:val="טקסט הערת סיום תו"/>
    <w:basedOn w:val="a0"/>
    <w:link w:val="a7"/>
    <w:rsid w:val="00094651"/>
    <w:rPr>
      <w:rFonts w:ascii="Times New Roman" w:eastAsia="Times New Roman" w:hAnsi="Times New Roman" w:cs="Times New Roman"/>
      <w:sz w:val="20"/>
      <w:szCs w:val="20"/>
    </w:rPr>
  </w:style>
  <w:style w:type="character" w:styleId="a9">
    <w:name w:val="endnote reference"/>
    <w:basedOn w:val="a0"/>
    <w:uiPriority w:val="99"/>
    <w:semiHidden/>
    <w:unhideWhenUsed/>
    <w:rsid w:val="0018526F"/>
    <w:rPr>
      <w:vertAlign w:val="superscript"/>
    </w:rPr>
  </w:style>
  <w:style w:type="table" w:styleId="aa">
    <w:name w:val="Table Grid"/>
    <w:basedOn w:val="a1"/>
    <w:rsid w:val="007637EF"/>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E16FAC"/>
    <w:pPr>
      <w:tabs>
        <w:tab w:val="center" w:pos="4153"/>
        <w:tab w:val="right" w:pos="8306"/>
      </w:tabs>
      <w:spacing w:after="0" w:line="240" w:lineRule="auto"/>
    </w:pPr>
  </w:style>
  <w:style w:type="character" w:customStyle="1" w:styleId="ac">
    <w:name w:val="כותרת עליונה תו"/>
    <w:basedOn w:val="a0"/>
    <w:link w:val="ab"/>
    <w:uiPriority w:val="99"/>
    <w:rsid w:val="00E16FAC"/>
  </w:style>
  <w:style w:type="paragraph" w:styleId="ad">
    <w:name w:val="footer"/>
    <w:basedOn w:val="a"/>
    <w:link w:val="ae"/>
    <w:uiPriority w:val="99"/>
    <w:unhideWhenUsed/>
    <w:rsid w:val="00E16FAC"/>
    <w:pPr>
      <w:tabs>
        <w:tab w:val="center" w:pos="4153"/>
        <w:tab w:val="right" w:pos="8306"/>
      </w:tabs>
      <w:spacing w:after="0" w:line="240" w:lineRule="auto"/>
    </w:pPr>
  </w:style>
  <w:style w:type="character" w:customStyle="1" w:styleId="ae">
    <w:name w:val="כותרת תחתונה תו"/>
    <w:basedOn w:val="a0"/>
    <w:link w:val="ad"/>
    <w:uiPriority w:val="99"/>
    <w:rsid w:val="00E16FAC"/>
  </w:style>
  <w:style w:type="paragraph" w:styleId="af">
    <w:name w:val="Balloon Text"/>
    <w:basedOn w:val="a"/>
    <w:link w:val="af0"/>
    <w:uiPriority w:val="99"/>
    <w:semiHidden/>
    <w:unhideWhenUsed/>
    <w:rsid w:val="007E5957"/>
    <w:pPr>
      <w:spacing w:after="0" w:line="240" w:lineRule="auto"/>
    </w:pPr>
    <w:rPr>
      <w:rFonts w:ascii="Tahoma" w:hAnsi="Tahoma" w:cs="Tahoma"/>
      <w:sz w:val="16"/>
      <w:szCs w:val="16"/>
    </w:rPr>
  </w:style>
  <w:style w:type="character" w:customStyle="1" w:styleId="af0">
    <w:name w:val="טקסט בלונים תו"/>
    <w:basedOn w:val="a0"/>
    <w:link w:val="af"/>
    <w:uiPriority w:val="99"/>
    <w:semiHidden/>
    <w:rsid w:val="007E59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A847E-D4B9-499B-A2C0-F1C835F4D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1366</Words>
  <Characters>6835</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Ben Hur</dc:creator>
  <cp:lastModifiedBy>Jonathan Ben Hur</cp:lastModifiedBy>
  <cp:revision>3</cp:revision>
  <cp:lastPrinted>2013-06-09T20:45:00Z</cp:lastPrinted>
  <dcterms:created xsi:type="dcterms:W3CDTF">2013-07-05T04:43:00Z</dcterms:created>
  <dcterms:modified xsi:type="dcterms:W3CDTF">2013-07-05T04:44:00Z</dcterms:modified>
</cp:coreProperties>
</file>