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4"/>
        <w:bidiVisual/>
        <w:tblW w:w="11485" w:type="dxa"/>
        <w:tblInd w:w="-1653" w:type="dxa"/>
        <w:tblLook w:val="04A0" w:firstRow="1" w:lastRow="0" w:firstColumn="1" w:lastColumn="0" w:noHBand="0" w:noVBand="1"/>
      </w:tblPr>
      <w:tblGrid>
        <w:gridCol w:w="1893"/>
        <w:gridCol w:w="2787"/>
        <w:gridCol w:w="6805"/>
      </w:tblGrid>
      <w:tr w:rsidR="00086D6F" w:rsidTr="00923E1D">
        <w:tc>
          <w:tcPr>
            <w:tcW w:w="1893" w:type="dxa"/>
          </w:tcPr>
          <w:p w:rsidR="00086D6F" w:rsidRPr="00086D6F" w:rsidRDefault="00086D6F" w:rsidP="00CB7B26">
            <w:pPr>
              <w:pStyle w:val="a3"/>
              <w:spacing w:line="360" w:lineRule="auto"/>
              <w:jc w:val="both"/>
              <w:rPr>
                <w:rFonts w:cs="David"/>
                <w:b/>
                <w:bCs/>
                <w:rtl/>
              </w:rPr>
            </w:pPr>
            <w:r w:rsidRPr="00086D6F">
              <w:rPr>
                <w:rFonts w:cs="David" w:hint="cs"/>
                <w:b/>
                <w:bCs/>
                <w:rtl/>
              </w:rPr>
              <w:t>שם פס"ד</w:t>
            </w:r>
          </w:p>
        </w:tc>
        <w:tc>
          <w:tcPr>
            <w:tcW w:w="2787" w:type="dxa"/>
          </w:tcPr>
          <w:p w:rsidR="00086D6F" w:rsidRPr="00086D6F" w:rsidRDefault="00086D6F" w:rsidP="00CB7B26">
            <w:pPr>
              <w:pStyle w:val="a3"/>
              <w:spacing w:line="360" w:lineRule="auto"/>
              <w:jc w:val="both"/>
              <w:rPr>
                <w:rFonts w:cs="David"/>
                <w:b/>
                <w:bCs/>
                <w:rtl/>
              </w:rPr>
            </w:pPr>
            <w:r w:rsidRPr="00086D6F">
              <w:rPr>
                <w:rFonts w:cs="David" w:hint="cs"/>
                <w:b/>
                <w:bCs/>
                <w:rtl/>
              </w:rPr>
              <w:t>עובדות</w:t>
            </w:r>
          </w:p>
        </w:tc>
        <w:tc>
          <w:tcPr>
            <w:tcW w:w="6805" w:type="dxa"/>
          </w:tcPr>
          <w:p w:rsidR="00086D6F" w:rsidRPr="00086D6F" w:rsidRDefault="00086D6F" w:rsidP="00CB7B26">
            <w:pPr>
              <w:pStyle w:val="a3"/>
              <w:tabs>
                <w:tab w:val="right" w:pos="5313"/>
              </w:tabs>
              <w:spacing w:line="360" w:lineRule="auto"/>
              <w:jc w:val="both"/>
              <w:rPr>
                <w:rFonts w:cs="David"/>
                <w:b/>
                <w:bCs/>
                <w:rtl/>
              </w:rPr>
            </w:pPr>
            <w:r w:rsidRPr="00086D6F">
              <w:rPr>
                <w:rFonts w:cs="David" w:hint="cs"/>
                <w:b/>
                <w:bCs/>
                <w:rtl/>
              </w:rPr>
              <w:t>הכרעה</w:t>
            </w:r>
            <w:r w:rsidR="00923E1D">
              <w:rPr>
                <w:rFonts w:cs="David"/>
                <w:b/>
                <w:bCs/>
                <w:rtl/>
              </w:rPr>
              <w:tab/>
            </w:r>
          </w:p>
        </w:tc>
      </w:tr>
      <w:tr w:rsidR="00086D6F" w:rsidTr="00923E1D">
        <w:trPr>
          <w:trHeight w:val="10924"/>
        </w:trPr>
        <w:tc>
          <w:tcPr>
            <w:tcW w:w="1893" w:type="dxa"/>
          </w:tcPr>
          <w:p w:rsidR="00086D6F" w:rsidRDefault="00086D6F" w:rsidP="00CB7B26">
            <w:pPr>
              <w:pStyle w:val="a3"/>
              <w:spacing w:line="360" w:lineRule="auto"/>
              <w:jc w:val="both"/>
              <w:rPr>
                <w:rFonts w:cs="David"/>
                <w:rtl/>
              </w:rPr>
            </w:pPr>
            <w:r>
              <w:rPr>
                <w:rFonts w:cs="David" w:hint="cs"/>
                <w:rtl/>
              </w:rPr>
              <w:t>ד"נ אבוטבול</w:t>
            </w:r>
          </w:p>
        </w:tc>
        <w:tc>
          <w:tcPr>
            <w:tcW w:w="2787" w:type="dxa"/>
          </w:tcPr>
          <w:p w:rsidR="00086D6F" w:rsidRDefault="00086D6F" w:rsidP="00CB7B26">
            <w:pPr>
              <w:pStyle w:val="a3"/>
              <w:spacing w:line="360" w:lineRule="auto"/>
              <w:jc w:val="both"/>
              <w:rPr>
                <w:rFonts w:cs="David"/>
                <w:rtl/>
              </w:rPr>
            </w:pPr>
            <w:r>
              <w:rPr>
                <w:rFonts w:cs="David" w:hint="cs"/>
                <w:rtl/>
              </w:rPr>
              <w:t>ד"נ על זיכוי מהרשעה באונס</w:t>
            </w:r>
            <w:r w:rsidR="00E77C9F">
              <w:rPr>
                <w:rFonts w:cs="David" w:hint="cs"/>
                <w:rtl/>
              </w:rPr>
              <w:t>.</w:t>
            </w:r>
          </w:p>
          <w:p w:rsidR="00E77C9F" w:rsidRPr="00086D6F" w:rsidRDefault="00E77C9F" w:rsidP="00CB7B26">
            <w:pPr>
              <w:pStyle w:val="a3"/>
              <w:spacing w:line="360" w:lineRule="auto"/>
              <w:jc w:val="both"/>
              <w:rPr>
                <w:rFonts w:cs="David"/>
                <w:rtl/>
              </w:rPr>
            </w:pPr>
            <w:r>
              <w:rPr>
                <w:rFonts w:cs="David" w:hint="cs"/>
                <w:rtl/>
              </w:rPr>
              <w:t xml:space="preserve">הכרעה עפ"י זמיר, הרשעת הנאשם. </w:t>
            </w:r>
          </w:p>
        </w:tc>
        <w:tc>
          <w:tcPr>
            <w:tcW w:w="6805" w:type="dxa"/>
          </w:tcPr>
          <w:p w:rsidR="00086D6F" w:rsidRDefault="004F61E6" w:rsidP="00CB7B26">
            <w:pPr>
              <w:pStyle w:val="a3"/>
              <w:spacing w:line="360" w:lineRule="auto"/>
              <w:jc w:val="both"/>
              <w:rPr>
                <w:rFonts w:cs="David"/>
                <w:rtl/>
              </w:rPr>
            </w:pPr>
            <w:r w:rsidRPr="004F61E6">
              <w:rPr>
                <w:rFonts w:cs="David" w:hint="cs"/>
                <w:u w:val="single"/>
                <w:rtl/>
              </w:rPr>
              <w:t>זמיר:</w:t>
            </w:r>
            <w:r>
              <w:rPr>
                <w:rFonts w:cs="David" w:hint="cs"/>
                <w:rtl/>
              </w:rPr>
              <w:t xml:space="preserve"> </w:t>
            </w:r>
            <w:r w:rsidR="00086D6F">
              <w:rPr>
                <w:rFonts w:cs="David" w:hint="cs"/>
                <w:rtl/>
              </w:rPr>
              <w:t>*</w:t>
            </w:r>
            <w:r w:rsidR="00086D6F" w:rsidRPr="00086D6F">
              <w:rPr>
                <w:rFonts w:cs="David" w:hint="cs"/>
                <w:rtl/>
              </w:rPr>
              <w:t>התוצאות של בדיקת פוליגרף אינן קבילות כראיה במשפטים פליליים, להוציא הליכי ביניים, כגון הליכי מעצר.</w:t>
            </w:r>
          </w:p>
          <w:p w:rsidR="00086D6F" w:rsidRDefault="00086D6F" w:rsidP="00CB7B26">
            <w:pPr>
              <w:pStyle w:val="a3"/>
              <w:spacing w:line="360" w:lineRule="auto"/>
              <w:jc w:val="both"/>
              <w:rPr>
                <w:rFonts w:cs="David"/>
                <w:rtl/>
              </w:rPr>
            </w:pPr>
            <w:r>
              <w:rPr>
                <w:rFonts w:cs="David" w:hint="cs"/>
                <w:rtl/>
              </w:rPr>
              <w:t>*</w:t>
            </w:r>
            <w:r w:rsidRPr="00086D6F">
              <w:rPr>
                <w:rFonts w:cs="David" w:hint="cs"/>
                <w:rtl/>
              </w:rPr>
              <w:t>חזקה היא שבית-המשפט יודע את הדין, נשמר היטב שלא להתחשב כלל בראיה פסולה, ובפועל הכ</w:t>
            </w:r>
            <w:r>
              <w:rPr>
                <w:rFonts w:cs="David" w:hint="cs"/>
                <w:rtl/>
              </w:rPr>
              <w:t xml:space="preserve">ריע בדין כשהוא מתעלם מאותה ראיה, גם אם היא אוזכרה בפס"ד. </w:t>
            </w:r>
          </w:p>
          <w:p w:rsidR="00086D6F" w:rsidRDefault="00086D6F" w:rsidP="00CB7B26">
            <w:pPr>
              <w:pStyle w:val="a3"/>
              <w:spacing w:line="360" w:lineRule="auto"/>
              <w:jc w:val="both"/>
              <w:rPr>
                <w:rFonts w:cs="David"/>
                <w:rtl/>
              </w:rPr>
            </w:pPr>
            <w:r>
              <w:rPr>
                <w:rFonts w:cs="David" w:hint="cs"/>
                <w:rtl/>
              </w:rPr>
              <w:t xml:space="preserve">*חזקה זו ניתנת לסתירה, לפי סעיף 56, ביהמ"ש </w:t>
            </w:r>
            <w:r w:rsidRPr="00086D6F">
              <w:rPr>
                <w:rFonts w:cs="David" w:hint="cs"/>
                <w:rtl/>
              </w:rPr>
              <w:t>לערעורים לא יפסול פסק-דין בשל ראיה פסולה, גם אם הראיה אוזכרה בפסק-</w:t>
            </w:r>
            <w:r>
              <w:rPr>
                <w:rFonts w:cs="David" w:hint="cs"/>
                <w:rtl/>
              </w:rPr>
              <w:t xml:space="preserve">הדין, אלא אם הוא "סבור": </w:t>
            </w:r>
            <w:r w:rsidRPr="00086D6F">
              <w:rPr>
                <w:rFonts w:cs="David" w:hint="cs"/>
                <w:rtl/>
              </w:rPr>
              <w:t>א) "שהנאשם לא היה מורשע אילולא נמסרה אותה ראיה" או ב) "שאין ראיה מספקת אחרת זולתה לתמוך בה את ההרשעה".</w:t>
            </w:r>
          </w:p>
          <w:p w:rsidR="00086D6F" w:rsidRDefault="00086D6F" w:rsidP="00CB7B26">
            <w:pPr>
              <w:pStyle w:val="a3"/>
              <w:spacing w:line="360" w:lineRule="auto"/>
              <w:jc w:val="both"/>
              <w:rPr>
                <w:rFonts w:cs="David"/>
                <w:rtl/>
              </w:rPr>
            </w:pPr>
            <w:r>
              <w:rPr>
                <w:rFonts w:cs="David" w:hint="cs"/>
                <w:rtl/>
              </w:rPr>
              <w:t>ס' א-</w:t>
            </w:r>
            <w:r w:rsidR="00071A51">
              <w:rPr>
                <w:rFonts w:cs="David" w:hint="cs"/>
                <w:rtl/>
              </w:rPr>
              <w:t xml:space="preserve"> מבחן סובייקטיבי. שאלה עובדתית. איך השופט בביהמ"ש קמא היה מחליט לולא אותה ראייה. </w:t>
            </w:r>
          </w:p>
          <w:p w:rsidR="00086D6F" w:rsidRDefault="00086D6F" w:rsidP="00CB7B26">
            <w:pPr>
              <w:pStyle w:val="a3"/>
              <w:spacing w:line="360" w:lineRule="auto"/>
              <w:jc w:val="both"/>
              <w:rPr>
                <w:rFonts w:cs="David"/>
                <w:rtl/>
              </w:rPr>
            </w:pPr>
            <w:r>
              <w:rPr>
                <w:rFonts w:cs="David" w:hint="cs"/>
                <w:rtl/>
              </w:rPr>
              <w:t xml:space="preserve">ס' ב-מבחן אובייקטיבי. </w:t>
            </w:r>
            <w:r w:rsidR="00071A51">
              <w:rPr>
                <w:rFonts w:cs="David" w:hint="cs"/>
                <w:rtl/>
              </w:rPr>
              <w:t xml:space="preserve">החלטה על סמך הראיות הכשרות, תוך התעלמות מהראיה הפסולה. </w:t>
            </w:r>
          </w:p>
          <w:p w:rsidR="00071A51" w:rsidRDefault="00C430A0" w:rsidP="00CB7B26">
            <w:pPr>
              <w:pStyle w:val="a3"/>
              <w:spacing w:line="360" w:lineRule="auto"/>
              <w:jc w:val="both"/>
              <w:rPr>
                <w:rFonts w:cs="David"/>
                <w:rtl/>
              </w:rPr>
            </w:pPr>
            <w:r>
              <w:rPr>
                <w:rFonts w:cs="David" w:hint="cs"/>
                <w:rtl/>
              </w:rPr>
              <w:t>*</w:t>
            </w:r>
            <w:r w:rsidR="00071A51">
              <w:rPr>
                <w:rFonts w:cs="David" w:hint="cs"/>
                <w:rtl/>
              </w:rPr>
              <w:t xml:space="preserve">המבחנים חלופיים. </w:t>
            </w:r>
          </w:p>
          <w:p w:rsidR="00071A51" w:rsidRDefault="00071A51" w:rsidP="00CB7B26">
            <w:pPr>
              <w:pStyle w:val="a3"/>
              <w:spacing w:line="360" w:lineRule="auto"/>
              <w:jc w:val="both"/>
              <w:rPr>
                <w:rFonts w:cs="David"/>
                <w:rtl/>
              </w:rPr>
            </w:pPr>
            <w:r>
              <w:rPr>
                <w:rFonts w:cs="David" w:hint="cs"/>
                <w:rtl/>
              </w:rPr>
              <w:t>*כאשר ביהמ"ש</w:t>
            </w:r>
            <w:r w:rsidRPr="00071A51">
              <w:rPr>
                <w:rFonts w:cs="David" w:hint="cs"/>
                <w:rtl/>
              </w:rPr>
              <w:t xml:space="preserve"> לערעורים מגיע למסקנה כי הנאשם לא היה מורשע אילולא הראיה הפסולה, דרך המלך היא, בהיעדר נסיבות מיוחדות, לפסול את ההרשעה ולהחזיר את התיק עם הנחיות לבית-</w:t>
            </w:r>
            <w:r>
              <w:rPr>
                <w:rFonts w:cs="David" w:hint="cs"/>
                <w:rtl/>
              </w:rPr>
              <w:t xml:space="preserve">משפט קמא (התעלמות מהראיה הפסולה). </w:t>
            </w:r>
          </w:p>
          <w:p w:rsidR="00855BDC" w:rsidRDefault="00855BDC" w:rsidP="00CB7B26">
            <w:pPr>
              <w:pStyle w:val="a3"/>
              <w:spacing w:line="360" w:lineRule="auto"/>
              <w:jc w:val="both"/>
              <w:rPr>
                <w:rFonts w:cs="David"/>
                <w:rtl/>
              </w:rPr>
            </w:pPr>
            <w:r>
              <w:rPr>
                <w:rFonts w:cs="David" w:hint="cs"/>
                <w:rtl/>
              </w:rPr>
              <w:t xml:space="preserve">*מידת ההוכחה הנדרשת למבחנים- ספק סביר. </w:t>
            </w:r>
          </w:p>
          <w:p w:rsidR="00855BDC" w:rsidRDefault="00C430A0" w:rsidP="00CB7B26">
            <w:pPr>
              <w:pStyle w:val="a3"/>
              <w:spacing w:line="360" w:lineRule="auto"/>
              <w:jc w:val="both"/>
              <w:rPr>
                <w:rFonts w:cs="David"/>
                <w:rtl/>
              </w:rPr>
            </w:pPr>
            <w:r>
              <w:rPr>
                <w:rFonts w:cs="David" w:hint="cs"/>
                <w:rtl/>
              </w:rPr>
              <w:t>*</w:t>
            </w:r>
            <w:r w:rsidR="00855BDC">
              <w:rPr>
                <w:rFonts w:cs="David" w:hint="cs"/>
                <w:rtl/>
              </w:rPr>
              <w:t xml:space="preserve">השאלה מתי קיים ספק סביר תלויה בנסיבותיו המיוחדות של כל מקרה. </w:t>
            </w:r>
          </w:p>
          <w:p w:rsidR="004F61E6" w:rsidRDefault="004F61E6" w:rsidP="00CB7B26">
            <w:pPr>
              <w:pStyle w:val="a3"/>
              <w:spacing w:line="360" w:lineRule="auto"/>
              <w:jc w:val="both"/>
              <w:rPr>
                <w:rFonts w:cs="David"/>
                <w:rtl/>
              </w:rPr>
            </w:pPr>
            <w:r w:rsidRPr="004F61E6">
              <w:rPr>
                <w:rFonts w:cs="David" w:hint="cs"/>
                <w:u w:val="single"/>
                <w:rtl/>
              </w:rPr>
              <w:t xml:space="preserve">חשין: </w:t>
            </w:r>
            <w:r>
              <w:rPr>
                <w:rFonts w:cs="David" w:hint="cs"/>
                <w:rtl/>
              </w:rPr>
              <w:t xml:space="preserve">*די </w:t>
            </w:r>
            <w:proofErr w:type="spellStart"/>
            <w:r>
              <w:rPr>
                <w:rFonts w:cs="David" w:hint="cs"/>
                <w:rtl/>
              </w:rPr>
              <w:t>בקש"ס</w:t>
            </w:r>
            <w:proofErr w:type="spellEnd"/>
            <w:r>
              <w:rPr>
                <w:rFonts w:cs="David" w:hint="cs"/>
                <w:rtl/>
              </w:rPr>
              <w:t xml:space="preserve"> כלשהו בין הראיה הפסולה לבין הכרעת הדין כדי להביא לפסילת הרשעה. </w:t>
            </w:r>
          </w:p>
          <w:p w:rsidR="004F61E6" w:rsidRDefault="004F61E6" w:rsidP="00CB7B26">
            <w:pPr>
              <w:pStyle w:val="a3"/>
              <w:spacing w:line="360" w:lineRule="auto"/>
              <w:jc w:val="both"/>
              <w:rPr>
                <w:rFonts w:cs="David"/>
                <w:rtl/>
              </w:rPr>
            </w:pPr>
            <w:r>
              <w:rPr>
                <w:rFonts w:cs="David" w:hint="cs"/>
                <w:rtl/>
              </w:rPr>
              <w:t>*כאשר ישנן ראיות נוספות, ביהמ"ש יכול לבחור אחת משלושת הדרכים הבאות:</w:t>
            </w:r>
            <w:r w:rsidRPr="004F61E6">
              <w:rPr>
                <w:rFonts w:cs="David" w:hint="cs"/>
                <w:rtl/>
              </w:rPr>
              <w:t xml:space="preserve"> לאשר את פסק ההרשעה, שלא מטעמיו של בית-משפט קמא (או שלא מכל טעמיו); להחזיר את הדיון לבית-משפט קמא לשיקול-דעתו מחדש; לזכות את הנאשם.</w:t>
            </w:r>
            <w:r>
              <w:rPr>
                <w:rFonts w:cs="David" w:hint="cs"/>
                <w:rtl/>
              </w:rPr>
              <w:t xml:space="preserve"> (בניגוד לדעתו של זמיר ביחס ל"דרך המלך").</w:t>
            </w:r>
          </w:p>
          <w:p w:rsidR="0095194D" w:rsidRDefault="0095194D" w:rsidP="00CB7B26">
            <w:pPr>
              <w:pStyle w:val="a3"/>
              <w:spacing w:line="360" w:lineRule="auto"/>
              <w:jc w:val="both"/>
              <w:rPr>
                <w:rFonts w:cs="David"/>
                <w:i/>
                <w:iCs/>
                <w:u w:val="single"/>
                <w:rtl/>
              </w:rPr>
            </w:pPr>
            <w:r w:rsidRPr="0095194D">
              <w:rPr>
                <w:rFonts w:cs="David" w:hint="cs"/>
                <w:u w:val="single"/>
                <w:rtl/>
              </w:rPr>
              <w:t>בך:</w:t>
            </w:r>
            <w:r w:rsidRPr="0095194D">
              <w:rPr>
                <w:rFonts w:cs="David" w:hint="cs"/>
                <w:rtl/>
              </w:rPr>
              <w:t xml:space="preserve"> </w:t>
            </w:r>
            <w:r>
              <w:rPr>
                <w:rFonts w:cs="David" w:hint="cs"/>
                <w:rtl/>
              </w:rPr>
              <w:t>*</w:t>
            </w:r>
            <w:r w:rsidRPr="0095194D">
              <w:rPr>
                <w:rFonts w:cs="David" w:hint="cs"/>
                <w:rtl/>
              </w:rPr>
              <w:t>הגורמים העיקריים שאותם יש לשקול במסגרת הבחינה אם היה בהבאת הראיה הפסולה לפני השופט כדי להשפיע עליו לחזק את שכנועו באשמת הנאשם, הם: מידת הרלוואנטיות של הראיה הפסולה, ומ</w:t>
            </w:r>
            <w:r>
              <w:rPr>
                <w:rFonts w:cs="David" w:hint="cs"/>
                <w:rtl/>
              </w:rPr>
              <w:t>שקלן המצטבר של יתר הראיות בתיק.</w:t>
            </w:r>
          </w:p>
          <w:p w:rsidR="00923E1D" w:rsidRPr="00923E1D" w:rsidRDefault="00A53F9E" w:rsidP="00CB7B26">
            <w:pPr>
              <w:pStyle w:val="a3"/>
              <w:spacing w:line="360" w:lineRule="auto"/>
              <w:jc w:val="both"/>
              <w:rPr>
                <w:rFonts w:cs="David"/>
                <w:rtl/>
              </w:rPr>
            </w:pPr>
            <w:r>
              <w:rPr>
                <w:rFonts w:cs="David" w:hint="cs"/>
                <w:rtl/>
              </w:rPr>
              <w:t>*</w:t>
            </w:r>
            <w:r w:rsidRPr="00A53F9E">
              <w:rPr>
                <w:rFonts w:cs="David" w:hint="cs"/>
                <w:rtl/>
              </w:rPr>
              <w:t>כל עוד לא הובהר במפורש על-ידי השופט אחרת, וכל עוד לא עולה כדבר הזה מכללא, נוטה הייתי לחזקה כי השופט הסתמך על הראיה הפסולה יותר מאשר לחזקה כי הוא לא נ</w:t>
            </w:r>
            <w:r w:rsidR="00C430A0">
              <w:rPr>
                <w:rFonts w:cs="David" w:hint="cs"/>
                <w:rtl/>
              </w:rPr>
              <w:t xml:space="preserve">סמך עליה. אין </w:t>
            </w:r>
            <w:r w:rsidRPr="00A53F9E">
              <w:rPr>
                <w:rFonts w:cs="David" w:hint="cs"/>
                <w:rtl/>
              </w:rPr>
              <w:t>מדובר בעובדה שולית, אלא בראיה הנוגעת במישרין לשאלת מהימנות המתלונ</w:t>
            </w:r>
            <w:r w:rsidR="00923E1D">
              <w:rPr>
                <w:rFonts w:cs="David" w:hint="cs"/>
                <w:rtl/>
              </w:rPr>
              <w:t>נת.</w:t>
            </w:r>
          </w:p>
        </w:tc>
      </w:tr>
      <w:tr w:rsidR="00086D6F" w:rsidTr="00923E1D">
        <w:tc>
          <w:tcPr>
            <w:tcW w:w="1893" w:type="dxa"/>
          </w:tcPr>
          <w:p w:rsidR="00086D6F" w:rsidRDefault="00AF4CAD" w:rsidP="00CB7B26">
            <w:pPr>
              <w:pStyle w:val="a3"/>
              <w:spacing w:line="360" w:lineRule="auto"/>
              <w:jc w:val="both"/>
              <w:rPr>
                <w:rFonts w:cs="David"/>
                <w:rtl/>
              </w:rPr>
            </w:pPr>
            <w:r>
              <w:rPr>
                <w:rFonts w:cs="David" w:hint="cs"/>
                <w:rtl/>
              </w:rPr>
              <w:t xml:space="preserve">ע"א </w:t>
            </w:r>
            <w:proofErr w:type="spellStart"/>
            <w:r>
              <w:rPr>
                <w:rFonts w:cs="David" w:hint="cs"/>
                <w:rtl/>
              </w:rPr>
              <w:t>סולפרד</w:t>
            </w:r>
            <w:proofErr w:type="spellEnd"/>
            <w:r>
              <w:rPr>
                <w:rFonts w:cs="David" w:hint="cs"/>
                <w:rtl/>
              </w:rPr>
              <w:t xml:space="preserve"> נ' </w:t>
            </w:r>
            <w:proofErr w:type="spellStart"/>
            <w:r>
              <w:rPr>
                <w:rFonts w:cs="David" w:hint="cs"/>
                <w:rtl/>
              </w:rPr>
              <w:t>עמישי</w:t>
            </w:r>
            <w:proofErr w:type="spellEnd"/>
          </w:p>
        </w:tc>
        <w:tc>
          <w:tcPr>
            <w:tcW w:w="2787" w:type="dxa"/>
          </w:tcPr>
          <w:p w:rsidR="00086D6F" w:rsidRDefault="00AF4CAD" w:rsidP="00CB7B26">
            <w:pPr>
              <w:pStyle w:val="a3"/>
              <w:spacing w:line="360" w:lineRule="auto"/>
              <w:jc w:val="both"/>
              <w:rPr>
                <w:rFonts w:cs="David"/>
                <w:rtl/>
              </w:rPr>
            </w:pPr>
            <w:r>
              <w:rPr>
                <w:rFonts w:cs="David" w:hint="cs"/>
                <w:rtl/>
              </w:rPr>
              <w:t>מחלוקת על זמן הריסת מדרגות.</w:t>
            </w:r>
          </w:p>
        </w:tc>
        <w:tc>
          <w:tcPr>
            <w:tcW w:w="6805" w:type="dxa"/>
          </w:tcPr>
          <w:p w:rsidR="00086D6F" w:rsidRDefault="00AF4CAD" w:rsidP="00CB7B26">
            <w:pPr>
              <w:pStyle w:val="a3"/>
              <w:spacing w:line="360" w:lineRule="auto"/>
              <w:jc w:val="both"/>
              <w:rPr>
                <w:rFonts w:cs="David"/>
                <w:rtl/>
              </w:rPr>
            </w:pPr>
            <w:r>
              <w:rPr>
                <w:rFonts w:cs="David" w:hint="cs"/>
                <w:rtl/>
              </w:rPr>
              <w:t xml:space="preserve">*הפרקטיקה המקובלת בהקשר של בדיקת פוליגרף היא בדיקת שאלה אחת או שאלות מספר ולא העניין כולו. </w:t>
            </w:r>
          </w:p>
          <w:p w:rsidR="00AF4CAD" w:rsidRDefault="00AF4CAD" w:rsidP="00CB7B26">
            <w:pPr>
              <w:pStyle w:val="a3"/>
              <w:spacing w:line="360" w:lineRule="auto"/>
              <w:jc w:val="both"/>
              <w:rPr>
                <w:rFonts w:cs="David"/>
                <w:rtl/>
              </w:rPr>
            </w:pPr>
            <w:r>
              <w:rPr>
                <w:rFonts w:cs="David" w:hint="cs"/>
                <w:rtl/>
              </w:rPr>
              <w:t xml:space="preserve">*בדיקת פוליגרף משמשת כראיה בהליך בוררות בהסכמת שני הצדדים בלבד. </w:t>
            </w:r>
          </w:p>
        </w:tc>
      </w:tr>
      <w:tr w:rsidR="00086D6F" w:rsidTr="00923E1D">
        <w:tc>
          <w:tcPr>
            <w:tcW w:w="1893" w:type="dxa"/>
          </w:tcPr>
          <w:p w:rsidR="00086D6F" w:rsidRDefault="00EE6E28" w:rsidP="00CB7B26">
            <w:pPr>
              <w:pStyle w:val="a3"/>
              <w:spacing w:line="360" w:lineRule="auto"/>
              <w:jc w:val="both"/>
              <w:rPr>
                <w:rFonts w:cs="David"/>
                <w:rtl/>
              </w:rPr>
            </w:pPr>
            <w:r>
              <w:rPr>
                <w:rFonts w:cs="David" w:hint="cs"/>
                <w:rtl/>
              </w:rPr>
              <w:t xml:space="preserve">ע"א </w:t>
            </w:r>
            <w:proofErr w:type="spellStart"/>
            <w:r>
              <w:rPr>
                <w:rFonts w:cs="David" w:hint="cs"/>
                <w:rtl/>
              </w:rPr>
              <w:t>ביאזי</w:t>
            </w:r>
            <w:proofErr w:type="spellEnd"/>
          </w:p>
        </w:tc>
        <w:tc>
          <w:tcPr>
            <w:tcW w:w="2787" w:type="dxa"/>
          </w:tcPr>
          <w:p w:rsidR="00086D6F" w:rsidRDefault="00F57E43" w:rsidP="00CB7B26">
            <w:pPr>
              <w:pStyle w:val="a3"/>
              <w:spacing w:line="360" w:lineRule="auto"/>
              <w:jc w:val="both"/>
              <w:rPr>
                <w:rFonts w:cs="David"/>
                <w:rtl/>
              </w:rPr>
            </w:pPr>
            <w:r>
              <w:rPr>
                <w:rFonts w:cs="David" w:hint="cs"/>
                <w:rtl/>
              </w:rPr>
              <w:t xml:space="preserve">עסקה למכירת בצל שהתבטלה. </w:t>
            </w:r>
          </w:p>
        </w:tc>
        <w:tc>
          <w:tcPr>
            <w:tcW w:w="6805" w:type="dxa"/>
          </w:tcPr>
          <w:p w:rsidR="00EE6E28" w:rsidRDefault="00E31891" w:rsidP="00CB7B26">
            <w:pPr>
              <w:pStyle w:val="a3"/>
              <w:spacing w:line="360" w:lineRule="auto"/>
              <w:jc w:val="both"/>
              <w:rPr>
                <w:rFonts w:cs="David"/>
                <w:rtl/>
              </w:rPr>
            </w:pPr>
            <w:r w:rsidRPr="00E31891">
              <w:rPr>
                <w:rFonts w:cs="David" w:hint="cs"/>
                <w:u w:val="single"/>
                <w:rtl/>
              </w:rPr>
              <w:t>בך:</w:t>
            </w:r>
            <w:r>
              <w:rPr>
                <w:rFonts w:cs="David" w:hint="cs"/>
                <w:rtl/>
              </w:rPr>
              <w:t xml:space="preserve"> </w:t>
            </w:r>
            <w:r w:rsidR="00F91630">
              <w:rPr>
                <w:rFonts w:cs="David" w:hint="cs"/>
                <w:rtl/>
              </w:rPr>
              <w:t>*</w:t>
            </w:r>
            <w:r w:rsidR="00EE6E28" w:rsidRPr="00EE6E28">
              <w:rPr>
                <w:rFonts w:cs="David"/>
                <w:rtl/>
              </w:rPr>
              <w:t xml:space="preserve">תוצאות הפוליגרף טרם הוכחו כאמינות די הצורך כדי לשמש כראיות במשפטים פליליים (להבדיל מהליכי ביניים שבהם נדונה שאלת המשך מעצרו של חשוד או </w:t>
            </w:r>
            <w:r w:rsidR="00EE6E28">
              <w:rPr>
                <w:rFonts w:cs="David"/>
                <w:rtl/>
              </w:rPr>
              <w:t>נאשם, או בקשתו להשתחרר בערובה)</w:t>
            </w:r>
            <w:r w:rsidR="00EE6E28">
              <w:rPr>
                <w:rFonts w:cs="David" w:hint="cs"/>
                <w:rtl/>
              </w:rPr>
              <w:t>.</w:t>
            </w:r>
          </w:p>
          <w:p w:rsidR="00F91630" w:rsidRDefault="00F91630" w:rsidP="00CB7B26">
            <w:pPr>
              <w:pStyle w:val="a3"/>
              <w:spacing w:line="360" w:lineRule="auto"/>
              <w:jc w:val="both"/>
              <w:rPr>
                <w:rFonts w:cs="David"/>
                <w:rtl/>
              </w:rPr>
            </w:pPr>
            <w:r>
              <w:rPr>
                <w:rFonts w:cs="David" w:hint="cs"/>
                <w:rtl/>
              </w:rPr>
              <w:t>*</w:t>
            </w:r>
            <w:r w:rsidR="00EE6E28" w:rsidRPr="00EE6E28">
              <w:rPr>
                <w:rFonts w:cs="David"/>
                <w:rtl/>
              </w:rPr>
              <w:t xml:space="preserve">אין מניעה להתיר קבילותן של אותן תוצאות בהליכים אזרחיים. זאת בתנאי ששני הצדדים הביעו הסכמתם לעריכת הבדיקה ולהגשת תוצאותיה כראיה, וכן </w:t>
            </w:r>
            <w:r>
              <w:rPr>
                <w:rFonts w:cs="David"/>
                <w:rtl/>
              </w:rPr>
              <w:t xml:space="preserve">בכפוף </w:t>
            </w:r>
            <w:r>
              <w:rPr>
                <w:rFonts w:cs="David"/>
                <w:rtl/>
              </w:rPr>
              <w:lastRenderedPageBreak/>
              <w:t>לשיקול-דעתו של בית המשפט.</w:t>
            </w:r>
            <w:r>
              <w:rPr>
                <w:rFonts w:cs="David" w:hint="cs"/>
                <w:rtl/>
              </w:rPr>
              <w:t xml:space="preserve"> </w:t>
            </w:r>
          </w:p>
          <w:p w:rsidR="00086D6F" w:rsidRDefault="00F91630" w:rsidP="00CB7B26">
            <w:pPr>
              <w:pStyle w:val="a3"/>
              <w:spacing w:line="360" w:lineRule="auto"/>
              <w:jc w:val="both"/>
              <w:rPr>
                <w:rFonts w:cs="David"/>
                <w:rtl/>
              </w:rPr>
            </w:pPr>
            <w:r>
              <w:rPr>
                <w:rFonts w:cs="David" w:hint="cs"/>
                <w:rtl/>
              </w:rPr>
              <w:t xml:space="preserve">*אי התנגדות מצד היריב לגבי ראיה מסוימת יכולה להביא לקבילותה. </w:t>
            </w:r>
          </w:p>
          <w:p w:rsidR="00F91630" w:rsidRDefault="00F91630" w:rsidP="00CB7B26">
            <w:pPr>
              <w:pStyle w:val="a3"/>
              <w:spacing w:line="360" w:lineRule="auto"/>
              <w:jc w:val="both"/>
              <w:rPr>
                <w:rFonts w:cs="David"/>
                <w:rtl/>
              </w:rPr>
            </w:pPr>
            <w:r>
              <w:rPr>
                <w:rFonts w:cs="David" w:hint="cs"/>
                <w:rtl/>
              </w:rPr>
              <w:t>*לא די בהסכמת הצדדים, יש צורך להביא את הדבר להכרעה סופית של ביהמ"ש.</w:t>
            </w:r>
          </w:p>
          <w:p w:rsidR="00F91630" w:rsidRDefault="00F91630" w:rsidP="00CB7B26">
            <w:pPr>
              <w:pStyle w:val="a3"/>
              <w:spacing w:line="360" w:lineRule="auto"/>
              <w:jc w:val="both"/>
              <w:rPr>
                <w:rFonts w:cs="David"/>
                <w:rtl/>
              </w:rPr>
            </w:pPr>
            <w:r>
              <w:rPr>
                <w:rFonts w:cs="David" w:hint="cs"/>
                <w:rtl/>
              </w:rPr>
              <w:t xml:space="preserve">* אין להעביר את ההכרעה בעניין מהימנות </w:t>
            </w:r>
            <w:proofErr w:type="spellStart"/>
            <w:r>
              <w:rPr>
                <w:rFonts w:cs="David" w:hint="cs"/>
                <w:rtl/>
              </w:rPr>
              <w:t>הגירסאות</w:t>
            </w:r>
            <w:proofErr w:type="spellEnd"/>
            <w:r>
              <w:rPr>
                <w:rFonts w:cs="David" w:hint="cs"/>
                <w:rtl/>
              </w:rPr>
              <w:t xml:space="preserve"> העובדתיות לחלוטין ובאופן בלעדי לידי מכשיר הפוליגרף והבודק </w:t>
            </w:r>
            <w:proofErr w:type="spellStart"/>
            <w:r>
              <w:rPr>
                <w:rFonts w:cs="David" w:hint="cs"/>
                <w:rtl/>
              </w:rPr>
              <w:t>המפעילו</w:t>
            </w:r>
            <w:proofErr w:type="spellEnd"/>
            <w:r>
              <w:rPr>
                <w:rFonts w:cs="David" w:hint="cs"/>
                <w:rtl/>
              </w:rPr>
              <w:t xml:space="preserve">, אפילו נעשה הדבר בהסכמת הצדדים עצמם. </w:t>
            </w:r>
          </w:p>
          <w:p w:rsidR="00F91630" w:rsidRDefault="00F91630" w:rsidP="00CB7B26">
            <w:pPr>
              <w:pStyle w:val="a3"/>
              <w:spacing w:line="360" w:lineRule="auto"/>
              <w:jc w:val="both"/>
              <w:rPr>
                <w:rFonts w:cs="David"/>
                <w:rtl/>
              </w:rPr>
            </w:pPr>
            <w:r>
              <w:rPr>
                <w:rFonts w:cs="David" w:hint="cs"/>
                <w:rtl/>
              </w:rPr>
              <w:t>*לביהמ"ש יש את הסמכות הבלעדית להחלטה בדבר מהימנות העדים.</w:t>
            </w:r>
          </w:p>
          <w:p w:rsidR="00F91630" w:rsidRDefault="00F91630" w:rsidP="00CB7B26">
            <w:pPr>
              <w:pStyle w:val="a3"/>
              <w:spacing w:line="360" w:lineRule="auto"/>
              <w:jc w:val="both"/>
              <w:rPr>
                <w:rFonts w:cs="David"/>
                <w:rtl/>
              </w:rPr>
            </w:pPr>
            <w:r>
              <w:rPr>
                <w:rFonts w:cs="David" w:hint="cs"/>
                <w:rtl/>
              </w:rPr>
              <w:t>*במשפט האזרחי יש לצדדים יכולת להתנות על דיני הראיות ובכך להכשיר ראיה, שאחרת הייתה פסולה.</w:t>
            </w:r>
            <w:r w:rsidR="006F2918">
              <w:rPr>
                <w:rFonts w:cs="David" w:hint="cs"/>
                <w:rtl/>
              </w:rPr>
              <w:t xml:space="preserve"> הדבר אפשרי רק </w:t>
            </w:r>
            <w:r w:rsidR="006F2918" w:rsidRPr="006F2918">
              <w:rPr>
                <w:rFonts w:cs="David"/>
                <w:rtl/>
              </w:rPr>
              <w:t>כאשר אין בהסכמתם זו כדי לפגוע בסמכותו הבסיסית של בית המשפט, וכאשר אין היא נוגדת את טובת הציבור מסיבה אחרת</w:t>
            </w:r>
            <w:r w:rsidR="006F2918" w:rsidRPr="006F2918">
              <w:rPr>
                <w:rFonts w:cs="David"/>
              </w:rPr>
              <w:t>.</w:t>
            </w:r>
          </w:p>
          <w:p w:rsidR="004212F0" w:rsidRDefault="004212F0" w:rsidP="00CB7B26">
            <w:pPr>
              <w:pStyle w:val="a3"/>
              <w:spacing w:line="360" w:lineRule="auto"/>
              <w:jc w:val="both"/>
              <w:rPr>
                <w:rFonts w:cs="David"/>
                <w:rtl/>
              </w:rPr>
            </w:pPr>
            <w:r>
              <w:rPr>
                <w:rFonts w:cs="David" w:hint="cs"/>
                <w:rtl/>
              </w:rPr>
              <w:t>*</w:t>
            </w:r>
            <w:r>
              <w:rPr>
                <w:rFonts w:hint="cs"/>
                <w:rtl/>
              </w:rPr>
              <w:t xml:space="preserve"> </w:t>
            </w:r>
            <w:r w:rsidRPr="004212F0">
              <w:rPr>
                <w:rFonts w:cs="David" w:hint="cs"/>
                <w:rtl/>
              </w:rPr>
              <w:t>על</w:t>
            </w:r>
            <w:r w:rsidRPr="004212F0">
              <w:rPr>
                <w:rFonts w:cs="David"/>
                <w:rtl/>
              </w:rPr>
              <w:t xml:space="preserve"> </w:t>
            </w:r>
            <w:r w:rsidRPr="004212F0">
              <w:rPr>
                <w:rFonts w:cs="David" w:hint="cs"/>
                <w:rtl/>
              </w:rPr>
              <w:t>השופט</w:t>
            </w:r>
            <w:r w:rsidRPr="004212F0">
              <w:rPr>
                <w:rFonts w:cs="David"/>
                <w:rtl/>
              </w:rPr>
              <w:t xml:space="preserve"> </w:t>
            </w:r>
            <w:r w:rsidRPr="004212F0">
              <w:rPr>
                <w:rFonts w:cs="David" w:hint="cs"/>
                <w:rtl/>
              </w:rPr>
              <w:t>לשקול</w:t>
            </w:r>
            <w:r w:rsidRPr="004212F0">
              <w:rPr>
                <w:rFonts w:cs="David"/>
                <w:rtl/>
              </w:rPr>
              <w:t xml:space="preserve"> </w:t>
            </w:r>
            <w:r w:rsidRPr="004212F0">
              <w:rPr>
                <w:rFonts w:cs="David" w:hint="cs"/>
                <w:rtl/>
              </w:rPr>
              <w:t>את</w:t>
            </w:r>
            <w:r w:rsidRPr="004212F0">
              <w:rPr>
                <w:rFonts w:cs="David"/>
                <w:rtl/>
              </w:rPr>
              <w:t xml:space="preserve"> </w:t>
            </w:r>
            <w:r w:rsidRPr="004212F0">
              <w:rPr>
                <w:rFonts w:cs="David" w:hint="cs"/>
                <w:rtl/>
              </w:rPr>
              <w:t>תוצאות</w:t>
            </w:r>
            <w:r w:rsidRPr="004212F0">
              <w:rPr>
                <w:rFonts w:cs="David"/>
                <w:rtl/>
              </w:rPr>
              <w:t xml:space="preserve"> </w:t>
            </w:r>
            <w:r w:rsidRPr="004212F0">
              <w:rPr>
                <w:rFonts w:cs="David" w:hint="cs"/>
                <w:rtl/>
              </w:rPr>
              <w:t>בדיקת</w:t>
            </w:r>
            <w:r w:rsidRPr="004212F0">
              <w:rPr>
                <w:rFonts w:cs="David"/>
                <w:rtl/>
              </w:rPr>
              <w:t xml:space="preserve"> </w:t>
            </w:r>
            <w:r w:rsidRPr="004212F0">
              <w:rPr>
                <w:rFonts w:cs="David" w:hint="cs"/>
                <w:rtl/>
              </w:rPr>
              <w:t>הפוליגרף</w:t>
            </w:r>
            <w:r w:rsidRPr="004212F0">
              <w:rPr>
                <w:rFonts w:cs="David"/>
                <w:rtl/>
              </w:rPr>
              <w:t xml:space="preserve">, </w:t>
            </w:r>
            <w:r w:rsidRPr="004212F0">
              <w:rPr>
                <w:rFonts w:cs="David" w:hint="cs"/>
                <w:rtl/>
              </w:rPr>
              <w:t>אם</w:t>
            </w:r>
            <w:r w:rsidRPr="004212F0">
              <w:rPr>
                <w:rFonts w:cs="David"/>
                <w:rtl/>
              </w:rPr>
              <w:t xml:space="preserve"> </w:t>
            </w:r>
            <w:r w:rsidRPr="004212F0">
              <w:rPr>
                <w:rFonts w:cs="David" w:hint="cs"/>
                <w:rtl/>
              </w:rPr>
              <w:t>החליט</w:t>
            </w:r>
            <w:r w:rsidRPr="004212F0">
              <w:rPr>
                <w:rFonts w:cs="David"/>
                <w:rtl/>
              </w:rPr>
              <w:t xml:space="preserve"> </w:t>
            </w:r>
            <w:r w:rsidRPr="004212F0">
              <w:rPr>
                <w:rFonts w:cs="David" w:hint="cs"/>
                <w:rtl/>
              </w:rPr>
              <w:t>לקבלן</w:t>
            </w:r>
            <w:r w:rsidRPr="004212F0">
              <w:rPr>
                <w:rFonts w:cs="David"/>
                <w:rtl/>
              </w:rPr>
              <w:t xml:space="preserve"> </w:t>
            </w:r>
            <w:r w:rsidRPr="004212F0">
              <w:rPr>
                <w:rFonts w:cs="David" w:hint="cs"/>
                <w:rtl/>
              </w:rPr>
              <w:t>כראיה</w:t>
            </w:r>
            <w:r w:rsidRPr="004212F0">
              <w:rPr>
                <w:rFonts w:cs="David"/>
                <w:rtl/>
              </w:rPr>
              <w:t xml:space="preserve">, </w:t>
            </w:r>
            <w:r w:rsidRPr="004212F0">
              <w:rPr>
                <w:rFonts w:cs="David" w:hint="cs"/>
                <w:rtl/>
              </w:rPr>
              <w:t>ביחד</w:t>
            </w:r>
            <w:r w:rsidRPr="004212F0">
              <w:rPr>
                <w:rFonts w:cs="David"/>
                <w:rtl/>
              </w:rPr>
              <w:t xml:space="preserve"> </w:t>
            </w:r>
            <w:r w:rsidRPr="004212F0">
              <w:rPr>
                <w:rFonts w:cs="David" w:hint="cs"/>
                <w:rtl/>
              </w:rPr>
              <w:t>עם</w:t>
            </w:r>
            <w:r w:rsidRPr="004212F0">
              <w:rPr>
                <w:rFonts w:cs="David"/>
                <w:rtl/>
              </w:rPr>
              <w:t xml:space="preserve"> </w:t>
            </w:r>
            <w:r w:rsidRPr="004212F0">
              <w:rPr>
                <w:rFonts w:cs="David" w:hint="cs"/>
                <w:rtl/>
              </w:rPr>
              <w:t>כל</w:t>
            </w:r>
            <w:r w:rsidRPr="004212F0">
              <w:rPr>
                <w:rFonts w:cs="David"/>
                <w:rtl/>
              </w:rPr>
              <w:t xml:space="preserve"> </w:t>
            </w:r>
            <w:r w:rsidRPr="004212F0">
              <w:rPr>
                <w:rFonts w:cs="David" w:hint="cs"/>
                <w:rtl/>
              </w:rPr>
              <w:t>יתר</w:t>
            </w:r>
            <w:r w:rsidRPr="004212F0">
              <w:rPr>
                <w:rFonts w:cs="David"/>
                <w:rtl/>
              </w:rPr>
              <w:t xml:space="preserve"> </w:t>
            </w:r>
            <w:r w:rsidRPr="004212F0">
              <w:rPr>
                <w:rFonts w:cs="David" w:hint="cs"/>
                <w:rtl/>
              </w:rPr>
              <w:t>הראיות</w:t>
            </w:r>
            <w:r w:rsidRPr="004212F0">
              <w:rPr>
                <w:rFonts w:cs="David"/>
                <w:rtl/>
              </w:rPr>
              <w:t xml:space="preserve"> </w:t>
            </w:r>
            <w:r w:rsidRPr="004212F0">
              <w:rPr>
                <w:rFonts w:cs="David" w:hint="cs"/>
                <w:rtl/>
              </w:rPr>
              <w:t>שהובאו</w:t>
            </w:r>
            <w:r w:rsidRPr="004212F0">
              <w:rPr>
                <w:rFonts w:cs="David"/>
                <w:rtl/>
              </w:rPr>
              <w:t xml:space="preserve"> </w:t>
            </w:r>
            <w:r w:rsidRPr="004212F0">
              <w:rPr>
                <w:rFonts w:cs="David" w:hint="cs"/>
                <w:rtl/>
              </w:rPr>
              <w:t>לפניו</w:t>
            </w:r>
            <w:r w:rsidRPr="004212F0">
              <w:rPr>
                <w:rFonts w:cs="David"/>
                <w:rtl/>
              </w:rPr>
              <w:t xml:space="preserve">, </w:t>
            </w:r>
            <w:r w:rsidRPr="004212F0">
              <w:rPr>
                <w:rFonts w:cs="David" w:hint="cs"/>
                <w:rtl/>
              </w:rPr>
              <w:t>ועל</w:t>
            </w:r>
            <w:r w:rsidRPr="004212F0">
              <w:rPr>
                <w:rFonts w:cs="David"/>
                <w:rtl/>
              </w:rPr>
              <w:t xml:space="preserve"> </w:t>
            </w:r>
            <w:r w:rsidRPr="004212F0">
              <w:rPr>
                <w:rFonts w:cs="David" w:hint="cs"/>
                <w:rtl/>
              </w:rPr>
              <w:t>רקע</w:t>
            </w:r>
            <w:r w:rsidRPr="004212F0">
              <w:rPr>
                <w:rFonts w:cs="David"/>
                <w:rtl/>
              </w:rPr>
              <w:t xml:space="preserve"> </w:t>
            </w:r>
            <w:r w:rsidRPr="004212F0">
              <w:rPr>
                <w:rFonts w:cs="David" w:hint="cs"/>
                <w:rtl/>
              </w:rPr>
              <w:t>כל</w:t>
            </w:r>
            <w:r w:rsidRPr="004212F0">
              <w:rPr>
                <w:rFonts w:cs="David"/>
                <w:rtl/>
              </w:rPr>
              <w:t xml:space="preserve"> </w:t>
            </w:r>
            <w:r w:rsidRPr="004212F0">
              <w:rPr>
                <w:rFonts w:cs="David" w:hint="cs"/>
                <w:rtl/>
              </w:rPr>
              <w:t>הנסיבות</w:t>
            </w:r>
            <w:r w:rsidRPr="004212F0">
              <w:rPr>
                <w:rFonts w:cs="David"/>
                <w:rtl/>
              </w:rPr>
              <w:t xml:space="preserve"> </w:t>
            </w:r>
            <w:r w:rsidRPr="004212F0">
              <w:rPr>
                <w:rFonts w:cs="David" w:hint="cs"/>
                <w:rtl/>
              </w:rPr>
              <w:t>הרלוואנטית</w:t>
            </w:r>
            <w:r w:rsidRPr="004212F0">
              <w:rPr>
                <w:rFonts w:cs="David"/>
                <w:rtl/>
              </w:rPr>
              <w:t xml:space="preserve">, </w:t>
            </w:r>
            <w:r w:rsidRPr="004212F0">
              <w:rPr>
                <w:rFonts w:cs="David" w:hint="cs"/>
                <w:rtl/>
              </w:rPr>
              <w:t>ובדרך</w:t>
            </w:r>
            <w:r w:rsidRPr="004212F0">
              <w:rPr>
                <w:rFonts w:cs="David"/>
                <w:rtl/>
              </w:rPr>
              <w:t xml:space="preserve"> </w:t>
            </w:r>
            <w:r w:rsidRPr="004212F0">
              <w:rPr>
                <w:rFonts w:cs="David" w:hint="cs"/>
                <w:rtl/>
              </w:rPr>
              <w:t>זו</w:t>
            </w:r>
            <w:r w:rsidRPr="004212F0">
              <w:rPr>
                <w:rFonts w:cs="David"/>
                <w:rtl/>
              </w:rPr>
              <w:t xml:space="preserve"> </w:t>
            </w:r>
            <w:r w:rsidRPr="004212F0">
              <w:rPr>
                <w:rFonts w:cs="David" w:hint="cs"/>
                <w:rtl/>
              </w:rPr>
              <w:t>להגיע</w:t>
            </w:r>
            <w:r w:rsidRPr="004212F0">
              <w:rPr>
                <w:rFonts w:cs="David"/>
                <w:rtl/>
              </w:rPr>
              <w:t xml:space="preserve"> </w:t>
            </w:r>
            <w:r w:rsidRPr="004212F0">
              <w:rPr>
                <w:rFonts w:cs="David" w:hint="cs"/>
                <w:rtl/>
              </w:rPr>
              <w:t>לקביעת</w:t>
            </w:r>
            <w:r w:rsidRPr="004212F0">
              <w:rPr>
                <w:rFonts w:cs="David"/>
                <w:rtl/>
              </w:rPr>
              <w:t xml:space="preserve"> </w:t>
            </w:r>
            <w:r>
              <w:rPr>
                <w:rFonts w:cs="David" w:hint="cs"/>
                <w:rtl/>
              </w:rPr>
              <w:t>המ</w:t>
            </w:r>
            <w:r w:rsidRPr="004212F0">
              <w:rPr>
                <w:rFonts w:cs="David" w:hint="cs"/>
                <w:rtl/>
              </w:rPr>
              <w:t>מצאים</w:t>
            </w:r>
            <w:r w:rsidRPr="004212F0">
              <w:rPr>
                <w:rFonts w:cs="David"/>
                <w:rtl/>
              </w:rPr>
              <w:t xml:space="preserve"> </w:t>
            </w:r>
            <w:r w:rsidRPr="004212F0">
              <w:rPr>
                <w:rFonts w:cs="David" w:hint="cs"/>
                <w:rtl/>
              </w:rPr>
              <w:t>העובדתיים</w:t>
            </w:r>
            <w:r w:rsidRPr="004212F0">
              <w:rPr>
                <w:rFonts w:cs="David"/>
                <w:rtl/>
              </w:rPr>
              <w:t xml:space="preserve"> </w:t>
            </w:r>
            <w:r w:rsidRPr="004212F0">
              <w:rPr>
                <w:rFonts w:cs="David" w:hint="cs"/>
                <w:rtl/>
              </w:rPr>
              <w:t>שעליהם</w:t>
            </w:r>
            <w:r w:rsidRPr="004212F0">
              <w:rPr>
                <w:rFonts w:cs="David"/>
                <w:rtl/>
              </w:rPr>
              <w:t xml:space="preserve"> </w:t>
            </w:r>
            <w:r w:rsidRPr="004212F0">
              <w:rPr>
                <w:rFonts w:cs="David" w:hint="cs"/>
                <w:rtl/>
              </w:rPr>
              <w:t>יושתת</w:t>
            </w:r>
            <w:r w:rsidRPr="004212F0">
              <w:rPr>
                <w:rFonts w:cs="David"/>
                <w:rtl/>
              </w:rPr>
              <w:t xml:space="preserve"> </w:t>
            </w:r>
            <w:r w:rsidRPr="004212F0">
              <w:rPr>
                <w:rFonts w:cs="David" w:hint="cs"/>
                <w:rtl/>
              </w:rPr>
              <w:t>פסק</w:t>
            </w:r>
            <w:r w:rsidRPr="004212F0">
              <w:rPr>
                <w:rFonts w:cs="David"/>
                <w:rtl/>
              </w:rPr>
              <w:t xml:space="preserve"> </w:t>
            </w:r>
            <w:r w:rsidRPr="004212F0">
              <w:rPr>
                <w:rFonts w:cs="David" w:hint="cs"/>
                <w:rtl/>
              </w:rPr>
              <w:t>הדין</w:t>
            </w:r>
            <w:r w:rsidRPr="004212F0">
              <w:rPr>
                <w:rFonts w:cs="David"/>
                <w:rtl/>
              </w:rPr>
              <w:t>.</w:t>
            </w:r>
          </w:p>
          <w:p w:rsidR="00E31891" w:rsidRDefault="00E31891" w:rsidP="00CB7B26">
            <w:pPr>
              <w:pStyle w:val="a3"/>
              <w:spacing w:line="360" w:lineRule="auto"/>
              <w:jc w:val="both"/>
              <w:rPr>
                <w:rFonts w:cs="David"/>
                <w:rtl/>
              </w:rPr>
            </w:pPr>
            <w:r w:rsidRPr="00E31891">
              <w:rPr>
                <w:rFonts w:cs="David" w:hint="cs"/>
                <w:u w:val="single"/>
                <w:rtl/>
              </w:rPr>
              <w:t>גולדברג:</w:t>
            </w:r>
            <w:r>
              <w:rPr>
                <w:rFonts w:cs="David" w:hint="cs"/>
                <w:rtl/>
              </w:rPr>
              <w:t xml:space="preserve"> יש לכבד את רצון הצדדים ולקבל את ההסכם שערכו.</w:t>
            </w:r>
          </w:p>
          <w:p w:rsidR="00E31891" w:rsidRPr="00E31891" w:rsidRDefault="00E31891" w:rsidP="00CB7B26">
            <w:pPr>
              <w:pStyle w:val="a3"/>
              <w:spacing w:line="360" w:lineRule="auto"/>
              <w:jc w:val="both"/>
              <w:rPr>
                <w:rFonts w:cs="David"/>
                <w:rtl/>
              </w:rPr>
            </w:pPr>
            <w:r w:rsidRPr="00E31891">
              <w:rPr>
                <w:rFonts w:cs="David" w:hint="cs"/>
                <w:u w:val="single"/>
                <w:rtl/>
              </w:rPr>
              <w:t>אלון:</w:t>
            </w:r>
            <w:r>
              <w:rPr>
                <w:rFonts w:cs="David" w:hint="cs"/>
                <w:u w:val="single"/>
                <w:rtl/>
              </w:rPr>
              <w:t xml:space="preserve"> </w:t>
            </w:r>
            <w:r>
              <w:rPr>
                <w:rFonts w:cs="David" w:hint="cs"/>
                <w:rtl/>
              </w:rPr>
              <w:t xml:space="preserve">יש לקבל הסכמי פשרה שנערכו בין הצדדים, ובכל לעודד את עשייתם. </w:t>
            </w:r>
          </w:p>
        </w:tc>
      </w:tr>
      <w:tr w:rsidR="00086D6F" w:rsidTr="00923E1D">
        <w:tc>
          <w:tcPr>
            <w:tcW w:w="1893" w:type="dxa"/>
          </w:tcPr>
          <w:p w:rsidR="00086D6F" w:rsidRDefault="00CD31AB" w:rsidP="00CB7B26">
            <w:pPr>
              <w:pStyle w:val="a3"/>
              <w:spacing w:line="360" w:lineRule="auto"/>
              <w:jc w:val="both"/>
              <w:rPr>
                <w:rFonts w:cs="David"/>
                <w:rtl/>
              </w:rPr>
            </w:pPr>
            <w:r>
              <w:rPr>
                <w:rFonts w:cs="David" w:hint="cs"/>
                <w:rtl/>
              </w:rPr>
              <w:lastRenderedPageBreak/>
              <w:t xml:space="preserve">ע"פ </w:t>
            </w:r>
            <w:proofErr w:type="spellStart"/>
            <w:r>
              <w:rPr>
                <w:rFonts w:cs="David" w:hint="cs"/>
                <w:rtl/>
              </w:rPr>
              <w:t>נבולסי</w:t>
            </w:r>
            <w:proofErr w:type="spellEnd"/>
          </w:p>
        </w:tc>
        <w:tc>
          <w:tcPr>
            <w:tcW w:w="2787" w:type="dxa"/>
          </w:tcPr>
          <w:p w:rsidR="00086D6F" w:rsidRDefault="00CD31AB" w:rsidP="00CB7B26">
            <w:pPr>
              <w:pStyle w:val="a3"/>
              <w:spacing w:line="360" w:lineRule="auto"/>
              <w:jc w:val="both"/>
              <w:rPr>
                <w:rFonts w:cs="David"/>
                <w:rtl/>
              </w:rPr>
            </w:pPr>
            <w:r>
              <w:rPr>
                <w:rFonts w:cs="David" w:hint="cs"/>
                <w:rtl/>
              </w:rPr>
              <w:t xml:space="preserve">ערעור על החלטת המחוזי לזכות את המשיב, </w:t>
            </w:r>
            <w:proofErr w:type="spellStart"/>
            <w:r>
              <w:rPr>
                <w:rFonts w:cs="David" w:hint="cs"/>
                <w:rtl/>
              </w:rPr>
              <w:t>נבולסי</w:t>
            </w:r>
            <w:proofErr w:type="spellEnd"/>
            <w:r>
              <w:rPr>
                <w:rFonts w:cs="David" w:hint="cs"/>
                <w:rtl/>
              </w:rPr>
              <w:t xml:space="preserve"> מאשמת רצח </w:t>
            </w:r>
            <w:proofErr w:type="spellStart"/>
            <w:r>
              <w:rPr>
                <w:rFonts w:cs="David" w:hint="cs"/>
                <w:rtl/>
              </w:rPr>
              <w:t>אישתו</w:t>
            </w:r>
            <w:proofErr w:type="spellEnd"/>
            <w:r>
              <w:rPr>
                <w:rFonts w:cs="David" w:hint="cs"/>
                <w:rtl/>
              </w:rPr>
              <w:t xml:space="preserve"> עקב פסילת הודאתו במשטרה.</w:t>
            </w:r>
            <w:r w:rsidR="001308D0">
              <w:rPr>
                <w:rFonts w:cs="David" w:hint="cs"/>
                <w:rtl/>
              </w:rPr>
              <w:t xml:space="preserve"> נטען כי היא ניתנה בהשפעת איומים בגרימת נזק גופני. </w:t>
            </w:r>
          </w:p>
        </w:tc>
        <w:tc>
          <w:tcPr>
            <w:tcW w:w="6805" w:type="dxa"/>
          </w:tcPr>
          <w:p w:rsidR="00086D6F" w:rsidRDefault="00086D6F" w:rsidP="00CB7B26">
            <w:pPr>
              <w:pStyle w:val="a3"/>
              <w:spacing w:line="360" w:lineRule="auto"/>
              <w:jc w:val="both"/>
              <w:rPr>
                <w:rFonts w:cs="David"/>
                <w:rtl/>
              </w:rPr>
            </w:pPr>
          </w:p>
        </w:tc>
      </w:tr>
      <w:tr w:rsidR="00086D6F" w:rsidTr="00923E1D">
        <w:tc>
          <w:tcPr>
            <w:tcW w:w="1893" w:type="dxa"/>
          </w:tcPr>
          <w:p w:rsidR="00086D6F" w:rsidRDefault="00923E1D" w:rsidP="00CB7B26">
            <w:pPr>
              <w:pStyle w:val="a3"/>
              <w:spacing w:line="360" w:lineRule="auto"/>
              <w:jc w:val="both"/>
              <w:rPr>
                <w:rFonts w:cs="David"/>
                <w:rtl/>
              </w:rPr>
            </w:pPr>
            <w:r>
              <w:rPr>
                <w:rFonts w:cs="David" w:hint="cs"/>
                <w:rtl/>
              </w:rPr>
              <w:t>מ"י נ' יוסף</w:t>
            </w:r>
          </w:p>
        </w:tc>
        <w:tc>
          <w:tcPr>
            <w:tcW w:w="2787" w:type="dxa"/>
          </w:tcPr>
          <w:p w:rsidR="00086D6F" w:rsidRDefault="00923E1D" w:rsidP="00CB7B26">
            <w:pPr>
              <w:pStyle w:val="a3"/>
              <w:spacing w:line="360" w:lineRule="auto"/>
              <w:jc w:val="both"/>
              <w:rPr>
                <w:rFonts w:cs="David"/>
                <w:rtl/>
              </w:rPr>
            </w:pPr>
            <w:r>
              <w:rPr>
                <w:rFonts w:cs="David" w:hint="cs"/>
                <w:rtl/>
              </w:rPr>
              <w:t xml:space="preserve">תביעת המדינה </w:t>
            </w:r>
            <w:proofErr w:type="spellStart"/>
            <w:r>
              <w:rPr>
                <w:rFonts w:cs="David" w:hint="cs"/>
                <w:rtl/>
              </w:rPr>
              <w:t>בנזיקין</w:t>
            </w:r>
            <w:proofErr w:type="spellEnd"/>
            <w:r>
              <w:rPr>
                <w:rFonts w:cs="David" w:hint="cs"/>
                <w:rtl/>
              </w:rPr>
              <w:t xml:space="preserve"> על הגשת כתבי אישום כנגד שלושה חשודים ברצח (משום שהרשיעו בפרשה אדם אחר). התובעים ביקשו להעיד שופטת, שהייתה הפרקליטה שניהלה את התיק. </w:t>
            </w:r>
          </w:p>
        </w:tc>
        <w:tc>
          <w:tcPr>
            <w:tcW w:w="6805" w:type="dxa"/>
          </w:tcPr>
          <w:p w:rsidR="00661EBF" w:rsidRPr="00661EBF" w:rsidRDefault="00923E1D" w:rsidP="00CB7B26">
            <w:pPr>
              <w:pStyle w:val="a3"/>
              <w:spacing w:line="360" w:lineRule="auto"/>
              <w:jc w:val="both"/>
              <w:rPr>
                <w:rFonts w:cs="David"/>
                <w:rtl/>
              </w:rPr>
            </w:pPr>
            <w:proofErr w:type="spellStart"/>
            <w:r w:rsidRPr="00923E1D">
              <w:rPr>
                <w:rFonts w:cs="David" w:hint="cs"/>
                <w:u w:val="single"/>
                <w:rtl/>
              </w:rPr>
              <w:t>טירקל</w:t>
            </w:r>
            <w:proofErr w:type="spellEnd"/>
            <w:r w:rsidRPr="00923E1D">
              <w:rPr>
                <w:rFonts w:cs="David" w:hint="cs"/>
                <w:u w:val="single"/>
                <w:rtl/>
              </w:rPr>
              <w:t>:</w:t>
            </w:r>
            <w:r w:rsidRPr="00661EBF">
              <w:rPr>
                <w:rFonts w:cs="David" w:hint="cs"/>
                <w:rtl/>
              </w:rPr>
              <w:t xml:space="preserve"> </w:t>
            </w:r>
            <w:r w:rsidR="00661EBF">
              <w:rPr>
                <w:rFonts w:cs="David" w:hint="cs"/>
                <w:rtl/>
              </w:rPr>
              <w:t xml:space="preserve">(א) </w:t>
            </w:r>
            <w:r w:rsidR="00661EBF" w:rsidRPr="00661EBF">
              <w:rPr>
                <w:rFonts w:cs="David" w:hint="cs"/>
                <w:rtl/>
              </w:rPr>
              <w:t>שופט לא ייחקר כעד על דוכן העדים על דבר הקשור בתפקידו השיפוטי.</w:t>
            </w:r>
          </w:p>
          <w:p w:rsidR="00661EBF" w:rsidRPr="00661EBF" w:rsidRDefault="00661EBF" w:rsidP="00CB7B26">
            <w:pPr>
              <w:pStyle w:val="a3"/>
              <w:spacing w:line="360" w:lineRule="auto"/>
              <w:jc w:val="both"/>
              <w:rPr>
                <w:rFonts w:cs="David"/>
                <w:rtl/>
              </w:rPr>
            </w:pPr>
            <w:r>
              <w:rPr>
                <w:rFonts w:cs="David" w:hint="cs"/>
                <w:rtl/>
              </w:rPr>
              <w:t xml:space="preserve">(ב) </w:t>
            </w:r>
            <w:r w:rsidRPr="00661EBF">
              <w:rPr>
                <w:rFonts w:cs="David" w:hint="cs"/>
                <w:rtl/>
              </w:rPr>
              <w:t xml:space="preserve">בית-המשפט הדן בהליך שבו מתבקשת </w:t>
            </w:r>
            <w:proofErr w:type="spellStart"/>
            <w:r w:rsidRPr="00661EBF">
              <w:rPr>
                <w:rFonts w:cs="David" w:hint="cs"/>
                <w:rtl/>
              </w:rPr>
              <w:t>העדתו</w:t>
            </w:r>
            <w:proofErr w:type="spellEnd"/>
            <w:r w:rsidRPr="00661EBF">
              <w:rPr>
                <w:rFonts w:cs="David" w:hint="cs"/>
                <w:rtl/>
              </w:rPr>
              <w:t xml:space="preserve"> של שופט על דבר שאינו קשור בתפקידו השיפוטי, יחליט לפי החומר שלפניו ועל-פי טיעוניהם של בעלי-הדין אם להעיד את השופט.</w:t>
            </w:r>
          </w:p>
          <w:p w:rsidR="00661EBF" w:rsidRPr="00661EBF" w:rsidRDefault="00661EBF" w:rsidP="00CB7B26">
            <w:pPr>
              <w:pStyle w:val="a3"/>
              <w:spacing w:line="360" w:lineRule="auto"/>
              <w:jc w:val="both"/>
              <w:rPr>
                <w:rFonts w:cs="David"/>
                <w:rtl/>
              </w:rPr>
            </w:pPr>
            <w:r>
              <w:rPr>
                <w:rFonts w:cs="David" w:hint="cs"/>
                <w:rtl/>
              </w:rPr>
              <w:t xml:space="preserve">(ג) </w:t>
            </w:r>
            <w:r w:rsidRPr="00661EBF">
              <w:rPr>
                <w:rFonts w:cs="David" w:hint="cs"/>
                <w:rtl/>
              </w:rPr>
              <w:t xml:space="preserve">משהוחלט להעיד את השופט יגיש בעל-הדין המבקש </w:t>
            </w:r>
            <w:proofErr w:type="spellStart"/>
            <w:r w:rsidRPr="00661EBF">
              <w:rPr>
                <w:rFonts w:cs="David" w:hint="cs"/>
                <w:rtl/>
              </w:rPr>
              <w:t>להעידו</w:t>
            </w:r>
            <w:proofErr w:type="spellEnd"/>
            <w:r w:rsidRPr="00661EBF">
              <w:rPr>
                <w:rFonts w:cs="David" w:hint="cs"/>
                <w:rtl/>
              </w:rPr>
              <w:t xml:space="preserve"> לבית-המשפט ולבעל-הדין שכנגד את השאלות שהוא מבקש להציג לשופט, ובית-המשפט יחליט אילו שאלות יוצגו.</w:t>
            </w:r>
          </w:p>
          <w:p w:rsidR="00661EBF" w:rsidRPr="00661EBF" w:rsidRDefault="00661EBF" w:rsidP="00CB7B26">
            <w:pPr>
              <w:pStyle w:val="a3"/>
              <w:spacing w:line="360" w:lineRule="auto"/>
              <w:jc w:val="both"/>
              <w:rPr>
                <w:rFonts w:cs="David"/>
                <w:rtl/>
              </w:rPr>
            </w:pPr>
            <w:r>
              <w:rPr>
                <w:rFonts w:cs="David" w:hint="cs"/>
                <w:rtl/>
              </w:rPr>
              <w:t xml:space="preserve">(ד) </w:t>
            </w:r>
            <w:r w:rsidRPr="00661EBF">
              <w:rPr>
                <w:rFonts w:cs="David" w:hint="cs"/>
                <w:rtl/>
              </w:rPr>
              <w:t>השופט ישיב על השאלות בכתב.</w:t>
            </w:r>
          </w:p>
          <w:p w:rsidR="00661EBF" w:rsidRDefault="00661EBF" w:rsidP="00CB7B26">
            <w:pPr>
              <w:pStyle w:val="a3"/>
              <w:spacing w:line="360" w:lineRule="auto"/>
              <w:jc w:val="both"/>
              <w:rPr>
                <w:rFonts w:cs="David"/>
                <w:rtl/>
              </w:rPr>
            </w:pPr>
            <w:r>
              <w:rPr>
                <w:rFonts w:cs="David" w:hint="cs"/>
                <w:rtl/>
              </w:rPr>
              <w:t xml:space="preserve">(ה) </w:t>
            </w:r>
            <w:r w:rsidRPr="00661EBF">
              <w:rPr>
                <w:rFonts w:cs="David" w:hint="cs"/>
                <w:rtl/>
              </w:rPr>
              <w:t xml:space="preserve">אחרי שיינתנו התשובות יהיו בעלי-הדין רשאים להציג לשופט שאלות הבהרה בכתב. השאלות יוגשו לבית-המשפט ולבעל-הדין שכנגד, ובית-המשפט יחליט אילו שאלות יוצגו לשופט. </w:t>
            </w:r>
          </w:p>
          <w:p w:rsidR="00661EBF" w:rsidRPr="00661EBF" w:rsidRDefault="00661EBF" w:rsidP="00CB7B26">
            <w:pPr>
              <w:pStyle w:val="a3"/>
              <w:spacing w:line="360" w:lineRule="auto"/>
              <w:jc w:val="both"/>
              <w:rPr>
                <w:rFonts w:cs="David"/>
                <w:rtl/>
              </w:rPr>
            </w:pPr>
            <w:r>
              <w:rPr>
                <w:rFonts w:cs="David" w:hint="cs"/>
                <w:rtl/>
              </w:rPr>
              <w:t xml:space="preserve">(ו) </w:t>
            </w:r>
            <w:r w:rsidRPr="00661EBF">
              <w:rPr>
                <w:rFonts w:cs="David" w:hint="cs"/>
                <w:rtl/>
              </w:rPr>
              <w:t>אם ימצא בית-המשפט אחרי קבלת התשובות, לפי בקשתו של בעל-דין, שיש צורך לחקור את השופט בחקירה שכנגד, יזמן אותו בית-המשפט לחקירה. בית-המשפט יחליט כיצד תיערך החקירה: באולם בדלתיים סגורות, בלשכת השופט או בדרך אחרת.</w:t>
            </w:r>
          </w:p>
          <w:p w:rsidR="00086D6F" w:rsidRPr="00923E1D" w:rsidRDefault="00661EBF" w:rsidP="00CB7B26">
            <w:pPr>
              <w:pStyle w:val="a3"/>
              <w:spacing w:line="360" w:lineRule="auto"/>
              <w:jc w:val="both"/>
              <w:rPr>
                <w:rFonts w:cs="David"/>
                <w:rtl/>
              </w:rPr>
            </w:pPr>
            <w:r>
              <w:rPr>
                <w:rFonts w:cs="David" w:hint="cs"/>
                <w:rtl/>
              </w:rPr>
              <w:t xml:space="preserve">(ז) </w:t>
            </w:r>
            <w:r w:rsidRPr="00661EBF">
              <w:rPr>
                <w:rFonts w:cs="David" w:hint="cs"/>
                <w:rtl/>
              </w:rPr>
              <w:t>לפני שיחליט בית-המשפט בעניין החקירה יודיע על כך ליועץ המשפטי</w:t>
            </w:r>
            <w:r>
              <w:rPr>
                <w:rFonts w:cs="David" w:hint="cs"/>
                <w:rtl/>
              </w:rPr>
              <w:t xml:space="preserve"> לממשלה, שיודיע מה עמדתו לגביה.</w:t>
            </w:r>
          </w:p>
        </w:tc>
      </w:tr>
      <w:tr w:rsidR="00086D6F" w:rsidTr="00923E1D">
        <w:tc>
          <w:tcPr>
            <w:tcW w:w="1893" w:type="dxa"/>
          </w:tcPr>
          <w:p w:rsidR="00086D6F" w:rsidRDefault="002E72E2" w:rsidP="00CB7B26">
            <w:pPr>
              <w:pStyle w:val="a3"/>
              <w:spacing w:line="360" w:lineRule="auto"/>
              <w:jc w:val="both"/>
              <w:rPr>
                <w:rFonts w:cs="David"/>
                <w:rtl/>
              </w:rPr>
            </w:pPr>
            <w:r>
              <w:rPr>
                <w:rFonts w:cs="David" w:hint="cs"/>
                <w:rtl/>
              </w:rPr>
              <w:t xml:space="preserve">ע"פ </w:t>
            </w:r>
            <w:proofErr w:type="spellStart"/>
            <w:r>
              <w:rPr>
                <w:rFonts w:cs="David" w:hint="cs"/>
                <w:rtl/>
              </w:rPr>
              <w:t>מטוסיאן</w:t>
            </w:r>
            <w:proofErr w:type="spellEnd"/>
          </w:p>
        </w:tc>
        <w:tc>
          <w:tcPr>
            <w:tcW w:w="2787" w:type="dxa"/>
          </w:tcPr>
          <w:p w:rsidR="00086D6F" w:rsidRDefault="00086D6F" w:rsidP="00CB7B26">
            <w:pPr>
              <w:pStyle w:val="a3"/>
              <w:spacing w:line="360" w:lineRule="auto"/>
              <w:jc w:val="both"/>
              <w:rPr>
                <w:rFonts w:cs="David"/>
                <w:rtl/>
              </w:rPr>
            </w:pPr>
          </w:p>
        </w:tc>
        <w:tc>
          <w:tcPr>
            <w:tcW w:w="6805" w:type="dxa"/>
          </w:tcPr>
          <w:p w:rsidR="002E72E2" w:rsidRDefault="002E72E2" w:rsidP="00CB7B26">
            <w:pPr>
              <w:pStyle w:val="a3"/>
              <w:spacing w:line="360" w:lineRule="auto"/>
              <w:jc w:val="both"/>
              <w:rPr>
                <w:rFonts w:cs="David"/>
                <w:rtl/>
              </w:rPr>
            </w:pPr>
            <w:r w:rsidRPr="002E72E2">
              <w:rPr>
                <w:rFonts w:cs="David" w:hint="cs"/>
                <w:u w:val="single"/>
                <w:rtl/>
              </w:rPr>
              <w:t>שמגר:</w:t>
            </w:r>
            <w:r w:rsidRPr="002E72E2">
              <w:rPr>
                <w:rFonts w:cs="David" w:hint="cs"/>
                <w:rtl/>
              </w:rPr>
              <w:t xml:space="preserve"> </w:t>
            </w:r>
            <w:r>
              <w:rPr>
                <w:rFonts w:cs="David" w:hint="cs"/>
                <w:rtl/>
              </w:rPr>
              <w:t>*ע</w:t>
            </w:r>
            <w:r w:rsidRPr="002E72E2">
              <w:rPr>
                <w:rFonts w:cs="David"/>
                <w:rtl/>
              </w:rPr>
              <w:t xml:space="preserve">דות מטעם התביעה נגד בן הזוג איננה מותרת לעולם, אלא אם כן נתקיימו הנסיבות יוצאות הדופן, הקבועות בסעיף </w:t>
            </w:r>
            <w:r w:rsidRPr="002E72E2">
              <w:rPr>
                <w:rFonts w:cs="David"/>
              </w:rPr>
              <w:t>5</w:t>
            </w:r>
            <w:r w:rsidRPr="002E72E2">
              <w:rPr>
                <w:rFonts w:cs="David"/>
                <w:rtl/>
              </w:rPr>
              <w:t xml:space="preserve">לפקודה. </w:t>
            </w:r>
          </w:p>
          <w:p w:rsidR="002E72E2" w:rsidRDefault="002E72E2" w:rsidP="00CB7B26">
            <w:pPr>
              <w:pStyle w:val="a3"/>
              <w:spacing w:line="360" w:lineRule="auto"/>
              <w:jc w:val="both"/>
              <w:rPr>
                <w:rFonts w:cs="David"/>
                <w:rtl/>
              </w:rPr>
            </w:pPr>
            <w:r>
              <w:rPr>
                <w:rFonts w:cs="David" w:hint="cs"/>
                <w:rtl/>
              </w:rPr>
              <w:lastRenderedPageBreak/>
              <w:t>*</w:t>
            </w:r>
            <w:r w:rsidRPr="002E72E2">
              <w:rPr>
                <w:rFonts w:cs="David"/>
                <w:rtl/>
              </w:rPr>
              <w:t xml:space="preserve">עדות נגד מי שמואשם יחד עם בן הזוג היא לעולם כשרה, אך אין כופים את בן הזוג להעיד, אם אין רצונו בכך. </w:t>
            </w:r>
          </w:p>
          <w:p w:rsidR="00086D6F" w:rsidRDefault="002E72E2" w:rsidP="00CB7B26">
            <w:pPr>
              <w:pStyle w:val="a3"/>
              <w:spacing w:line="360" w:lineRule="auto"/>
              <w:jc w:val="both"/>
              <w:rPr>
                <w:rFonts w:cs="David"/>
                <w:rtl/>
              </w:rPr>
            </w:pPr>
            <w:r>
              <w:rPr>
                <w:rFonts w:cs="David" w:hint="cs"/>
                <w:rtl/>
              </w:rPr>
              <w:t>*</w:t>
            </w:r>
            <w:r w:rsidRPr="002E72E2">
              <w:rPr>
                <w:rFonts w:cs="David"/>
                <w:rtl/>
              </w:rPr>
              <w:t>הסכים לכך, הרי כשר בן הזוג להעיד, גם אם לדברי עדותו יכולה להיות השלכה עקיפה על בן הזוג, בדברים הנמסרים בעדותו.</w:t>
            </w:r>
          </w:p>
          <w:p w:rsidR="002E72E2" w:rsidRPr="002E72E2" w:rsidRDefault="002E72E2" w:rsidP="00CB7B26">
            <w:pPr>
              <w:pStyle w:val="a3"/>
              <w:spacing w:line="360" w:lineRule="auto"/>
              <w:jc w:val="both"/>
              <w:rPr>
                <w:rFonts w:cs="David"/>
                <w:rtl/>
              </w:rPr>
            </w:pPr>
            <w:r w:rsidRPr="002E72E2">
              <w:rPr>
                <w:rFonts w:cs="David" w:hint="cs"/>
                <w:u w:val="single"/>
                <w:rtl/>
              </w:rPr>
              <w:t>לוין:</w:t>
            </w:r>
            <w:r>
              <w:rPr>
                <w:rFonts w:cs="David" w:hint="cs"/>
                <w:rtl/>
              </w:rPr>
              <w:t xml:space="preserve"> *עדות של בן זוג לא תקפה כלפי בן הזוג השני, אולם היא תקפה כלפי שותפו לעבירה. </w:t>
            </w:r>
          </w:p>
        </w:tc>
      </w:tr>
      <w:tr w:rsidR="00086D6F" w:rsidTr="00923E1D">
        <w:tc>
          <w:tcPr>
            <w:tcW w:w="1893" w:type="dxa"/>
          </w:tcPr>
          <w:p w:rsidR="00086D6F" w:rsidRDefault="000554F4" w:rsidP="00CB7B26">
            <w:pPr>
              <w:pStyle w:val="a3"/>
              <w:spacing w:line="360" w:lineRule="auto"/>
              <w:jc w:val="both"/>
              <w:rPr>
                <w:rFonts w:cs="David"/>
                <w:rtl/>
              </w:rPr>
            </w:pPr>
            <w:proofErr w:type="spellStart"/>
            <w:r>
              <w:rPr>
                <w:rFonts w:cs="David" w:hint="cs"/>
                <w:rtl/>
              </w:rPr>
              <w:lastRenderedPageBreak/>
              <w:t>ר</w:t>
            </w:r>
            <w:r w:rsidR="006310BC">
              <w:rPr>
                <w:rFonts w:cs="David" w:hint="cs"/>
                <w:rtl/>
              </w:rPr>
              <w:t>ע"פ</w:t>
            </w:r>
            <w:proofErr w:type="spellEnd"/>
            <w:r w:rsidR="006310BC">
              <w:rPr>
                <w:rFonts w:cs="David" w:hint="cs"/>
                <w:rtl/>
              </w:rPr>
              <w:t xml:space="preserve"> כליפא</w:t>
            </w:r>
          </w:p>
        </w:tc>
        <w:tc>
          <w:tcPr>
            <w:tcW w:w="2787" w:type="dxa"/>
          </w:tcPr>
          <w:p w:rsidR="00086D6F" w:rsidRDefault="006310BC" w:rsidP="00CB7B26">
            <w:pPr>
              <w:pStyle w:val="a3"/>
              <w:spacing w:line="360" w:lineRule="auto"/>
              <w:jc w:val="both"/>
              <w:rPr>
                <w:rFonts w:cs="David"/>
                <w:rtl/>
              </w:rPr>
            </w:pPr>
            <w:r>
              <w:rPr>
                <w:rFonts w:cs="David" w:hint="cs"/>
                <w:rtl/>
              </w:rPr>
              <w:t xml:space="preserve">חוקר נוער </w:t>
            </w:r>
          </w:p>
        </w:tc>
        <w:tc>
          <w:tcPr>
            <w:tcW w:w="6805" w:type="dxa"/>
          </w:tcPr>
          <w:p w:rsidR="00086D6F" w:rsidRDefault="006310BC" w:rsidP="00CB7B26">
            <w:pPr>
              <w:pStyle w:val="a3"/>
              <w:spacing w:line="360" w:lineRule="auto"/>
              <w:jc w:val="both"/>
              <w:rPr>
                <w:rFonts w:cs="David"/>
                <w:rtl/>
              </w:rPr>
            </w:pPr>
            <w:r>
              <w:rPr>
                <w:rFonts w:cs="David" w:hint="cs"/>
                <w:rtl/>
              </w:rPr>
              <w:t>*</w:t>
            </w:r>
            <w:r w:rsidRPr="006310BC">
              <w:rPr>
                <w:rFonts w:ascii="Times New Roman" w:eastAsia="Times New Roman" w:hAnsi="Times New Roman" w:cs="FrankRuehl"/>
                <w:sz w:val="24"/>
                <w:szCs w:val="24"/>
                <w:rtl/>
              </w:rPr>
              <w:t xml:space="preserve"> </w:t>
            </w:r>
            <w:r w:rsidRPr="006310BC">
              <w:rPr>
                <w:rFonts w:cs="David"/>
                <w:rtl/>
              </w:rPr>
              <w:t>גם מסקנותיו של חוקר הנוער בקשר לחקירה הן קבילות בבית המשפט</w:t>
            </w:r>
            <w:r>
              <w:rPr>
                <w:rFonts w:cs="David" w:hint="cs"/>
                <w:rtl/>
              </w:rPr>
              <w:t>.</w:t>
            </w:r>
          </w:p>
          <w:p w:rsidR="006310BC" w:rsidRDefault="006310BC" w:rsidP="00CB7B26">
            <w:pPr>
              <w:pStyle w:val="a3"/>
              <w:spacing w:line="360" w:lineRule="auto"/>
              <w:jc w:val="both"/>
              <w:rPr>
                <w:rFonts w:cs="David"/>
                <w:rtl/>
              </w:rPr>
            </w:pPr>
            <w:r>
              <w:rPr>
                <w:rFonts w:cs="David" w:hint="cs"/>
                <w:rtl/>
              </w:rPr>
              <w:t xml:space="preserve">* </w:t>
            </w:r>
            <w:r w:rsidRPr="006310BC">
              <w:rPr>
                <w:rFonts w:cs="David"/>
                <w:rtl/>
              </w:rPr>
              <w:t>בית המשפט אינו כבול למסקנות של</w:t>
            </w:r>
            <w:r w:rsidRPr="006310BC">
              <w:rPr>
                <w:rFonts w:cs="David"/>
              </w:rPr>
              <w:t xml:space="preserve"> </w:t>
            </w:r>
            <w:r w:rsidRPr="006310BC">
              <w:rPr>
                <w:rFonts w:cs="David"/>
                <w:rtl/>
              </w:rPr>
              <w:t xml:space="preserve">חוקר הנוער המובאות לידיעתו. שאלת המהימנות ומשקלה </w:t>
            </w:r>
            <w:proofErr w:type="spellStart"/>
            <w:r w:rsidRPr="006310BC">
              <w:rPr>
                <w:rFonts w:cs="David"/>
                <w:rtl/>
              </w:rPr>
              <w:t>ההוכחתי</w:t>
            </w:r>
            <w:proofErr w:type="spellEnd"/>
            <w:r w:rsidRPr="006310BC">
              <w:rPr>
                <w:rFonts w:cs="David"/>
                <w:rtl/>
              </w:rPr>
              <w:t xml:space="preserve"> של ההודעה שנגבתה</w:t>
            </w:r>
            <w:r w:rsidRPr="006310BC">
              <w:rPr>
                <w:rFonts w:cs="David"/>
              </w:rPr>
              <w:t xml:space="preserve"> </w:t>
            </w:r>
            <w:r w:rsidRPr="006310BC">
              <w:rPr>
                <w:rFonts w:cs="David"/>
                <w:rtl/>
              </w:rPr>
              <w:t>בידי חוקר הנוער היא לעולם שאלה שההכרעה הסופית בה היא בידי בית המשפט</w:t>
            </w:r>
            <w:r>
              <w:rPr>
                <w:rFonts w:cs="David" w:hint="cs"/>
                <w:rtl/>
              </w:rPr>
              <w:t>.</w:t>
            </w:r>
          </w:p>
        </w:tc>
      </w:tr>
      <w:tr w:rsidR="00086D6F" w:rsidTr="00923E1D">
        <w:tc>
          <w:tcPr>
            <w:tcW w:w="1893" w:type="dxa"/>
          </w:tcPr>
          <w:p w:rsidR="00086D6F" w:rsidRDefault="000554F4" w:rsidP="00CB7B26">
            <w:pPr>
              <w:pStyle w:val="a3"/>
              <w:spacing w:line="360" w:lineRule="auto"/>
              <w:jc w:val="both"/>
              <w:rPr>
                <w:rFonts w:cs="David"/>
                <w:rtl/>
              </w:rPr>
            </w:pPr>
            <w:proofErr w:type="spellStart"/>
            <w:r>
              <w:rPr>
                <w:rFonts w:cs="David" w:hint="cs"/>
                <w:rtl/>
              </w:rPr>
              <w:t>דנ"פ</w:t>
            </w:r>
            <w:proofErr w:type="spellEnd"/>
            <w:r>
              <w:rPr>
                <w:rFonts w:cs="David" w:hint="cs"/>
                <w:rtl/>
              </w:rPr>
              <w:t xml:space="preserve"> </w:t>
            </w:r>
            <w:r w:rsidR="00952CB4">
              <w:rPr>
                <w:rFonts w:cs="David" w:hint="cs"/>
                <w:rtl/>
              </w:rPr>
              <w:t>פלוני 94</w:t>
            </w:r>
          </w:p>
        </w:tc>
        <w:tc>
          <w:tcPr>
            <w:tcW w:w="2787" w:type="dxa"/>
          </w:tcPr>
          <w:p w:rsidR="00086D6F" w:rsidRDefault="00086D6F" w:rsidP="00CB7B26">
            <w:pPr>
              <w:pStyle w:val="a3"/>
              <w:spacing w:line="360" w:lineRule="auto"/>
              <w:jc w:val="both"/>
              <w:rPr>
                <w:rFonts w:cs="David"/>
                <w:rtl/>
              </w:rPr>
            </w:pPr>
          </w:p>
        </w:tc>
        <w:tc>
          <w:tcPr>
            <w:tcW w:w="6805" w:type="dxa"/>
          </w:tcPr>
          <w:p w:rsidR="00086D6F" w:rsidRDefault="00952CB4" w:rsidP="00CB7B26">
            <w:pPr>
              <w:pStyle w:val="a3"/>
              <w:spacing w:line="360" w:lineRule="auto"/>
              <w:jc w:val="both"/>
              <w:rPr>
                <w:rFonts w:cs="David"/>
                <w:rtl/>
              </w:rPr>
            </w:pPr>
            <w:r>
              <w:rPr>
                <w:rFonts w:cs="David" w:hint="cs"/>
                <w:rtl/>
              </w:rPr>
              <w:t>*</w:t>
            </w:r>
            <w:r w:rsidRPr="00952CB4">
              <w:rPr>
                <w:rFonts w:cs="David"/>
                <w:rtl/>
              </w:rPr>
              <w:t xml:space="preserve">האיסור על העדת ילד בלי שניתנה לכך רשות מאת חוקר נוער הוא החלטי; אין לבית המשפט שיקול-דעת </w:t>
            </w:r>
            <w:proofErr w:type="spellStart"/>
            <w:r w:rsidRPr="00952CB4">
              <w:rPr>
                <w:rFonts w:cs="David"/>
                <w:rtl/>
              </w:rPr>
              <w:t>בכגון</w:t>
            </w:r>
            <w:proofErr w:type="spellEnd"/>
            <w:r w:rsidRPr="00952CB4">
              <w:rPr>
                <w:rFonts w:cs="David"/>
                <w:rtl/>
              </w:rPr>
              <w:t xml:space="preserve"> דא, הוא אינו יכול לעקוף את האיסור, ואין בעלי הדין או פרקליטיהם יכולים להסכים על סטייה מהם, כל עוד ממאן חוקר הנוער לתת רשות</w:t>
            </w:r>
            <w:r>
              <w:rPr>
                <w:rFonts w:cs="David" w:hint="cs"/>
                <w:rtl/>
              </w:rPr>
              <w:t>.</w:t>
            </w:r>
          </w:p>
          <w:p w:rsidR="00952CB4" w:rsidRDefault="00952CB4" w:rsidP="00CB7B26">
            <w:pPr>
              <w:pStyle w:val="a3"/>
              <w:spacing w:line="360" w:lineRule="auto"/>
              <w:jc w:val="both"/>
              <w:rPr>
                <w:rFonts w:cs="David"/>
                <w:rtl/>
              </w:rPr>
            </w:pPr>
            <w:r>
              <w:rPr>
                <w:rFonts w:cs="David" w:hint="cs"/>
                <w:rtl/>
              </w:rPr>
              <w:t xml:space="preserve">*זיכרון הדברים ודין החשבון של חוקר הנוער הם קבילים. </w:t>
            </w:r>
          </w:p>
          <w:p w:rsidR="00952CB4" w:rsidRDefault="00952CB4" w:rsidP="00CB7B26">
            <w:pPr>
              <w:pStyle w:val="a3"/>
              <w:spacing w:line="360" w:lineRule="auto"/>
              <w:jc w:val="both"/>
              <w:rPr>
                <w:rFonts w:cs="David"/>
                <w:rtl/>
              </w:rPr>
            </w:pPr>
            <w:r>
              <w:rPr>
                <w:rFonts w:cs="David" w:hint="cs"/>
                <w:rtl/>
              </w:rPr>
              <w:t xml:space="preserve">* </w:t>
            </w:r>
            <w:r w:rsidRPr="00952CB4">
              <w:rPr>
                <w:rFonts w:cs="David"/>
                <w:rtl/>
              </w:rPr>
              <w:t>האחריות בעניין קביעת המסקנה בדבר המהימנות היא לעולם זו של בית המשפט.</w:t>
            </w:r>
          </w:p>
          <w:p w:rsidR="00952CB4" w:rsidRDefault="00952CB4" w:rsidP="00CB7B26">
            <w:pPr>
              <w:pStyle w:val="a3"/>
              <w:spacing w:line="360" w:lineRule="auto"/>
              <w:jc w:val="both"/>
              <w:rPr>
                <w:rFonts w:cs="David"/>
                <w:rtl/>
              </w:rPr>
            </w:pPr>
            <w:r>
              <w:rPr>
                <w:rFonts w:cs="David" w:hint="cs"/>
                <w:rtl/>
              </w:rPr>
              <w:t xml:space="preserve">* </w:t>
            </w:r>
            <w:r w:rsidRPr="00952CB4">
              <w:rPr>
                <w:rFonts w:cs="David"/>
                <w:rtl/>
              </w:rPr>
              <w:t>מסלול החקירה המיוחד שקבע המחוקק אינו מתבטא רק בכך שחוקר הנוער מקיים חקירה מחוץ לכותלי בית המשפט, אלא גם במובן זה שתוצאות החקירה, במובנן הרחב, מובאות לפני בית המשפט.</w:t>
            </w:r>
          </w:p>
          <w:p w:rsidR="005C2376" w:rsidRDefault="005C2376" w:rsidP="00CB7B26">
            <w:pPr>
              <w:pStyle w:val="a3"/>
              <w:spacing w:line="360" w:lineRule="auto"/>
              <w:jc w:val="both"/>
              <w:rPr>
                <w:rFonts w:cs="David"/>
                <w:rtl/>
              </w:rPr>
            </w:pPr>
            <w:r>
              <w:rPr>
                <w:rFonts w:cs="David" w:hint="cs"/>
                <w:rtl/>
              </w:rPr>
              <w:t xml:space="preserve">* </w:t>
            </w:r>
            <w:r w:rsidRPr="005C2376">
              <w:rPr>
                <w:rFonts w:cs="David"/>
                <w:rtl/>
              </w:rPr>
              <w:t>ילד שמגיע לגיל ארבע-עשרה ניתן לזמנו למשפט ככל עד, ועל-פי דין אין צורך שתינתן רשות על-ידי חוקר הנוער</w:t>
            </w:r>
            <w:r w:rsidRPr="005C2376">
              <w:rPr>
                <w:rFonts w:cs="David"/>
              </w:rPr>
              <w:t>.</w:t>
            </w:r>
            <w:r>
              <w:rPr>
                <w:rFonts w:cs="David" w:hint="cs"/>
                <w:rtl/>
              </w:rPr>
              <w:t xml:space="preserve"> </w:t>
            </w:r>
            <w:r w:rsidRPr="005C2376">
              <w:rPr>
                <w:rFonts w:cs="David"/>
                <w:rtl/>
              </w:rPr>
              <w:t>עדותו לפני חוקר הנוער וזיכרון הדברים והדין וחשבון של החוקר שהוגשו בעת היות הקטין למטה מגיל</w:t>
            </w:r>
            <w:r w:rsidRPr="005C2376">
              <w:rPr>
                <w:rFonts w:cs="David"/>
              </w:rPr>
              <w:t xml:space="preserve"> </w:t>
            </w:r>
            <w:r w:rsidRPr="005C2376">
              <w:rPr>
                <w:rFonts w:cs="David"/>
                <w:rtl/>
              </w:rPr>
              <w:t>ארבע-עשרה, אינם נפסלים בדיעבד בשל כך שבינתיים הגיע הקטין לגיל ארבע-עשרה.</w:t>
            </w:r>
          </w:p>
          <w:p w:rsidR="005C2376" w:rsidRDefault="005C2376" w:rsidP="00CB7B26">
            <w:pPr>
              <w:pStyle w:val="a3"/>
              <w:spacing w:line="360" w:lineRule="auto"/>
              <w:jc w:val="both"/>
              <w:rPr>
                <w:rFonts w:cs="David"/>
                <w:rtl/>
              </w:rPr>
            </w:pPr>
            <w:r>
              <w:rPr>
                <w:rFonts w:cs="David" w:hint="cs"/>
                <w:rtl/>
              </w:rPr>
              <w:t xml:space="preserve">* </w:t>
            </w:r>
            <w:r w:rsidRPr="005C2376">
              <w:rPr>
                <w:rFonts w:cs="David"/>
                <w:rtl/>
              </w:rPr>
              <w:t>אחרי הגיעו של הקטין לגיל ארבע-עשרה אין עוד להגיש את עדותו שנגבתה על-ידי חוקר הנוער, את זיכרון הדברים ואת הדין וחשבון</w:t>
            </w:r>
            <w:r w:rsidRPr="005C2376">
              <w:rPr>
                <w:rFonts w:cs="David"/>
              </w:rPr>
              <w:t>.</w:t>
            </w:r>
          </w:p>
          <w:p w:rsidR="005C2376" w:rsidRDefault="00494168" w:rsidP="00CB7B26">
            <w:pPr>
              <w:pStyle w:val="a3"/>
              <w:spacing w:line="360" w:lineRule="auto"/>
              <w:jc w:val="both"/>
              <w:rPr>
                <w:rFonts w:cs="David"/>
                <w:rtl/>
              </w:rPr>
            </w:pPr>
            <w:r>
              <w:rPr>
                <w:rFonts w:cs="David" w:hint="cs"/>
                <w:rtl/>
              </w:rPr>
              <w:t xml:space="preserve">* </w:t>
            </w:r>
            <w:r w:rsidRPr="00494168">
              <w:rPr>
                <w:rFonts w:cs="David"/>
                <w:rtl/>
              </w:rPr>
              <w:t>הדין אינו מחייב את מגיש ההודעה להעיד את הקטין במקום שהלה 'מתבגר' לפני שהסתיים הדיון</w:t>
            </w:r>
            <w:r>
              <w:rPr>
                <w:rFonts w:cs="David" w:hint="cs"/>
                <w:rtl/>
              </w:rPr>
              <w:t>.</w:t>
            </w:r>
          </w:p>
          <w:p w:rsidR="00494168" w:rsidRDefault="00494168" w:rsidP="00CB7B26">
            <w:pPr>
              <w:pStyle w:val="a3"/>
              <w:spacing w:line="360" w:lineRule="auto"/>
              <w:jc w:val="both"/>
              <w:rPr>
                <w:rFonts w:cs="David"/>
                <w:rtl/>
              </w:rPr>
            </w:pPr>
            <w:r>
              <w:rPr>
                <w:rFonts w:cs="David" w:hint="cs"/>
                <w:rtl/>
              </w:rPr>
              <w:t>*</w:t>
            </w:r>
            <w:r w:rsidRPr="00494168">
              <w:rPr>
                <w:rFonts w:ascii="Times New Roman" w:eastAsia="Times New Roman" w:hAnsi="Times New Roman" w:cs="FrankRuehl"/>
                <w:color w:val="FFFFFF"/>
                <w:sz w:val="24"/>
                <w:szCs w:val="24"/>
                <w:rtl/>
              </w:rPr>
              <w:t xml:space="preserve"> </w:t>
            </w:r>
            <w:r w:rsidRPr="00494168">
              <w:rPr>
                <w:rFonts w:cs="David"/>
                <w:rtl/>
              </w:rPr>
              <w:t>אינני סבור כי ניתן לקבוע באופן כללי וסוחף כי אי-העדת הקטינה שהגיעה זה עתה לגיל ארבע-עשרה צריכה להפחית</w:t>
            </w:r>
            <w:r w:rsidRPr="00494168">
              <w:rPr>
                <w:rFonts w:cs="David"/>
              </w:rPr>
              <w:t xml:space="preserve">, </w:t>
            </w:r>
            <w:r w:rsidRPr="00494168">
              <w:rPr>
                <w:rFonts w:cs="David"/>
                <w:rtl/>
              </w:rPr>
              <w:t>מניה וביה, ממשקל עדותה. כל מקרה צריך להיבחן לאור נסיבותיו</w:t>
            </w:r>
            <w:r>
              <w:rPr>
                <w:rFonts w:cs="David" w:hint="cs"/>
                <w:rtl/>
              </w:rPr>
              <w:t>.</w:t>
            </w:r>
          </w:p>
        </w:tc>
      </w:tr>
      <w:tr w:rsidR="00086D6F" w:rsidTr="00923E1D">
        <w:tc>
          <w:tcPr>
            <w:tcW w:w="1893" w:type="dxa"/>
          </w:tcPr>
          <w:p w:rsidR="00086D6F" w:rsidRDefault="000554F4" w:rsidP="00CB7B26">
            <w:pPr>
              <w:pStyle w:val="a3"/>
              <w:spacing w:line="360" w:lineRule="auto"/>
              <w:jc w:val="both"/>
              <w:rPr>
                <w:rFonts w:cs="David"/>
                <w:rtl/>
              </w:rPr>
            </w:pPr>
            <w:proofErr w:type="spellStart"/>
            <w:r>
              <w:rPr>
                <w:rFonts w:cs="David" w:hint="cs"/>
                <w:rtl/>
              </w:rPr>
              <w:t>רע"פ</w:t>
            </w:r>
            <w:proofErr w:type="spellEnd"/>
            <w:r>
              <w:rPr>
                <w:rFonts w:cs="David" w:hint="cs"/>
                <w:rtl/>
              </w:rPr>
              <w:t xml:space="preserve"> ב</w:t>
            </w:r>
            <w:r w:rsidR="00303845">
              <w:rPr>
                <w:rFonts w:cs="David" w:hint="cs"/>
                <w:rtl/>
              </w:rPr>
              <w:t>ן אברהם</w:t>
            </w:r>
          </w:p>
        </w:tc>
        <w:tc>
          <w:tcPr>
            <w:tcW w:w="2787" w:type="dxa"/>
          </w:tcPr>
          <w:p w:rsidR="00086D6F" w:rsidRDefault="00086D6F" w:rsidP="00CB7B26">
            <w:pPr>
              <w:pStyle w:val="a3"/>
              <w:spacing w:line="360" w:lineRule="auto"/>
              <w:jc w:val="both"/>
              <w:rPr>
                <w:rFonts w:cs="David"/>
                <w:rtl/>
              </w:rPr>
            </w:pPr>
          </w:p>
        </w:tc>
        <w:tc>
          <w:tcPr>
            <w:tcW w:w="6805" w:type="dxa"/>
          </w:tcPr>
          <w:p w:rsidR="00C75DC4" w:rsidRDefault="00303845" w:rsidP="00CB7B26">
            <w:pPr>
              <w:pStyle w:val="a3"/>
              <w:spacing w:line="360" w:lineRule="auto"/>
              <w:jc w:val="both"/>
              <w:rPr>
                <w:rFonts w:cs="David"/>
                <w:rtl/>
              </w:rPr>
            </w:pPr>
            <w:r>
              <w:rPr>
                <w:rFonts w:cs="David"/>
              </w:rPr>
              <w:t>*</w:t>
            </w:r>
            <w:r w:rsidR="00C75DC4" w:rsidRPr="00C75DC4">
              <w:rPr>
                <w:rFonts w:ascii="Times New Roman" w:eastAsia="Times New Roman" w:hAnsi="Times New Roman" w:cs="FrankRuehl"/>
                <w:sz w:val="20"/>
                <w:rtl/>
              </w:rPr>
              <w:t xml:space="preserve"> </w:t>
            </w:r>
            <w:r w:rsidR="00C75DC4">
              <w:rPr>
                <w:rFonts w:cs="David" w:hint="cs"/>
                <w:rtl/>
              </w:rPr>
              <w:t xml:space="preserve">אין להבחין, </w:t>
            </w:r>
            <w:r w:rsidR="00C75DC4" w:rsidRPr="00C75DC4">
              <w:rPr>
                <w:rFonts w:cs="David"/>
                <w:rtl/>
              </w:rPr>
              <w:t xml:space="preserve">לעניין כשרות הראיה כמשמעותה לפי סעיף </w:t>
            </w:r>
            <w:r w:rsidR="00C75DC4" w:rsidRPr="00C75DC4">
              <w:rPr>
                <w:rFonts w:cs="David"/>
              </w:rPr>
              <w:t>9</w:t>
            </w:r>
            <w:r w:rsidR="00C75DC4" w:rsidRPr="00C75DC4">
              <w:rPr>
                <w:rFonts w:cs="David"/>
                <w:rtl/>
              </w:rPr>
              <w:t>לחוק לתיקון פקודת הראיות (הגנת ילדים), בין משפט אשר בו ניתנת עדות המתלוננת בבית המשפט כעדות ובשבועה</w:t>
            </w:r>
            <w:r w:rsidR="00C75DC4" w:rsidRPr="00C75DC4">
              <w:rPr>
                <w:rFonts w:cs="David"/>
              </w:rPr>
              <w:t xml:space="preserve"> </w:t>
            </w:r>
            <w:r w:rsidR="00C75DC4" w:rsidRPr="00C75DC4">
              <w:rPr>
                <w:rFonts w:cs="David"/>
                <w:rtl/>
              </w:rPr>
              <w:t>לבין משפט אשר בו עדות כזאת אינה ניתנת.</w:t>
            </w:r>
            <w:r w:rsidR="00C75DC4">
              <w:rPr>
                <w:rFonts w:cs="David" w:hint="cs"/>
                <w:rtl/>
              </w:rPr>
              <w:t xml:space="preserve"> </w:t>
            </w:r>
            <w:r w:rsidR="00C75DC4" w:rsidRPr="00C75DC4">
              <w:rPr>
                <w:rFonts w:cs="David"/>
                <w:rtl/>
              </w:rPr>
              <w:t>נמצא שאף אם המתלוננת עצמה מעידה בבית המשפט, עדיין עדותה שנתנה לחוקר הנוער כשרה כראיה – ואין בין כשרות זו לבין כשרותה כראיה כשאינה מעידה בבית המשפט, כל הבדל</w:t>
            </w:r>
            <w:r w:rsidR="00C75DC4">
              <w:rPr>
                <w:rFonts w:cs="David" w:hint="cs"/>
                <w:rtl/>
              </w:rPr>
              <w:t>.</w:t>
            </w:r>
          </w:p>
          <w:p w:rsidR="00086D6F" w:rsidRDefault="00C75DC4" w:rsidP="00CB7B26">
            <w:pPr>
              <w:pStyle w:val="a3"/>
              <w:spacing w:line="360" w:lineRule="auto"/>
              <w:jc w:val="both"/>
              <w:rPr>
                <w:rFonts w:cs="David"/>
                <w:rtl/>
              </w:rPr>
            </w:pPr>
            <w:r>
              <w:rPr>
                <w:rFonts w:cs="David" w:hint="cs"/>
                <w:rtl/>
              </w:rPr>
              <w:t xml:space="preserve">* </w:t>
            </w:r>
            <w:r w:rsidR="00303845" w:rsidRPr="00303845">
              <w:rPr>
                <w:rFonts w:cs="David"/>
                <w:rtl/>
              </w:rPr>
              <w:t xml:space="preserve">סעיף </w:t>
            </w:r>
            <w:r w:rsidR="00303845" w:rsidRPr="00303845">
              <w:rPr>
                <w:rFonts w:cs="David"/>
              </w:rPr>
              <w:t>11</w:t>
            </w:r>
            <w:r w:rsidR="00303845" w:rsidRPr="00303845">
              <w:rPr>
                <w:rFonts w:cs="David"/>
                <w:rtl/>
              </w:rPr>
              <w:t xml:space="preserve">לחוק הנ"ל קובע כי לא יורשע אדם על סמך ראיה שהוגשה לפי סעיף </w:t>
            </w:r>
            <w:r w:rsidR="00303845" w:rsidRPr="00303845">
              <w:rPr>
                <w:rFonts w:cs="David"/>
              </w:rPr>
              <w:t>9</w:t>
            </w:r>
            <w:r w:rsidR="00303845" w:rsidRPr="00303845">
              <w:rPr>
                <w:rFonts w:cs="David"/>
                <w:rtl/>
              </w:rPr>
              <w:t>הנ"ל, אלא אם יש סיוע בראיה אחרת</w:t>
            </w:r>
            <w:r w:rsidR="00303845" w:rsidRPr="00303845">
              <w:rPr>
                <w:rFonts w:cs="David"/>
              </w:rPr>
              <w:t>.</w:t>
            </w:r>
            <w:r w:rsidR="00303845">
              <w:rPr>
                <w:rFonts w:cs="David" w:hint="cs"/>
                <w:rtl/>
              </w:rPr>
              <w:t xml:space="preserve"> </w:t>
            </w:r>
            <w:r w:rsidR="00303845" w:rsidRPr="00303845">
              <w:rPr>
                <w:rFonts w:cs="David"/>
                <w:rtl/>
              </w:rPr>
              <w:t>כוונתו</w:t>
            </w:r>
            <w:r w:rsidR="00303845" w:rsidRPr="00303845">
              <w:rPr>
                <w:rFonts w:cs="David"/>
              </w:rPr>
              <w:t xml:space="preserve"> </w:t>
            </w:r>
            <w:r w:rsidR="00303845" w:rsidRPr="00303845">
              <w:rPr>
                <w:rFonts w:cs="David"/>
                <w:rtl/>
              </w:rPr>
              <w:t>לנסיבות שבהן עומדת לפני בית המשפט אך ורק ראיה שנתקבלה לפי סעיף 9, ולא ראיה</w:t>
            </w:r>
            <w:r w:rsidR="00303845" w:rsidRPr="00303845">
              <w:rPr>
                <w:rFonts w:cs="David"/>
              </w:rPr>
              <w:t xml:space="preserve"> </w:t>
            </w:r>
            <w:r w:rsidR="00303845" w:rsidRPr="00303845">
              <w:rPr>
                <w:rFonts w:cs="David"/>
                <w:rtl/>
              </w:rPr>
              <w:t>אחרת.</w:t>
            </w:r>
          </w:p>
          <w:p w:rsidR="00C75DC4" w:rsidRDefault="00C75DC4" w:rsidP="00CB7B26">
            <w:pPr>
              <w:pStyle w:val="a3"/>
              <w:spacing w:line="360" w:lineRule="auto"/>
              <w:jc w:val="both"/>
              <w:rPr>
                <w:rFonts w:cs="David"/>
                <w:rtl/>
              </w:rPr>
            </w:pPr>
            <w:r>
              <w:rPr>
                <w:rFonts w:cs="David" w:hint="cs"/>
                <w:rtl/>
              </w:rPr>
              <w:t xml:space="preserve">* </w:t>
            </w:r>
            <w:r w:rsidRPr="00C75DC4">
              <w:rPr>
                <w:rFonts w:cs="David"/>
                <w:rtl/>
              </w:rPr>
              <w:t xml:space="preserve">כאשר יש ראיות נוספות, כוללים גם אותן במכלול חומר הראיות אשר נבחן עובר </w:t>
            </w:r>
            <w:r w:rsidRPr="00C75DC4">
              <w:rPr>
                <w:rFonts w:cs="David"/>
                <w:rtl/>
              </w:rPr>
              <w:lastRenderedPageBreak/>
              <w:t>להחלטה בדבר הרשעה או זיכוי. כאשר חומר הראיות האחר, פרט לאמרות, אינו מספיק כדי לבסס עליו לבדו את ההרשעה בדין ושבים ונזקקים לאמרה, יש, כמובן, צורך לבחון אם מן החומר האחר עולה לפחות סיוע לאמרה</w:t>
            </w:r>
            <w:r>
              <w:rPr>
                <w:rFonts w:cs="David"/>
              </w:rPr>
              <w:t>.</w:t>
            </w:r>
          </w:p>
        </w:tc>
      </w:tr>
      <w:tr w:rsidR="00086D6F" w:rsidTr="00923E1D">
        <w:tc>
          <w:tcPr>
            <w:tcW w:w="1893" w:type="dxa"/>
          </w:tcPr>
          <w:p w:rsidR="00086D6F" w:rsidRDefault="000554F4" w:rsidP="00CB7B26">
            <w:pPr>
              <w:pStyle w:val="a3"/>
              <w:spacing w:line="360" w:lineRule="auto"/>
              <w:jc w:val="both"/>
              <w:rPr>
                <w:rFonts w:cs="David"/>
                <w:rtl/>
              </w:rPr>
            </w:pPr>
            <w:r>
              <w:rPr>
                <w:rFonts w:cs="David" w:hint="cs"/>
                <w:rtl/>
              </w:rPr>
              <w:lastRenderedPageBreak/>
              <w:t xml:space="preserve">ע"פ </w:t>
            </w:r>
            <w:r w:rsidR="00175836">
              <w:rPr>
                <w:rFonts w:cs="David" w:hint="cs"/>
                <w:rtl/>
              </w:rPr>
              <w:t>פלוני 91</w:t>
            </w:r>
          </w:p>
        </w:tc>
        <w:tc>
          <w:tcPr>
            <w:tcW w:w="2787" w:type="dxa"/>
          </w:tcPr>
          <w:p w:rsidR="00086D6F" w:rsidRDefault="000554F4" w:rsidP="00CB7B26">
            <w:pPr>
              <w:pStyle w:val="a3"/>
              <w:spacing w:line="360" w:lineRule="auto"/>
              <w:jc w:val="both"/>
              <w:rPr>
                <w:rFonts w:cs="David"/>
                <w:rtl/>
              </w:rPr>
            </w:pPr>
            <w:r>
              <w:rPr>
                <w:rFonts w:cs="David" w:hint="cs"/>
                <w:rtl/>
              </w:rPr>
              <w:t>עדות קטינות.</w:t>
            </w:r>
          </w:p>
        </w:tc>
        <w:tc>
          <w:tcPr>
            <w:tcW w:w="6805" w:type="dxa"/>
          </w:tcPr>
          <w:p w:rsidR="00086D6F" w:rsidRDefault="00175836" w:rsidP="00CB7B26">
            <w:pPr>
              <w:pStyle w:val="a3"/>
              <w:spacing w:line="360" w:lineRule="auto"/>
              <w:jc w:val="both"/>
              <w:rPr>
                <w:rFonts w:cs="David"/>
                <w:rtl/>
              </w:rPr>
            </w:pPr>
            <w:r>
              <w:rPr>
                <w:rFonts w:cs="David" w:hint="cs"/>
                <w:rtl/>
              </w:rPr>
              <w:t xml:space="preserve">*הוראות סעיפים 2-4 לחוק לתיקון פקודת הראיות (הגנת ילדים) הן הוראות </w:t>
            </w:r>
            <w:proofErr w:type="spellStart"/>
            <w:r>
              <w:rPr>
                <w:rFonts w:cs="David" w:hint="cs"/>
                <w:rtl/>
              </w:rPr>
              <w:t>קוגנטיות</w:t>
            </w:r>
            <w:proofErr w:type="spellEnd"/>
            <w:r>
              <w:rPr>
                <w:rFonts w:cs="David" w:hint="cs"/>
                <w:rtl/>
              </w:rPr>
              <w:t xml:space="preserve"> ואין </w:t>
            </w:r>
            <w:proofErr w:type="spellStart"/>
            <w:r>
              <w:rPr>
                <w:rFonts w:cs="David" w:hint="cs"/>
                <w:rtl/>
              </w:rPr>
              <w:t>לעוקפן</w:t>
            </w:r>
            <w:proofErr w:type="spellEnd"/>
            <w:r>
              <w:rPr>
                <w:rFonts w:cs="David" w:hint="cs"/>
                <w:rtl/>
              </w:rPr>
              <w:t xml:space="preserve"> ע"י הסכמה של הורי הקטין או של באי כוח הצדדים.</w:t>
            </w:r>
          </w:p>
        </w:tc>
      </w:tr>
      <w:tr w:rsidR="00086D6F" w:rsidTr="00923E1D">
        <w:tc>
          <w:tcPr>
            <w:tcW w:w="1893" w:type="dxa"/>
          </w:tcPr>
          <w:p w:rsidR="00086D6F" w:rsidRDefault="000554F4" w:rsidP="00CB7B26">
            <w:pPr>
              <w:pStyle w:val="a3"/>
              <w:spacing w:line="360" w:lineRule="auto"/>
              <w:jc w:val="both"/>
              <w:rPr>
                <w:rFonts w:cs="David"/>
                <w:rtl/>
              </w:rPr>
            </w:pPr>
            <w:proofErr w:type="spellStart"/>
            <w:r>
              <w:rPr>
                <w:rFonts w:cs="David" w:hint="cs"/>
                <w:rtl/>
              </w:rPr>
              <w:t>רע"פ</w:t>
            </w:r>
            <w:proofErr w:type="spellEnd"/>
            <w:r>
              <w:rPr>
                <w:rFonts w:cs="David" w:hint="cs"/>
                <w:rtl/>
              </w:rPr>
              <w:t xml:space="preserve"> מזרחי</w:t>
            </w:r>
          </w:p>
        </w:tc>
        <w:tc>
          <w:tcPr>
            <w:tcW w:w="2787" w:type="dxa"/>
          </w:tcPr>
          <w:p w:rsidR="00086D6F" w:rsidRDefault="00086D6F" w:rsidP="00CB7B26">
            <w:pPr>
              <w:pStyle w:val="a3"/>
              <w:spacing w:line="360" w:lineRule="auto"/>
              <w:jc w:val="both"/>
              <w:rPr>
                <w:rFonts w:cs="David"/>
                <w:rtl/>
              </w:rPr>
            </w:pPr>
          </w:p>
        </w:tc>
        <w:tc>
          <w:tcPr>
            <w:tcW w:w="6805" w:type="dxa"/>
          </w:tcPr>
          <w:p w:rsidR="002B2C09" w:rsidRDefault="000554F4" w:rsidP="00CB7B26">
            <w:pPr>
              <w:pStyle w:val="a3"/>
              <w:spacing w:line="360" w:lineRule="auto"/>
              <w:jc w:val="both"/>
              <w:rPr>
                <w:rFonts w:cs="David"/>
                <w:rtl/>
              </w:rPr>
            </w:pPr>
            <w:r>
              <w:rPr>
                <w:rFonts w:cs="David" w:hint="cs"/>
                <w:rtl/>
              </w:rPr>
              <w:t xml:space="preserve">גולדברג: </w:t>
            </w:r>
            <w:r w:rsidR="002B2C09">
              <w:rPr>
                <w:rFonts w:cs="David" w:hint="cs"/>
                <w:rtl/>
              </w:rPr>
              <w:t>*עדות של ילד שנפסקה היא קבילה.</w:t>
            </w:r>
          </w:p>
          <w:p w:rsidR="002B2C09" w:rsidRDefault="002B2C09" w:rsidP="00CB7B26">
            <w:pPr>
              <w:pStyle w:val="a3"/>
              <w:spacing w:line="360" w:lineRule="auto"/>
              <w:jc w:val="both"/>
              <w:rPr>
                <w:rFonts w:cs="David"/>
                <w:rtl/>
              </w:rPr>
            </w:pPr>
            <w:r>
              <w:rPr>
                <w:rFonts w:cs="David" w:hint="cs"/>
                <w:rtl/>
              </w:rPr>
              <w:t>*</w:t>
            </w:r>
            <w:r w:rsidRPr="002B2C09">
              <w:rPr>
                <w:rFonts w:cs="FrankRuehl"/>
                <w:sz w:val="20"/>
                <w:rtl/>
              </w:rPr>
              <w:t xml:space="preserve"> </w:t>
            </w:r>
            <w:r w:rsidRPr="002B2C09">
              <w:rPr>
                <w:rFonts w:cs="David"/>
                <w:rtl/>
              </w:rPr>
              <w:t>שני מסלולים חלופיים: אם הותרה עדותו של הילד, כי אז חלים עליו דיני הראיות הכלליים, ואין לקבל את עדותו בפני חוקר נוער אלא אם נתמלאו תנאיו של סעיף 10א(א). רק אם לא הותרה עדותו, יחול סעיף 9 לחוק הקובע חריג לכלל הפוסל עדות שמיעה, ומתיר קבלת העדות לחוקרת הנוער.</w:t>
            </w:r>
          </w:p>
          <w:p w:rsidR="002B2C09" w:rsidRDefault="002B2C09" w:rsidP="00CB7B26">
            <w:pPr>
              <w:pStyle w:val="a3"/>
              <w:spacing w:line="360" w:lineRule="auto"/>
              <w:jc w:val="both"/>
              <w:rPr>
                <w:rFonts w:cs="David"/>
                <w:rtl/>
              </w:rPr>
            </w:pPr>
            <w:r>
              <w:rPr>
                <w:rFonts w:cs="David" w:hint="cs"/>
                <w:rtl/>
              </w:rPr>
              <w:t xml:space="preserve">* </w:t>
            </w:r>
            <w:r w:rsidRPr="002B2C09">
              <w:rPr>
                <w:rFonts w:cs="David"/>
                <w:rtl/>
              </w:rPr>
              <w:t>בית המשפט רשאי לקבל את העדות בפני חוקר הנוער, אך את משקלה יקבע בהתאם למידת השלמתה של עדות הילד בפנ</w:t>
            </w:r>
            <w:r w:rsidR="00447EBF">
              <w:rPr>
                <w:rFonts w:cs="David"/>
                <w:rtl/>
              </w:rPr>
              <w:t>יו.</w:t>
            </w:r>
            <w:r w:rsidR="00447EBF">
              <w:rPr>
                <w:rFonts w:cs="David" w:hint="cs"/>
                <w:rtl/>
              </w:rPr>
              <w:t xml:space="preserve"> </w:t>
            </w:r>
            <w:r w:rsidRPr="002B2C09">
              <w:rPr>
                <w:rFonts w:cs="David"/>
                <w:rtl/>
              </w:rPr>
              <w:t>ככל שהעדות בפני בית המשפט שלמה יותר, ניתן יהא לייחס פחות משקל לעדות בפני חוקר הנוער, ולהפך.</w:t>
            </w:r>
          </w:p>
          <w:p w:rsidR="00447EBF" w:rsidRPr="00447EBF" w:rsidRDefault="00447EBF" w:rsidP="00CB7B26">
            <w:pPr>
              <w:pStyle w:val="a3"/>
              <w:spacing w:line="360" w:lineRule="auto"/>
              <w:jc w:val="both"/>
              <w:rPr>
                <w:rFonts w:cs="David"/>
                <w:rtl/>
              </w:rPr>
            </w:pPr>
            <w:r>
              <w:rPr>
                <w:rFonts w:cs="David" w:hint="cs"/>
                <w:rtl/>
              </w:rPr>
              <w:t xml:space="preserve">* </w:t>
            </w:r>
            <w:r w:rsidRPr="00447EBF">
              <w:rPr>
                <w:rFonts w:cs="David"/>
                <w:rtl/>
              </w:rPr>
              <w:t>ככל שמספקת עדות הילד בבית-המשפט להעריך את מהימנותה, כן יקטן הצורך של בית-המשפט להיעזר בחוות-דעתו של חוקר הנוער, ויפחת משקלה בהתאם, וככל שיימנע מבית-המשפט, עקב הפסקת העדות, להעריך כראוי את מהימנותה, כן יגדל משקלה של חוות-הדעת.</w:t>
            </w:r>
          </w:p>
          <w:p w:rsidR="00447EBF" w:rsidRDefault="00447EBF" w:rsidP="00CB7B26">
            <w:pPr>
              <w:pStyle w:val="a3"/>
              <w:spacing w:line="360" w:lineRule="auto"/>
              <w:jc w:val="both"/>
              <w:rPr>
                <w:rFonts w:cs="David"/>
                <w:rtl/>
              </w:rPr>
            </w:pPr>
            <w:r>
              <w:rPr>
                <w:rFonts w:cs="David" w:hint="cs"/>
                <w:rtl/>
              </w:rPr>
              <w:t xml:space="preserve">* </w:t>
            </w:r>
            <w:r w:rsidRPr="00447EBF">
              <w:rPr>
                <w:rFonts w:cs="David"/>
                <w:rtl/>
              </w:rPr>
              <w:t>אם עדותו של ילד בפני חוקר נוער היא הראיה היחידה לאשמתו של הנאשם, כי אז נדרש לה "סיוע", כמצוות סעיף 11 לחוק</w:t>
            </w:r>
            <w:r>
              <w:rPr>
                <w:rFonts w:cs="David" w:hint="cs"/>
                <w:rtl/>
              </w:rPr>
              <w:t xml:space="preserve">, </w:t>
            </w:r>
            <w:r w:rsidRPr="00447EBF">
              <w:rPr>
                <w:rFonts w:cs="David"/>
                <w:rtl/>
              </w:rPr>
              <w:t>אם מעיד הילד בבית-המשפט טרם הגיעו לגיל 12, די בתמיכה ראייתית מסוג "חיזוק"</w:t>
            </w:r>
            <w:r>
              <w:rPr>
                <w:rFonts w:cs="David" w:hint="cs"/>
                <w:rtl/>
              </w:rPr>
              <w:t>.</w:t>
            </w:r>
          </w:p>
          <w:p w:rsidR="00683A6F" w:rsidRDefault="00447EBF" w:rsidP="00CB7B26">
            <w:pPr>
              <w:pStyle w:val="a3"/>
              <w:spacing w:line="360" w:lineRule="auto"/>
              <w:jc w:val="both"/>
              <w:rPr>
                <w:rFonts w:cs="David"/>
                <w:rtl/>
              </w:rPr>
            </w:pPr>
            <w:r>
              <w:rPr>
                <w:rFonts w:cs="David" w:hint="cs"/>
                <w:rtl/>
              </w:rPr>
              <w:t xml:space="preserve">* </w:t>
            </w:r>
            <w:r w:rsidRPr="00447EBF">
              <w:rPr>
                <w:rFonts w:cs="David"/>
                <w:rtl/>
              </w:rPr>
              <w:t>אם מצויות לפני בית-המשפט עדותו הקטועה של הילד בבית-המשפט ועדותו בפני חוקר נוער, כי אז איני סבור שיש לדרוש, כתנאי להרשעה ובכל מקרה, תוספת ראייתית ברמה של "סיוע".</w:t>
            </w:r>
            <w:r w:rsidRPr="00447EBF">
              <w:rPr>
                <w:rFonts w:ascii="Times New Roman" w:eastAsia="Times New Roman" w:hAnsi="Times New Roman" w:cs="FrankRuehl"/>
                <w:sz w:val="20"/>
                <w:szCs w:val="24"/>
                <w:rtl/>
                <w:lang w:eastAsia="he-IL"/>
              </w:rPr>
              <w:t xml:space="preserve"> </w:t>
            </w:r>
            <w:r w:rsidRPr="00447EBF">
              <w:rPr>
                <w:rFonts w:cs="David"/>
                <w:rtl/>
              </w:rPr>
              <w:t>מנגד, אין גם להסתפק בראיית "חיזוק", שאינה אלא "הגבול התחתון" למהותה של הראיה הנוספת. מקום שבו נקטעה העדות בלי שהושלמה החקירה הנגדית, דרושה ראיה מחזקת בעלת משקל ניכר יותר.</w:t>
            </w:r>
            <w:r>
              <w:rPr>
                <w:rFonts w:cs="David" w:hint="cs"/>
                <w:rtl/>
              </w:rPr>
              <w:t xml:space="preserve"> </w:t>
            </w:r>
            <w:r w:rsidRPr="00447EBF">
              <w:rPr>
                <w:rFonts w:cs="David"/>
                <w:rtl/>
              </w:rPr>
              <w:t>גובהו של "הרף" ייקבע בכל מקרה, בהתאם לשלב בו הופסקה עדות הילד בבית-המשפט; במידת הפגיעה בהגנה עקב הפסקה זו ובמשקל העדות לאור כלל הראיות.</w:t>
            </w:r>
          </w:p>
          <w:p w:rsidR="002F571A" w:rsidRDefault="002F571A" w:rsidP="00CB7B26">
            <w:pPr>
              <w:pStyle w:val="a3"/>
              <w:spacing w:line="360" w:lineRule="auto"/>
              <w:jc w:val="both"/>
              <w:rPr>
                <w:rFonts w:cs="David"/>
                <w:rtl/>
              </w:rPr>
            </w:pPr>
            <w:r w:rsidRPr="002F571A">
              <w:rPr>
                <w:rFonts w:cs="David" w:hint="cs"/>
                <w:u w:val="single"/>
                <w:rtl/>
              </w:rPr>
              <w:t>בייניש:</w:t>
            </w:r>
            <w:r>
              <w:rPr>
                <w:rFonts w:cs="David" w:hint="cs"/>
                <w:u w:val="single"/>
                <w:rtl/>
              </w:rPr>
              <w:t xml:space="preserve"> </w:t>
            </w:r>
            <w:r>
              <w:rPr>
                <w:rFonts w:cs="David" w:hint="cs"/>
                <w:rtl/>
              </w:rPr>
              <w:t xml:space="preserve"> * </w:t>
            </w:r>
            <w:r w:rsidRPr="002F571A">
              <w:rPr>
                <w:rFonts w:cs="David"/>
                <w:rtl/>
              </w:rPr>
              <w:t xml:space="preserve">במקרים מסוימים </w:t>
            </w:r>
            <w:r>
              <w:rPr>
                <w:rFonts w:cs="David" w:hint="cs"/>
                <w:rtl/>
              </w:rPr>
              <w:t xml:space="preserve">ניתן </w:t>
            </w:r>
            <w:r w:rsidRPr="002F571A">
              <w:rPr>
                <w:rFonts w:cs="David"/>
                <w:rtl/>
              </w:rPr>
              <w:t>להסתפק בסיוע, שלא יהיה בו כדי לתמוך בנפרד</w:t>
            </w:r>
            <w:r>
              <w:rPr>
                <w:rFonts w:cs="David"/>
                <w:rtl/>
              </w:rPr>
              <w:t xml:space="preserve"> בזיהויו של הנאשם</w:t>
            </w:r>
            <w:r>
              <w:rPr>
                <w:rFonts w:cs="David" w:hint="cs"/>
                <w:rtl/>
              </w:rPr>
              <w:t xml:space="preserve">. </w:t>
            </w:r>
            <w:r w:rsidRPr="002F571A">
              <w:rPr>
                <w:rFonts w:cs="David"/>
                <w:rtl/>
              </w:rPr>
              <w:t xml:space="preserve">אפשרות כזו קיימת במקרים שבהם קיימת "הזדמנות לבצע את העבירה עקב יחסי משפחה, או יחסים קרובים אחרים עם הילד". </w:t>
            </w:r>
          </w:p>
          <w:p w:rsidR="002F571A" w:rsidRDefault="002F571A" w:rsidP="00CB7B26">
            <w:pPr>
              <w:pStyle w:val="a3"/>
              <w:spacing w:line="360" w:lineRule="auto"/>
              <w:jc w:val="both"/>
              <w:rPr>
                <w:rFonts w:cs="David"/>
                <w:rtl/>
              </w:rPr>
            </w:pPr>
            <w:r>
              <w:rPr>
                <w:rFonts w:cs="David" w:hint="cs"/>
                <w:rtl/>
              </w:rPr>
              <w:t>*</w:t>
            </w:r>
            <w:r w:rsidRPr="002F571A">
              <w:rPr>
                <w:rFonts w:cs="David"/>
                <w:rtl/>
              </w:rPr>
              <w:t xml:space="preserve">בעניין שלפנינו ניתן לראות בראיית הסיוע שנמצאה "סיוע" מספיק כדי לקיים את הדרישה של ראיה עצמאית התומכת </w:t>
            </w:r>
            <w:proofErr w:type="spellStart"/>
            <w:r w:rsidRPr="002F571A">
              <w:rPr>
                <w:rFonts w:cs="David"/>
                <w:rtl/>
              </w:rPr>
              <w:t>בגירסה</w:t>
            </w:r>
            <w:proofErr w:type="spellEnd"/>
            <w:r w:rsidRPr="002F571A">
              <w:rPr>
                <w:rFonts w:cs="David"/>
                <w:rtl/>
              </w:rPr>
              <w:t xml:space="preserve"> המפלילה של המתלונן, וכי בנסיבות העניין אין צורך בראיות נוספות לעניין זיהוי הנאשם כדי להרשיע</w:t>
            </w:r>
            <w:r w:rsidR="00683A6F">
              <w:rPr>
                <w:rFonts w:cs="David"/>
                <w:rtl/>
              </w:rPr>
              <w:t>ו</w:t>
            </w:r>
            <w:r w:rsidR="00683A6F">
              <w:rPr>
                <w:rFonts w:cs="David" w:hint="cs"/>
                <w:rtl/>
              </w:rPr>
              <w:t xml:space="preserve"> (בניגוד לגולדברג).</w:t>
            </w:r>
          </w:p>
          <w:p w:rsidR="00476FC4" w:rsidRPr="00476FC4" w:rsidRDefault="00476FC4" w:rsidP="00CB7B26">
            <w:pPr>
              <w:pStyle w:val="a3"/>
              <w:spacing w:line="360" w:lineRule="auto"/>
              <w:jc w:val="both"/>
              <w:rPr>
                <w:rFonts w:cs="David"/>
                <w:rtl/>
              </w:rPr>
            </w:pPr>
            <w:r>
              <w:rPr>
                <w:rFonts w:cs="David" w:hint="cs"/>
                <w:rtl/>
              </w:rPr>
              <w:t>*</w:t>
            </w:r>
            <w:r w:rsidRPr="00476FC4">
              <w:rPr>
                <w:rFonts w:cs="FrankRuehl"/>
                <w:sz w:val="20"/>
                <w:rtl/>
              </w:rPr>
              <w:t xml:space="preserve"> </w:t>
            </w:r>
            <w:r w:rsidRPr="00476FC4">
              <w:rPr>
                <w:rFonts w:cs="David"/>
                <w:rtl/>
              </w:rPr>
              <w:t xml:space="preserve">הסיוע הממשי לסיפור בכללותו והנסיבות, די בהם כדי לשמש סיוע כנדרש על-פי החוק להרשעת המערער. </w:t>
            </w:r>
          </w:p>
          <w:p w:rsidR="00476FC4" w:rsidRDefault="00476FC4" w:rsidP="00CB7B26">
            <w:pPr>
              <w:pStyle w:val="a3"/>
              <w:spacing w:line="360" w:lineRule="auto"/>
              <w:jc w:val="both"/>
              <w:rPr>
                <w:rFonts w:cs="David"/>
                <w:rtl/>
              </w:rPr>
            </w:pPr>
            <w:r>
              <w:rPr>
                <w:rFonts w:cs="David" w:hint="cs"/>
                <w:rtl/>
              </w:rPr>
              <w:t xml:space="preserve">* </w:t>
            </w:r>
            <w:r w:rsidRPr="00476FC4">
              <w:rPr>
                <w:rFonts w:cs="David"/>
                <w:rtl/>
              </w:rPr>
              <w:t>רמת הסיוע הנדרש במקרה שהילד מעיד בבית-המשפט אך עדותו נקטעת, נקבעת על-פי "ר</w:t>
            </w:r>
            <w:r>
              <w:rPr>
                <w:rFonts w:cs="David"/>
                <w:rtl/>
              </w:rPr>
              <w:t>ף גמיש".</w:t>
            </w:r>
            <w:r>
              <w:rPr>
                <w:rFonts w:cs="David" w:hint="cs"/>
                <w:rtl/>
              </w:rPr>
              <w:t xml:space="preserve"> </w:t>
            </w:r>
            <w:r w:rsidRPr="00476FC4">
              <w:rPr>
                <w:rFonts w:cs="David"/>
                <w:rtl/>
              </w:rPr>
              <w:t>במקרה כזה גם השאלה אם נדרש סיוע נפרד לזהות הנאשם תלויה בנסיבות המקרה.</w:t>
            </w:r>
          </w:p>
          <w:p w:rsidR="00476FC4" w:rsidRPr="002F571A" w:rsidRDefault="00476FC4" w:rsidP="00CB7B26">
            <w:pPr>
              <w:pStyle w:val="a3"/>
              <w:spacing w:line="360" w:lineRule="auto"/>
              <w:jc w:val="both"/>
              <w:rPr>
                <w:rFonts w:cs="David"/>
                <w:rtl/>
              </w:rPr>
            </w:pPr>
            <w:r>
              <w:rPr>
                <w:rFonts w:cs="David" w:hint="cs"/>
                <w:rtl/>
              </w:rPr>
              <w:t>*</w:t>
            </w:r>
            <w:r w:rsidRPr="00476FC4">
              <w:rPr>
                <w:rFonts w:ascii="Times New Roman" w:eastAsia="Times New Roman" w:hAnsi="Times New Roman" w:cs="FrankRuehl"/>
                <w:sz w:val="20"/>
                <w:szCs w:val="24"/>
                <w:rtl/>
                <w:lang w:eastAsia="he-IL"/>
              </w:rPr>
              <w:t xml:space="preserve"> </w:t>
            </w:r>
            <w:r w:rsidRPr="00476FC4">
              <w:rPr>
                <w:rFonts w:cs="David"/>
                <w:rtl/>
              </w:rPr>
              <w:t xml:space="preserve">מהותו של הסיוע, מידתו והיקפו תלויות במידה רבה בנסיבות הנלוות הקשורות לאותה עדות ובטיבה של הראיה המסייעת כשהיא עומדת ביחס לכל אלה. מטעם זה </w:t>
            </w:r>
            <w:r w:rsidRPr="00476FC4">
              <w:rPr>
                <w:rFonts w:cs="David"/>
                <w:rtl/>
              </w:rPr>
              <w:lastRenderedPageBreak/>
              <w:t>נוטה אני לדעה כי אין לקבוע כללים נוקשים לעניין טיבו של הסיוע הנדרש.</w:t>
            </w:r>
          </w:p>
          <w:p w:rsidR="002B2C09" w:rsidRDefault="00300DC4" w:rsidP="00CB7B26">
            <w:pPr>
              <w:pStyle w:val="a3"/>
              <w:spacing w:line="360" w:lineRule="auto"/>
              <w:jc w:val="both"/>
              <w:rPr>
                <w:rFonts w:cs="David"/>
                <w:rtl/>
              </w:rPr>
            </w:pPr>
            <w:r w:rsidRPr="00300DC4">
              <w:rPr>
                <w:rFonts w:cs="David" w:hint="cs"/>
                <w:u w:val="single"/>
                <w:rtl/>
              </w:rPr>
              <w:t>זמיר:</w:t>
            </w:r>
            <w:r>
              <w:rPr>
                <w:rFonts w:cs="David" w:hint="cs"/>
                <w:rtl/>
              </w:rPr>
              <w:t xml:space="preserve"> מצטרף לדעתה של בייניש לגבי הסיוע. </w:t>
            </w:r>
          </w:p>
        </w:tc>
      </w:tr>
      <w:tr w:rsidR="00086D6F" w:rsidTr="00923E1D">
        <w:tc>
          <w:tcPr>
            <w:tcW w:w="1893" w:type="dxa"/>
          </w:tcPr>
          <w:p w:rsidR="00086D6F" w:rsidRDefault="00F21213" w:rsidP="00CB7B26">
            <w:pPr>
              <w:pStyle w:val="a3"/>
              <w:spacing w:line="360" w:lineRule="auto"/>
              <w:jc w:val="both"/>
              <w:rPr>
                <w:rFonts w:cs="David"/>
                <w:rtl/>
              </w:rPr>
            </w:pPr>
            <w:r>
              <w:rPr>
                <w:rFonts w:cs="David" w:hint="cs"/>
                <w:rtl/>
              </w:rPr>
              <w:lastRenderedPageBreak/>
              <w:t>ע"פ כרמי</w:t>
            </w:r>
          </w:p>
        </w:tc>
        <w:tc>
          <w:tcPr>
            <w:tcW w:w="2787" w:type="dxa"/>
          </w:tcPr>
          <w:p w:rsidR="00086D6F" w:rsidRDefault="00F21213" w:rsidP="00CB7B26">
            <w:pPr>
              <w:pStyle w:val="a3"/>
              <w:spacing w:line="360" w:lineRule="auto"/>
              <w:jc w:val="both"/>
              <w:rPr>
                <w:rFonts w:cs="David"/>
                <w:rtl/>
              </w:rPr>
            </w:pPr>
            <w:r>
              <w:rPr>
                <w:rFonts w:cs="David" w:hint="cs"/>
                <w:rtl/>
              </w:rPr>
              <w:t xml:space="preserve">אבא ובת שהורשעו בקשירת קשר לביצוע פשע- הברחת </w:t>
            </w:r>
            <w:proofErr w:type="spellStart"/>
            <w:r>
              <w:rPr>
                <w:rFonts w:cs="David" w:hint="cs"/>
                <w:rtl/>
              </w:rPr>
              <w:t>הירואין</w:t>
            </w:r>
            <w:proofErr w:type="spellEnd"/>
            <w:r>
              <w:rPr>
                <w:rFonts w:cs="David" w:hint="cs"/>
                <w:rtl/>
              </w:rPr>
              <w:t>.</w:t>
            </w:r>
          </w:p>
        </w:tc>
        <w:tc>
          <w:tcPr>
            <w:tcW w:w="6805" w:type="dxa"/>
          </w:tcPr>
          <w:p w:rsidR="00086D6F" w:rsidRDefault="00F21213" w:rsidP="00CB7B26">
            <w:pPr>
              <w:pStyle w:val="a3"/>
              <w:spacing w:line="360" w:lineRule="auto"/>
              <w:jc w:val="both"/>
              <w:rPr>
                <w:rFonts w:cs="David"/>
                <w:rtl/>
              </w:rPr>
            </w:pPr>
            <w:r>
              <w:rPr>
                <w:rFonts w:cs="David" w:hint="cs"/>
                <w:rtl/>
              </w:rPr>
              <w:t xml:space="preserve">ילד לא יכול להעיד כנגד (לחובת) אביו, אולם הוא יכול להעיד לזכותו. </w:t>
            </w:r>
          </w:p>
        </w:tc>
      </w:tr>
      <w:tr w:rsidR="00086D6F" w:rsidTr="00923E1D">
        <w:tc>
          <w:tcPr>
            <w:tcW w:w="1893" w:type="dxa"/>
          </w:tcPr>
          <w:p w:rsidR="00086D6F" w:rsidRDefault="008501B7" w:rsidP="00CB7B26">
            <w:pPr>
              <w:pStyle w:val="a3"/>
              <w:spacing w:line="360" w:lineRule="auto"/>
              <w:jc w:val="both"/>
              <w:rPr>
                <w:rFonts w:cs="David"/>
                <w:rtl/>
              </w:rPr>
            </w:pPr>
            <w:r>
              <w:rPr>
                <w:rFonts w:cs="David" w:hint="cs"/>
                <w:rtl/>
              </w:rPr>
              <w:t>ע"פ רוקח</w:t>
            </w:r>
          </w:p>
        </w:tc>
        <w:tc>
          <w:tcPr>
            <w:tcW w:w="2787" w:type="dxa"/>
          </w:tcPr>
          <w:p w:rsidR="00086D6F" w:rsidRDefault="008501B7" w:rsidP="00CB7B26">
            <w:pPr>
              <w:pStyle w:val="a3"/>
              <w:spacing w:line="360" w:lineRule="auto"/>
              <w:jc w:val="both"/>
              <w:rPr>
                <w:rFonts w:cs="David"/>
                <w:rtl/>
              </w:rPr>
            </w:pPr>
            <w:r>
              <w:rPr>
                <w:rFonts w:cs="David" w:hint="cs"/>
                <w:rtl/>
              </w:rPr>
              <w:t>אדם שהורשע בהצתת מסעדה</w:t>
            </w:r>
          </w:p>
        </w:tc>
        <w:tc>
          <w:tcPr>
            <w:tcW w:w="6805" w:type="dxa"/>
          </w:tcPr>
          <w:p w:rsidR="00086D6F" w:rsidRDefault="008501B7" w:rsidP="00CB7B26">
            <w:pPr>
              <w:pStyle w:val="a3"/>
              <w:spacing w:line="360" w:lineRule="auto"/>
              <w:jc w:val="both"/>
              <w:rPr>
                <w:rFonts w:cs="David"/>
                <w:rtl/>
              </w:rPr>
            </w:pPr>
            <w:r>
              <w:rPr>
                <w:rFonts w:cs="David" w:hint="cs"/>
                <w:rtl/>
              </w:rPr>
              <w:t>*</w:t>
            </w:r>
            <w:r w:rsidRPr="008501B7">
              <w:rPr>
                <w:rFonts w:cs="David"/>
                <w:rtl/>
              </w:rPr>
              <w:t>אישה יכולה להעיד כנגד בעלה, גם אם אין היא הנפגעת על-ידיו, וגם כי היא יכולה לעשות כן כשמדובר באלימות הקשורה בפגיעה ברכוש ולאו דווקא בגוף</w:t>
            </w:r>
            <w:r>
              <w:rPr>
                <w:rFonts w:cs="David" w:hint="cs"/>
                <w:rtl/>
              </w:rPr>
              <w:t>.</w:t>
            </w:r>
          </w:p>
        </w:tc>
      </w:tr>
      <w:tr w:rsidR="00086D6F" w:rsidTr="00923E1D">
        <w:tc>
          <w:tcPr>
            <w:tcW w:w="1893" w:type="dxa"/>
          </w:tcPr>
          <w:p w:rsidR="00086D6F" w:rsidRDefault="00EB69F2" w:rsidP="00CB7B26">
            <w:pPr>
              <w:pStyle w:val="a3"/>
              <w:spacing w:line="360" w:lineRule="auto"/>
              <w:jc w:val="both"/>
              <w:rPr>
                <w:rFonts w:cs="David"/>
                <w:rtl/>
              </w:rPr>
            </w:pPr>
            <w:r>
              <w:rPr>
                <w:rFonts w:cs="David" w:hint="cs"/>
                <w:rtl/>
              </w:rPr>
              <w:t>ע"פ פלוני 04</w:t>
            </w:r>
          </w:p>
        </w:tc>
        <w:tc>
          <w:tcPr>
            <w:tcW w:w="2787" w:type="dxa"/>
          </w:tcPr>
          <w:p w:rsidR="00086D6F" w:rsidRDefault="00086D6F" w:rsidP="00CB7B26">
            <w:pPr>
              <w:pStyle w:val="a3"/>
              <w:spacing w:line="360" w:lineRule="auto"/>
              <w:jc w:val="both"/>
              <w:rPr>
                <w:rFonts w:cs="David"/>
                <w:rtl/>
              </w:rPr>
            </w:pPr>
          </w:p>
        </w:tc>
        <w:tc>
          <w:tcPr>
            <w:tcW w:w="6805" w:type="dxa"/>
          </w:tcPr>
          <w:p w:rsidR="00086D6F" w:rsidRDefault="00EB69F2" w:rsidP="00CB7B26">
            <w:pPr>
              <w:pStyle w:val="a3"/>
              <w:spacing w:line="360" w:lineRule="auto"/>
              <w:jc w:val="both"/>
              <w:rPr>
                <w:rFonts w:cs="David"/>
                <w:rtl/>
              </w:rPr>
            </w:pPr>
            <w:r w:rsidRPr="00EB69F2">
              <w:rPr>
                <w:rFonts w:cs="David" w:hint="cs"/>
                <w:u w:val="single"/>
                <w:rtl/>
              </w:rPr>
              <w:t>ארבל:</w:t>
            </w:r>
            <w:r>
              <w:rPr>
                <w:rFonts w:cs="David" w:hint="cs"/>
                <w:rtl/>
              </w:rPr>
              <w:t xml:space="preserve"> *</w:t>
            </w:r>
            <w:r w:rsidRPr="00EB69F2">
              <w:rPr>
                <w:rFonts w:cs="David" w:hint="cs"/>
                <w:rtl/>
              </w:rPr>
              <w:t xml:space="preserve">אין בני זוג או הורים וילדיהם רשאים להעיד </w:t>
            </w:r>
            <w:r w:rsidRPr="00EB69F2">
              <w:rPr>
                <w:rFonts w:cs="David" w:hint="cs"/>
                <w:u w:val="single"/>
                <w:rtl/>
              </w:rPr>
              <w:t>במשפט פלילי</w:t>
            </w:r>
            <w:r w:rsidRPr="00EB69F2">
              <w:rPr>
                <w:rFonts w:cs="David" w:hint="cs"/>
                <w:rtl/>
              </w:rPr>
              <w:t xml:space="preserve"> האחד לחובת משנהו, דהיינו- מטעם התביעה.</w:t>
            </w:r>
            <w:r>
              <w:rPr>
                <w:rFonts w:cs="David" w:hint="cs"/>
                <w:rtl/>
              </w:rPr>
              <w:t xml:space="preserve"> </w:t>
            </w:r>
            <w:r w:rsidRPr="00EB69F2">
              <w:rPr>
                <w:rFonts w:cs="David" w:hint="cs"/>
                <w:rtl/>
              </w:rPr>
              <w:t>זאת, הגם שעל פי סעיף 6 לפקודה, במידה ונקראו הם להעיד זה לזכותו של האחר, דהיינו- כעדי הגנה מטעם הנאשם, תהא עדותם זו, בין בחקירה ראשית ובין בחקירה שכגד, כשרה לשמש אף כראיה להוכחת אשמתו של הנאשם, קרי- כראיה לחובתו</w:t>
            </w:r>
            <w:r>
              <w:rPr>
                <w:rFonts w:cs="David" w:hint="cs"/>
                <w:rtl/>
              </w:rPr>
              <w:t>.</w:t>
            </w:r>
          </w:p>
          <w:p w:rsidR="00EB69F2" w:rsidRDefault="00EB69F2" w:rsidP="00CB7B26">
            <w:pPr>
              <w:pStyle w:val="a3"/>
              <w:spacing w:line="360" w:lineRule="auto"/>
              <w:jc w:val="both"/>
              <w:rPr>
                <w:rFonts w:cs="David"/>
                <w:rtl/>
              </w:rPr>
            </w:pPr>
            <w:r>
              <w:rPr>
                <w:rFonts w:cs="David" w:hint="cs"/>
                <w:rtl/>
              </w:rPr>
              <w:t>*</w:t>
            </w:r>
            <w:r w:rsidRPr="00EB69F2">
              <w:rPr>
                <w:rFonts w:ascii="Times New Roman" w:eastAsia="Times New Roman" w:hAnsi="Times New Roman" w:cs="FrankRuehl" w:hint="cs"/>
                <w:sz w:val="28"/>
                <w:szCs w:val="28"/>
                <w:rtl/>
                <w:lang w:eastAsia="he-IL"/>
              </w:rPr>
              <w:t xml:space="preserve"> </w:t>
            </w:r>
            <w:r w:rsidRPr="00EB69F2">
              <w:rPr>
                <w:rFonts w:cs="David" w:hint="cs"/>
                <w:rtl/>
              </w:rPr>
              <w:t>עבירה של "חבלת גוף או אלימות או איום באחד</w:t>
            </w:r>
            <w:r>
              <w:rPr>
                <w:rFonts w:cs="David" w:hint="cs"/>
                <w:rtl/>
              </w:rPr>
              <w:t xml:space="preserve"> מאלה", כאמור בסעיף 5(1) לפקודה: </w:t>
            </w:r>
          </w:p>
          <w:p w:rsidR="00EB69F2" w:rsidRPr="00EB69F2" w:rsidRDefault="00EB69F2" w:rsidP="00CB7B26">
            <w:pPr>
              <w:pStyle w:val="a3"/>
              <w:spacing w:line="360" w:lineRule="auto"/>
              <w:jc w:val="both"/>
              <w:rPr>
                <w:rFonts w:cs="David"/>
                <w:rtl/>
              </w:rPr>
            </w:pPr>
            <w:r>
              <w:rPr>
                <w:rFonts w:cs="David" w:hint="cs"/>
                <w:rtl/>
              </w:rPr>
              <w:t xml:space="preserve">שלושה מבחנים: </w:t>
            </w:r>
            <w:r w:rsidRPr="00EB69F2">
              <w:rPr>
                <w:rFonts w:cs="David"/>
                <w:rtl/>
              </w:rPr>
              <w:t xml:space="preserve">1.    </w:t>
            </w:r>
            <w:r w:rsidRPr="00EB69F2">
              <w:rPr>
                <w:rFonts w:cs="David" w:hint="cs"/>
                <w:rtl/>
              </w:rPr>
              <w:t>עבירה</w:t>
            </w:r>
            <w:r w:rsidRPr="00EB69F2">
              <w:rPr>
                <w:rFonts w:cs="David"/>
                <w:rtl/>
              </w:rPr>
              <w:t xml:space="preserve"> </w:t>
            </w:r>
            <w:r w:rsidRPr="00EB69F2">
              <w:rPr>
                <w:rFonts w:cs="David" w:hint="cs"/>
                <w:rtl/>
              </w:rPr>
              <w:t>שבין</w:t>
            </w:r>
            <w:r w:rsidRPr="00EB69F2">
              <w:rPr>
                <w:rFonts w:cs="David"/>
                <w:rtl/>
              </w:rPr>
              <w:t xml:space="preserve"> </w:t>
            </w:r>
            <w:r w:rsidRPr="00EB69F2">
              <w:rPr>
                <w:rFonts w:cs="David" w:hint="cs"/>
                <w:rtl/>
              </w:rPr>
              <w:t>יסודותיה</w:t>
            </w:r>
            <w:r w:rsidRPr="00EB69F2">
              <w:rPr>
                <w:rFonts w:cs="David"/>
                <w:rtl/>
              </w:rPr>
              <w:t xml:space="preserve"> </w:t>
            </w:r>
            <w:r w:rsidRPr="00EB69F2">
              <w:rPr>
                <w:rFonts w:cs="David" w:hint="cs"/>
                <w:rtl/>
              </w:rPr>
              <w:t>מצוי</w:t>
            </w:r>
            <w:r w:rsidRPr="00EB69F2">
              <w:rPr>
                <w:rFonts w:cs="David"/>
                <w:rtl/>
              </w:rPr>
              <w:t xml:space="preserve"> </w:t>
            </w:r>
            <w:r w:rsidRPr="00EB69F2">
              <w:rPr>
                <w:rFonts w:cs="David" w:hint="cs"/>
                <w:rtl/>
              </w:rPr>
              <w:t>יסוד</w:t>
            </w:r>
            <w:r w:rsidRPr="00EB69F2">
              <w:rPr>
                <w:rFonts w:cs="David"/>
                <w:rtl/>
              </w:rPr>
              <w:t xml:space="preserve"> </w:t>
            </w:r>
            <w:r w:rsidRPr="00EB69F2">
              <w:rPr>
                <w:rFonts w:cs="David" w:hint="cs"/>
                <w:rtl/>
              </w:rPr>
              <w:t>של</w:t>
            </w:r>
            <w:r w:rsidRPr="00EB69F2">
              <w:rPr>
                <w:rFonts w:cs="David"/>
                <w:rtl/>
              </w:rPr>
              <w:t xml:space="preserve"> </w:t>
            </w:r>
            <w:r w:rsidRPr="00EB69F2">
              <w:rPr>
                <w:rFonts w:cs="David" w:hint="cs"/>
                <w:rtl/>
              </w:rPr>
              <w:t>חבלת</w:t>
            </w:r>
            <w:r w:rsidRPr="00EB69F2">
              <w:rPr>
                <w:rFonts w:cs="David"/>
                <w:rtl/>
              </w:rPr>
              <w:t xml:space="preserve"> </w:t>
            </w:r>
            <w:r w:rsidRPr="00EB69F2">
              <w:rPr>
                <w:rFonts w:cs="David" w:hint="cs"/>
                <w:rtl/>
              </w:rPr>
              <w:t>גוף</w:t>
            </w:r>
            <w:r w:rsidRPr="00EB69F2">
              <w:rPr>
                <w:rFonts w:cs="David"/>
                <w:rtl/>
              </w:rPr>
              <w:t xml:space="preserve"> </w:t>
            </w:r>
            <w:r w:rsidRPr="00EB69F2">
              <w:rPr>
                <w:rFonts w:cs="David" w:hint="cs"/>
                <w:rtl/>
              </w:rPr>
              <w:t>או</w:t>
            </w:r>
            <w:r w:rsidRPr="00EB69F2">
              <w:rPr>
                <w:rFonts w:cs="David"/>
                <w:rtl/>
              </w:rPr>
              <w:t xml:space="preserve"> </w:t>
            </w:r>
            <w:r w:rsidRPr="00EB69F2">
              <w:rPr>
                <w:rFonts w:cs="David" w:hint="cs"/>
                <w:rtl/>
              </w:rPr>
              <w:t>אלימות</w:t>
            </w:r>
            <w:r w:rsidRPr="00EB69F2">
              <w:rPr>
                <w:rFonts w:cs="David"/>
                <w:rtl/>
              </w:rPr>
              <w:t xml:space="preserve">;  </w:t>
            </w:r>
          </w:p>
          <w:p w:rsidR="00EB69F2" w:rsidRPr="00EB69F2" w:rsidRDefault="00EB69F2" w:rsidP="00CB7B26">
            <w:pPr>
              <w:pStyle w:val="a3"/>
              <w:spacing w:line="360" w:lineRule="auto"/>
              <w:jc w:val="both"/>
              <w:rPr>
                <w:rFonts w:cs="David"/>
                <w:rtl/>
              </w:rPr>
            </w:pPr>
            <w:r w:rsidRPr="00EB69F2">
              <w:rPr>
                <w:rFonts w:cs="David"/>
                <w:rtl/>
              </w:rPr>
              <w:t xml:space="preserve">2.    </w:t>
            </w:r>
            <w:r w:rsidRPr="00EB69F2">
              <w:rPr>
                <w:rFonts w:cs="David" w:hint="cs"/>
                <w:rtl/>
              </w:rPr>
              <w:t>עבירה</w:t>
            </w:r>
            <w:r w:rsidRPr="00EB69F2">
              <w:rPr>
                <w:rFonts w:cs="David"/>
                <w:rtl/>
              </w:rPr>
              <w:t xml:space="preserve"> </w:t>
            </w:r>
            <w:r w:rsidRPr="00EB69F2">
              <w:rPr>
                <w:rFonts w:cs="David" w:hint="cs"/>
                <w:rtl/>
              </w:rPr>
              <w:t>שעל</w:t>
            </w:r>
            <w:r w:rsidRPr="00EB69F2">
              <w:rPr>
                <w:rFonts w:cs="David"/>
                <w:rtl/>
              </w:rPr>
              <w:t xml:space="preserve"> </w:t>
            </w:r>
            <w:r w:rsidRPr="00EB69F2">
              <w:rPr>
                <w:rFonts w:cs="David" w:hint="cs"/>
                <w:rtl/>
              </w:rPr>
              <w:t>פי</w:t>
            </w:r>
            <w:r w:rsidRPr="00EB69F2">
              <w:rPr>
                <w:rFonts w:cs="David"/>
                <w:rtl/>
              </w:rPr>
              <w:t xml:space="preserve"> </w:t>
            </w:r>
            <w:r w:rsidRPr="00EB69F2">
              <w:rPr>
                <w:rFonts w:cs="David" w:hint="cs"/>
                <w:rtl/>
              </w:rPr>
              <w:t>טיבה</w:t>
            </w:r>
            <w:r w:rsidRPr="00EB69F2">
              <w:rPr>
                <w:rFonts w:cs="David"/>
                <w:rtl/>
              </w:rPr>
              <w:t xml:space="preserve"> </w:t>
            </w:r>
            <w:r w:rsidRPr="00EB69F2">
              <w:rPr>
                <w:rFonts w:cs="David" w:hint="cs"/>
                <w:rtl/>
              </w:rPr>
              <w:t>ומיונה</w:t>
            </w:r>
            <w:r w:rsidRPr="00EB69F2">
              <w:rPr>
                <w:rFonts w:cs="David"/>
                <w:rtl/>
              </w:rPr>
              <w:t xml:space="preserve"> </w:t>
            </w:r>
            <w:r w:rsidRPr="00EB69F2">
              <w:rPr>
                <w:rFonts w:cs="David" w:hint="cs"/>
                <w:rtl/>
              </w:rPr>
              <w:t>מסווגים</w:t>
            </w:r>
            <w:r w:rsidRPr="00EB69F2">
              <w:rPr>
                <w:rFonts w:cs="David"/>
                <w:rtl/>
              </w:rPr>
              <w:t xml:space="preserve"> </w:t>
            </w:r>
            <w:r w:rsidRPr="00EB69F2">
              <w:rPr>
                <w:rFonts w:cs="David" w:hint="cs"/>
                <w:rtl/>
              </w:rPr>
              <w:t>אותה</w:t>
            </w:r>
            <w:r w:rsidRPr="00EB69F2">
              <w:rPr>
                <w:rFonts w:cs="David"/>
                <w:rtl/>
              </w:rPr>
              <w:t xml:space="preserve"> </w:t>
            </w:r>
            <w:proofErr w:type="spellStart"/>
            <w:r w:rsidRPr="00EB69F2">
              <w:rPr>
                <w:rFonts w:cs="David" w:hint="cs"/>
                <w:rtl/>
              </w:rPr>
              <w:t>ככזו</w:t>
            </w:r>
            <w:proofErr w:type="spellEnd"/>
            <w:r w:rsidRPr="00EB69F2">
              <w:rPr>
                <w:rFonts w:cs="David"/>
                <w:rtl/>
              </w:rPr>
              <w:t xml:space="preserve">; </w:t>
            </w:r>
          </w:p>
          <w:p w:rsidR="00EB69F2" w:rsidRDefault="00EB69F2" w:rsidP="00CB7B26">
            <w:pPr>
              <w:pStyle w:val="a3"/>
              <w:spacing w:line="360" w:lineRule="auto"/>
              <w:jc w:val="both"/>
              <w:rPr>
                <w:rFonts w:cs="David"/>
                <w:rtl/>
              </w:rPr>
            </w:pPr>
            <w:r w:rsidRPr="00EB69F2">
              <w:rPr>
                <w:rFonts w:cs="David"/>
                <w:rtl/>
              </w:rPr>
              <w:t xml:space="preserve">3.    </w:t>
            </w:r>
            <w:r w:rsidRPr="00EB69F2">
              <w:rPr>
                <w:rFonts w:cs="David" w:hint="cs"/>
                <w:rtl/>
              </w:rPr>
              <w:t>עבירה</w:t>
            </w:r>
            <w:r w:rsidRPr="00EB69F2">
              <w:rPr>
                <w:rFonts w:cs="David"/>
                <w:rtl/>
              </w:rPr>
              <w:t xml:space="preserve"> </w:t>
            </w:r>
            <w:r w:rsidRPr="00EB69F2">
              <w:rPr>
                <w:rFonts w:cs="David" w:hint="cs"/>
                <w:rtl/>
              </w:rPr>
              <w:t>שביצועה</w:t>
            </w:r>
            <w:r w:rsidRPr="00EB69F2">
              <w:rPr>
                <w:rFonts w:cs="David"/>
                <w:rtl/>
              </w:rPr>
              <w:t xml:space="preserve"> </w:t>
            </w:r>
            <w:r w:rsidRPr="00EB69F2">
              <w:rPr>
                <w:rFonts w:cs="David" w:hint="cs"/>
                <w:rtl/>
              </w:rPr>
              <w:t>בפועל</w:t>
            </w:r>
            <w:r w:rsidRPr="00EB69F2">
              <w:rPr>
                <w:rFonts w:cs="David"/>
                <w:rtl/>
              </w:rPr>
              <w:t xml:space="preserve"> </w:t>
            </w:r>
            <w:r w:rsidRPr="00EB69F2">
              <w:rPr>
                <w:rFonts w:cs="David" w:hint="cs"/>
                <w:rtl/>
              </w:rPr>
              <w:t>היה</w:t>
            </w:r>
            <w:r w:rsidRPr="00EB69F2">
              <w:rPr>
                <w:rFonts w:cs="David"/>
                <w:rtl/>
              </w:rPr>
              <w:t xml:space="preserve"> </w:t>
            </w:r>
            <w:r w:rsidRPr="00EB69F2">
              <w:rPr>
                <w:rFonts w:cs="David" w:hint="cs"/>
                <w:rtl/>
              </w:rPr>
              <w:t>כרוך</w:t>
            </w:r>
            <w:r w:rsidRPr="00EB69F2">
              <w:rPr>
                <w:rFonts w:cs="David"/>
                <w:rtl/>
              </w:rPr>
              <w:t xml:space="preserve"> </w:t>
            </w:r>
            <w:r w:rsidRPr="00EB69F2">
              <w:rPr>
                <w:rFonts w:cs="David" w:hint="cs"/>
                <w:rtl/>
              </w:rPr>
              <w:t>בחבלת</w:t>
            </w:r>
            <w:r w:rsidRPr="00EB69F2">
              <w:rPr>
                <w:rFonts w:cs="David"/>
                <w:rtl/>
              </w:rPr>
              <w:t xml:space="preserve"> </w:t>
            </w:r>
            <w:r w:rsidRPr="00EB69F2">
              <w:rPr>
                <w:rFonts w:cs="David" w:hint="cs"/>
                <w:rtl/>
              </w:rPr>
              <w:t>גוף</w:t>
            </w:r>
            <w:r w:rsidRPr="00EB69F2">
              <w:rPr>
                <w:rFonts w:cs="David"/>
                <w:rtl/>
              </w:rPr>
              <w:t xml:space="preserve"> </w:t>
            </w:r>
            <w:r w:rsidRPr="00EB69F2">
              <w:rPr>
                <w:rFonts w:cs="David" w:hint="cs"/>
                <w:rtl/>
              </w:rPr>
              <w:t>או</w:t>
            </w:r>
            <w:r w:rsidRPr="00EB69F2">
              <w:rPr>
                <w:rFonts w:cs="David"/>
                <w:rtl/>
              </w:rPr>
              <w:t xml:space="preserve"> </w:t>
            </w:r>
            <w:r w:rsidRPr="00EB69F2">
              <w:rPr>
                <w:rFonts w:cs="David" w:hint="cs"/>
                <w:rtl/>
              </w:rPr>
              <w:t>אלימות</w:t>
            </w:r>
            <w:r w:rsidRPr="00EB69F2">
              <w:rPr>
                <w:rFonts w:cs="David"/>
                <w:rtl/>
              </w:rPr>
              <w:t>;</w:t>
            </w:r>
          </w:p>
          <w:p w:rsidR="00EB69F2" w:rsidRDefault="00EB69F2" w:rsidP="00CB7B26">
            <w:pPr>
              <w:pStyle w:val="a3"/>
              <w:spacing w:line="360" w:lineRule="auto"/>
              <w:jc w:val="both"/>
              <w:rPr>
                <w:rFonts w:cs="David"/>
                <w:rtl/>
              </w:rPr>
            </w:pPr>
            <w:r>
              <w:rPr>
                <w:rFonts w:cs="David" w:hint="cs"/>
                <w:rtl/>
              </w:rPr>
              <w:t>*</w:t>
            </w:r>
            <w:r w:rsidRPr="00EB69F2">
              <w:rPr>
                <w:rFonts w:cs="David"/>
                <w:rtl/>
              </w:rPr>
              <w:t>"</w:t>
            </w:r>
            <w:r w:rsidRPr="00EB69F2">
              <w:rPr>
                <w:rFonts w:cs="David" w:hint="cs"/>
                <w:rtl/>
              </w:rPr>
              <w:t>חבלה</w:t>
            </w:r>
            <w:r w:rsidRPr="00EB69F2">
              <w:rPr>
                <w:rFonts w:cs="David"/>
                <w:rtl/>
              </w:rPr>
              <w:t xml:space="preserve">" </w:t>
            </w:r>
            <w:r w:rsidRPr="00EB69F2">
              <w:rPr>
                <w:rFonts w:cs="David" w:hint="cs"/>
                <w:rtl/>
              </w:rPr>
              <w:t>ו</w:t>
            </w:r>
            <w:r w:rsidRPr="00EB69F2">
              <w:rPr>
                <w:rFonts w:cs="David"/>
                <w:rtl/>
              </w:rPr>
              <w:t>"</w:t>
            </w:r>
            <w:r w:rsidRPr="00EB69F2">
              <w:rPr>
                <w:rFonts w:cs="David" w:hint="cs"/>
                <w:rtl/>
              </w:rPr>
              <w:t>אלימות</w:t>
            </w:r>
            <w:r w:rsidRPr="00EB69F2">
              <w:rPr>
                <w:rFonts w:cs="David"/>
                <w:rtl/>
              </w:rPr>
              <w:t xml:space="preserve">", </w:t>
            </w:r>
            <w:r w:rsidRPr="00EB69F2">
              <w:rPr>
                <w:rFonts w:cs="David" w:hint="cs"/>
                <w:rtl/>
              </w:rPr>
              <w:t>הרי</w:t>
            </w:r>
            <w:r w:rsidRPr="00EB69F2">
              <w:rPr>
                <w:rFonts w:cs="David"/>
                <w:rtl/>
              </w:rPr>
              <w:t xml:space="preserve"> </w:t>
            </w:r>
            <w:r w:rsidRPr="00EB69F2">
              <w:rPr>
                <w:rFonts w:cs="David" w:hint="cs"/>
                <w:rtl/>
              </w:rPr>
              <w:t>שאלו</w:t>
            </w:r>
            <w:r w:rsidRPr="00EB69F2">
              <w:rPr>
                <w:rFonts w:cs="David"/>
                <w:rtl/>
              </w:rPr>
              <w:t xml:space="preserve"> </w:t>
            </w:r>
            <w:r w:rsidRPr="00EB69F2">
              <w:rPr>
                <w:rFonts w:cs="David" w:hint="cs"/>
                <w:rtl/>
              </w:rPr>
              <w:t>פורשו</w:t>
            </w:r>
            <w:r w:rsidRPr="00EB69F2">
              <w:rPr>
                <w:rFonts w:cs="David"/>
                <w:rtl/>
              </w:rPr>
              <w:t xml:space="preserve"> </w:t>
            </w:r>
            <w:r w:rsidRPr="00EB69F2">
              <w:rPr>
                <w:rFonts w:cs="David" w:hint="cs"/>
                <w:rtl/>
              </w:rPr>
              <w:t>באופן</w:t>
            </w:r>
            <w:r w:rsidRPr="00EB69F2">
              <w:rPr>
                <w:rFonts w:cs="David"/>
                <w:rtl/>
              </w:rPr>
              <w:t xml:space="preserve"> </w:t>
            </w:r>
            <w:r w:rsidRPr="00EB69F2">
              <w:rPr>
                <w:rFonts w:cs="David" w:hint="cs"/>
                <w:rtl/>
              </w:rPr>
              <w:t>רחב</w:t>
            </w:r>
            <w:r w:rsidRPr="00EB69F2">
              <w:rPr>
                <w:rFonts w:cs="David"/>
                <w:rtl/>
              </w:rPr>
              <w:t xml:space="preserve">: </w:t>
            </w:r>
            <w:r w:rsidRPr="00EB69F2">
              <w:rPr>
                <w:rFonts w:cs="David" w:hint="cs"/>
                <w:rtl/>
              </w:rPr>
              <w:t>נקבע</w:t>
            </w:r>
            <w:r w:rsidRPr="00EB69F2">
              <w:rPr>
                <w:rFonts w:cs="David"/>
                <w:rtl/>
              </w:rPr>
              <w:t xml:space="preserve"> </w:t>
            </w:r>
            <w:r w:rsidRPr="00EB69F2">
              <w:rPr>
                <w:rFonts w:cs="David" w:hint="cs"/>
                <w:rtl/>
              </w:rPr>
              <w:t>כי</w:t>
            </w:r>
            <w:r w:rsidRPr="00EB69F2">
              <w:rPr>
                <w:rFonts w:cs="David"/>
                <w:rtl/>
              </w:rPr>
              <w:t xml:space="preserve"> </w:t>
            </w:r>
            <w:r w:rsidRPr="00EB69F2">
              <w:rPr>
                <w:rFonts w:cs="David" w:hint="cs"/>
                <w:rtl/>
              </w:rPr>
              <w:t>המושג</w:t>
            </w:r>
            <w:r w:rsidRPr="00EB69F2">
              <w:rPr>
                <w:rFonts w:cs="David"/>
                <w:rtl/>
              </w:rPr>
              <w:t xml:space="preserve"> </w:t>
            </w:r>
            <w:r w:rsidRPr="00EB69F2">
              <w:rPr>
                <w:rFonts w:cs="David" w:hint="cs"/>
                <w:rtl/>
              </w:rPr>
              <w:t>אלימות</w:t>
            </w:r>
            <w:r w:rsidRPr="00EB69F2">
              <w:rPr>
                <w:rFonts w:cs="David"/>
                <w:rtl/>
              </w:rPr>
              <w:t xml:space="preserve"> </w:t>
            </w:r>
            <w:r w:rsidRPr="00EB69F2">
              <w:rPr>
                <w:rFonts w:cs="David" w:hint="cs"/>
                <w:rtl/>
              </w:rPr>
              <w:t>כולל</w:t>
            </w:r>
            <w:r w:rsidRPr="00EB69F2">
              <w:rPr>
                <w:rFonts w:cs="David"/>
                <w:rtl/>
              </w:rPr>
              <w:t xml:space="preserve"> </w:t>
            </w:r>
            <w:r w:rsidRPr="00EB69F2">
              <w:rPr>
                <w:rFonts w:cs="David" w:hint="cs"/>
                <w:rtl/>
              </w:rPr>
              <w:t>כל</w:t>
            </w:r>
            <w:r w:rsidRPr="00EB69F2">
              <w:rPr>
                <w:rFonts w:cs="David"/>
                <w:rtl/>
              </w:rPr>
              <w:t xml:space="preserve"> </w:t>
            </w:r>
            <w:r w:rsidRPr="00EB69F2">
              <w:rPr>
                <w:rFonts w:cs="David" w:hint="cs"/>
                <w:rtl/>
              </w:rPr>
              <w:t>שימוש</w:t>
            </w:r>
            <w:r w:rsidRPr="00EB69F2">
              <w:rPr>
                <w:rFonts w:cs="David"/>
                <w:rtl/>
              </w:rPr>
              <w:t xml:space="preserve"> </w:t>
            </w:r>
            <w:r w:rsidRPr="00EB69F2">
              <w:rPr>
                <w:rFonts w:cs="David" w:hint="cs"/>
                <w:rtl/>
              </w:rPr>
              <w:t>בכוח</w:t>
            </w:r>
            <w:r w:rsidRPr="00EB69F2">
              <w:rPr>
                <w:rFonts w:cs="David"/>
                <w:rtl/>
              </w:rPr>
              <w:t xml:space="preserve">, </w:t>
            </w:r>
            <w:r w:rsidRPr="00EB69F2">
              <w:rPr>
                <w:rFonts w:cs="David" w:hint="cs"/>
                <w:rtl/>
              </w:rPr>
              <w:t>תהא</w:t>
            </w:r>
            <w:r w:rsidRPr="00EB69F2">
              <w:rPr>
                <w:rFonts w:cs="David"/>
                <w:rtl/>
              </w:rPr>
              <w:t xml:space="preserve"> </w:t>
            </w:r>
            <w:r w:rsidRPr="00EB69F2">
              <w:rPr>
                <w:rFonts w:cs="David" w:hint="cs"/>
                <w:rtl/>
              </w:rPr>
              <w:t>מידתו</w:t>
            </w:r>
            <w:r w:rsidRPr="00EB69F2">
              <w:rPr>
                <w:rFonts w:cs="David"/>
                <w:rtl/>
              </w:rPr>
              <w:t xml:space="preserve"> </w:t>
            </w:r>
            <w:r w:rsidRPr="00EB69F2">
              <w:rPr>
                <w:rFonts w:cs="David" w:hint="cs"/>
                <w:rtl/>
              </w:rPr>
              <w:t>אשר</w:t>
            </w:r>
            <w:r w:rsidRPr="00EB69F2">
              <w:rPr>
                <w:rFonts w:cs="David"/>
                <w:rtl/>
              </w:rPr>
              <w:t xml:space="preserve"> </w:t>
            </w:r>
            <w:r w:rsidRPr="00EB69F2">
              <w:rPr>
                <w:rFonts w:cs="David" w:hint="cs"/>
                <w:rtl/>
              </w:rPr>
              <w:t>תהא</w:t>
            </w:r>
            <w:r>
              <w:rPr>
                <w:rFonts w:cs="David" w:hint="cs"/>
                <w:rtl/>
              </w:rPr>
              <w:t>.</w:t>
            </w:r>
            <w:r w:rsidRPr="00EB69F2">
              <w:rPr>
                <w:rFonts w:cs="David"/>
                <w:rtl/>
              </w:rPr>
              <w:t xml:space="preserve"> </w:t>
            </w:r>
          </w:p>
          <w:p w:rsidR="00EB69F2" w:rsidRDefault="00EB69F2" w:rsidP="00CB7B26">
            <w:pPr>
              <w:pStyle w:val="a3"/>
              <w:spacing w:line="360" w:lineRule="auto"/>
              <w:jc w:val="both"/>
              <w:rPr>
                <w:rFonts w:cs="David"/>
                <w:rtl/>
              </w:rPr>
            </w:pPr>
            <w:r>
              <w:rPr>
                <w:rFonts w:cs="David" w:hint="cs"/>
                <w:rtl/>
              </w:rPr>
              <w:t>*</w:t>
            </w:r>
            <w:r w:rsidRPr="00EB69F2">
              <w:rPr>
                <w:rFonts w:cs="David" w:hint="cs"/>
                <w:rtl/>
              </w:rPr>
              <w:t>המושג</w:t>
            </w:r>
            <w:r w:rsidRPr="00EB69F2">
              <w:rPr>
                <w:rFonts w:cs="David"/>
                <w:rtl/>
              </w:rPr>
              <w:t xml:space="preserve"> "</w:t>
            </w:r>
            <w:r w:rsidRPr="00EB69F2">
              <w:rPr>
                <w:rFonts w:cs="David" w:hint="cs"/>
                <w:rtl/>
              </w:rPr>
              <w:t>חבלת</w:t>
            </w:r>
            <w:r w:rsidRPr="00EB69F2">
              <w:rPr>
                <w:rFonts w:cs="David"/>
                <w:rtl/>
              </w:rPr>
              <w:t xml:space="preserve"> </w:t>
            </w:r>
            <w:r w:rsidRPr="00EB69F2">
              <w:rPr>
                <w:rFonts w:cs="David" w:hint="cs"/>
                <w:rtl/>
              </w:rPr>
              <w:t>גוף</w:t>
            </w:r>
            <w:r w:rsidRPr="00EB69F2">
              <w:rPr>
                <w:rFonts w:cs="David"/>
                <w:rtl/>
              </w:rPr>
              <w:t xml:space="preserve">", </w:t>
            </w:r>
            <w:r w:rsidRPr="00EB69F2">
              <w:rPr>
                <w:rFonts w:cs="David" w:hint="cs"/>
                <w:rtl/>
              </w:rPr>
              <w:t>אינו</w:t>
            </w:r>
            <w:r w:rsidRPr="00EB69F2">
              <w:rPr>
                <w:rFonts w:cs="David"/>
                <w:rtl/>
              </w:rPr>
              <w:t xml:space="preserve"> </w:t>
            </w:r>
            <w:r w:rsidRPr="00EB69F2">
              <w:rPr>
                <w:rFonts w:cs="David" w:hint="cs"/>
                <w:rtl/>
              </w:rPr>
              <w:t>מוגבל</w:t>
            </w:r>
            <w:r w:rsidRPr="00EB69F2">
              <w:rPr>
                <w:rFonts w:cs="David"/>
                <w:rtl/>
              </w:rPr>
              <w:t xml:space="preserve"> </w:t>
            </w:r>
            <w:r w:rsidRPr="00EB69F2">
              <w:rPr>
                <w:rFonts w:cs="David" w:hint="cs"/>
                <w:rtl/>
              </w:rPr>
              <w:t>לחבלה</w:t>
            </w:r>
            <w:r w:rsidRPr="00EB69F2">
              <w:rPr>
                <w:rFonts w:cs="David"/>
                <w:rtl/>
              </w:rPr>
              <w:t xml:space="preserve"> </w:t>
            </w:r>
            <w:r w:rsidRPr="00EB69F2">
              <w:rPr>
                <w:rFonts w:cs="David" w:hint="cs"/>
                <w:rtl/>
              </w:rPr>
              <w:t>פיזית</w:t>
            </w:r>
            <w:r w:rsidRPr="00EB69F2">
              <w:rPr>
                <w:rFonts w:cs="David"/>
                <w:rtl/>
              </w:rPr>
              <w:t xml:space="preserve"> </w:t>
            </w:r>
            <w:r w:rsidRPr="00EB69F2">
              <w:rPr>
                <w:rFonts w:cs="David" w:hint="cs"/>
                <w:rtl/>
              </w:rPr>
              <w:t>דווקא</w:t>
            </w:r>
            <w:r w:rsidRPr="00EB69F2">
              <w:rPr>
                <w:rFonts w:cs="David"/>
                <w:rtl/>
              </w:rPr>
              <w:t xml:space="preserve"> </w:t>
            </w:r>
            <w:r w:rsidRPr="00EB69F2">
              <w:rPr>
                <w:rFonts w:cs="David" w:hint="cs"/>
                <w:rtl/>
              </w:rPr>
              <w:t>ואפשר</w:t>
            </w:r>
            <w:r w:rsidRPr="00EB69F2">
              <w:rPr>
                <w:rFonts w:cs="David"/>
                <w:rtl/>
              </w:rPr>
              <w:t xml:space="preserve"> </w:t>
            </w:r>
            <w:r w:rsidRPr="00EB69F2">
              <w:rPr>
                <w:rFonts w:cs="David" w:hint="cs"/>
                <w:rtl/>
              </w:rPr>
              <w:t>להרחיבו</w:t>
            </w:r>
            <w:r w:rsidRPr="00EB69F2">
              <w:rPr>
                <w:rFonts w:cs="David"/>
                <w:rtl/>
              </w:rPr>
              <w:t xml:space="preserve"> </w:t>
            </w:r>
            <w:r w:rsidRPr="00EB69F2">
              <w:rPr>
                <w:rFonts w:cs="David" w:hint="cs"/>
                <w:rtl/>
              </w:rPr>
              <w:t>לכל</w:t>
            </w:r>
            <w:r w:rsidRPr="00EB69F2">
              <w:rPr>
                <w:rFonts w:cs="David"/>
                <w:rtl/>
              </w:rPr>
              <w:t xml:space="preserve"> </w:t>
            </w:r>
            <w:r w:rsidRPr="00EB69F2">
              <w:rPr>
                <w:rFonts w:cs="David" w:hint="cs"/>
                <w:rtl/>
              </w:rPr>
              <w:t>פגיעה</w:t>
            </w:r>
            <w:r w:rsidRPr="00EB69F2">
              <w:rPr>
                <w:rFonts w:cs="David"/>
                <w:rtl/>
              </w:rPr>
              <w:t xml:space="preserve"> </w:t>
            </w:r>
            <w:r w:rsidRPr="00EB69F2">
              <w:rPr>
                <w:rFonts w:cs="David" w:hint="cs"/>
                <w:rtl/>
              </w:rPr>
              <w:t>בגוף</w:t>
            </w:r>
            <w:r w:rsidRPr="00EB69F2">
              <w:rPr>
                <w:rFonts w:cs="David"/>
                <w:rtl/>
              </w:rPr>
              <w:t xml:space="preserve"> </w:t>
            </w:r>
            <w:r w:rsidRPr="00EB69F2">
              <w:rPr>
                <w:rFonts w:cs="David" w:hint="cs"/>
                <w:rtl/>
              </w:rPr>
              <w:t>הקורבן</w:t>
            </w:r>
            <w:r>
              <w:rPr>
                <w:rFonts w:cs="David" w:hint="cs"/>
                <w:rtl/>
              </w:rPr>
              <w:t>.</w:t>
            </w:r>
          </w:p>
          <w:p w:rsidR="00D97A77" w:rsidRDefault="00D97A77" w:rsidP="00CB7B26">
            <w:pPr>
              <w:pStyle w:val="a3"/>
              <w:spacing w:line="360" w:lineRule="auto"/>
              <w:jc w:val="both"/>
              <w:rPr>
                <w:rFonts w:cs="David"/>
                <w:rtl/>
              </w:rPr>
            </w:pPr>
            <w:r>
              <w:rPr>
                <w:rFonts w:cs="David" w:hint="cs"/>
                <w:rtl/>
              </w:rPr>
              <w:t xml:space="preserve">העבירות: שלילת כושר התנגדות ואיום נכללות בגדר הסייג של ס' 5 (1). </w:t>
            </w:r>
          </w:p>
        </w:tc>
      </w:tr>
      <w:tr w:rsidR="00086D6F" w:rsidTr="00923E1D">
        <w:tc>
          <w:tcPr>
            <w:tcW w:w="1893" w:type="dxa"/>
          </w:tcPr>
          <w:p w:rsidR="00086D6F" w:rsidRDefault="00DD6A6F" w:rsidP="00CB7B26">
            <w:pPr>
              <w:pStyle w:val="a3"/>
              <w:spacing w:line="360" w:lineRule="auto"/>
              <w:jc w:val="both"/>
              <w:rPr>
                <w:rFonts w:cs="David"/>
                <w:rtl/>
              </w:rPr>
            </w:pPr>
            <w:r>
              <w:rPr>
                <w:rFonts w:cs="David" w:hint="cs"/>
                <w:rtl/>
              </w:rPr>
              <w:t>ברדה</w:t>
            </w:r>
          </w:p>
        </w:tc>
        <w:tc>
          <w:tcPr>
            <w:tcW w:w="2787" w:type="dxa"/>
          </w:tcPr>
          <w:p w:rsidR="00086D6F" w:rsidRDefault="00DD6A6F" w:rsidP="00CB7B26">
            <w:pPr>
              <w:pStyle w:val="a3"/>
              <w:spacing w:line="360" w:lineRule="auto"/>
              <w:jc w:val="both"/>
              <w:rPr>
                <w:rFonts w:cs="David"/>
                <w:rtl/>
              </w:rPr>
            </w:pPr>
            <w:r>
              <w:rPr>
                <w:rFonts w:cs="David" w:hint="cs"/>
                <w:rtl/>
              </w:rPr>
              <w:t xml:space="preserve">ניסיון לפגוע במסגדים על הר הבית. </w:t>
            </w:r>
          </w:p>
          <w:p w:rsidR="00DD6A6F" w:rsidRDefault="00DD6A6F" w:rsidP="00CB7B26">
            <w:pPr>
              <w:pStyle w:val="a3"/>
              <w:spacing w:line="360" w:lineRule="auto"/>
              <w:jc w:val="both"/>
              <w:rPr>
                <w:rFonts w:cs="David"/>
                <w:rtl/>
              </w:rPr>
            </w:pPr>
            <w:r>
              <w:rPr>
                <w:rFonts w:cs="David" w:hint="cs"/>
                <w:rtl/>
              </w:rPr>
              <w:t xml:space="preserve">הטענה: משנפסלה אחריותם הפלילית של שניים מהמעורבים במקרה עקב היותם חולים במחלת נפש, לא ניתן היה לקבל את עדותם לחבות נאשם אחר. </w:t>
            </w:r>
          </w:p>
        </w:tc>
        <w:tc>
          <w:tcPr>
            <w:tcW w:w="6805" w:type="dxa"/>
          </w:tcPr>
          <w:p w:rsidR="00086D6F" w:rsidRDefault="00DD6A6F" w:rsidP="00CB7B26">
            <w:pPr>
              <w:pStyle w:val="a3"/>
              <w:spacing w:line="360" w:lineRule="auto"/>
              <w:jc w:val="both"/>
              <w:rPr>
                <w:rFonts w:cs="David"/>
                <w:rtl/>
              </w:rPr>
            </w:pPr>
            <w:r>
              <w:rPr>
                <w:rFonts w:cs="David" w:hint="cs"/>
                <w:rtl/>
              </w:rPr>
              <w:t xml:space="preserve">גולדברג: אין במחלת נפש, בה לוקה מי שנקרא לעדות, כדי להסיר ממנו את הכשרות להעיד, </w:t>
            </w:r>
            <w:r w:rsidRPr="00DD6A6F">
              <w:rPr>
                <w:rFonts w:cs="David"/>
                <w:rtl/>
              </w:rPr>
              <w:t>כמוהו ככל עד. אלא שבבוא בית המשפט לדון בשאלת משקלה של העדות, אין</w:t>
            </w:r>
            <w:r w:rsidRPr="00DD6A6F">
              <w:rPr>
                <w:rFonts w:cs="David"/>
              </w:rPr>
              <w:t xml:space="preserve"> </w:t>
            </w:r>
            <w:r w:rsidRPr="00DD6A6F">
              <w:rPr>
                <w:rFonts w:cs="David"/>
                <w:rtl/>
              </w:rPr>
              <w:t>בידו, מטבע הדברים, לסמוך על התרשמותו הבלתי אמצעית בלבד מן העד</w:t>
            </w:r>
            <w:r>
              <w:rPr>
                <w:rFonts w:cs="David" w:hint="cs"/>
                <w:rtl/>
              </w:rPr>
              <w:t xml:space="preserve">. </w:t>
            </w:r>
          </w:p>
          <w:p w:rsidR="00DD6A6F" w:rsidRDefault="00DD6A6F" w:rsidP="00CB7B26">
            <w:pPr>
              <w:pStyle w:val="a3"/>
              <w:spacing w:line="360" w:lineRule="auto"/>
              <w:jc w:val="both"/>
              <w:rPr>
                <w:rFonts w:cs="David"/>
                <w:rtl/>
              </w:rPr>
            </w:pPr>
            <w:r>
              <w:rPr>
                <w:rFonts w:cs="David" w:hint="cs"/>
                <w:rtl/>
              </w:rPr>
              <w:t xml:space="preserve">ניתן להיעזר בחוות דעת של מומחה, אולם שיקול הדעת מוקנה, בסופו של דבר, לביהמ"ש בלבד. </w:t>
            </w:r>
          </w:p>
          <w:p w:rsidR="00DD6A6F" w:rsidRDefault="00DD6A6F" w:rsidP="00CB7B26">
            <w:pPr>
              <w:pStyle w:val="a3"/>
              <w:spacing w:line="360" w:lineRule="auto"/>
              <w:jc w:val="both"/>
              <w:rPr>
                <w:rFonts w:cs="David"/>
                <w:rtl/>
              </w:rPr>
            </w:pPr>
            <w:r w:rsidRPr="00DD6A6F">
              <w:rPr>
                <w:rFonts w:cs="David"/>
                <w:rtl/>
              </w:rPr>
              <w:t>עדות חולה נפש מן הראוי שתעבור מבחן משולש לצור</w:t>
            </w:r>
            <w:r>
              <w:rPr>
                <w:rFonts w:cs="David"/>
                <w:rtl/>
              </w:rPr>
              <w:t>ך קביעת משקלה</w:t>
            </w:r>
            <w:r>
              <w:rPr>
                <w:rFonts w:cs="David" w:hint="cs"/>
                <w:rtl/>
              </w:rPr>
              <w:t>:</w:t>
            </w:r>
          </w:p>
          <w:p w:rsidR="007701DC" w:rsidRDefault="00DD6A6F" w:rsidP="00CB7B26">
            <w:pPr>
              <w:pStyle w:val="a3"/>
              <w:numPr>
                <w:ilvl w:val="0"/>
                <w:numId w:val="7"/>
              </w:numPr>
              <w:spacing w:line="360" w:lineRule="auto"/>
              <w:jc w:val="both"/>
              <w:rPr>
                <w:rFonts w:cs="David"/>
              </w:rPr>
            </w:pPr>
            <w:r w:rsidRPr="00DD6A6F">
              <w:rPr>
                <w:rFonts w:cs="David"/>
                <w:rtl/>
              </w:rPr>
              <w:t>מבחן ההתרשמות הבלתי אמצעית של בית המשפט מן העד ומן</w:t>
            </w:r>
            <w:r w:rsidRPr="00DD6A6F">
              <w:rPr>
                <w:rFonts w:cs="David"/>
              </w:rPr>
              <w:t xml:space="preserve"> </w:t>
            </w:r>
            <w:r w:rsidRPr="00DD6A6F">
              <w:rPr>
                <w:rFonts w:cs="David"/>
                <w:rtl/>
              </w:rPr>
              <w:cr/>
            </w:r>
            <w:r w:rsidRPr="00DD6A6F">
              <w:rPr>
                <w:rFonts w:cs="David"/>
                <w:rtl/>
              </w:rPr>
              <w:br w:type="page"/>
              <w:t>האופן בו הוא מעיד, תוך נתינת</w:t>
            </w:r>
            <w:r w:rsidR="007701DC">
              <w:rPr>
                <w:rFonts w:cs="David"/>
                <w:rtl/>
              </w:rPr>
              <w:t xml:space="preserve"> הדעת לחוות הדעת הרפואית.</w:t>
            </w:r>
          </w:p>
          <w:p w:rsidR="007701DC" w:rsidRDefault="00DD6A6F" w:rsidP="00CB7B26">
            <w:pPr>
              <w:pStyle w:val="a3"/>
              <w:numPr>
                <w:ilvl w:val="0"/>
                <w:numId w:val="7"/>
              </w:numPr>
              <w:spacing w:line="360" w:lineRule="auto"/>
              <w:jc w:val="both"/>
              <w:rPr>
                <w:rFonts w:cs="David"/>
              </w:rPr>
            </w:pPr>
            <w:r w:rsidRPr="00DD6A6F">
              <w:rPr>
                <w:rFonts w:cs="David"/>
                <w:rtl/>
              </w:rPr>
              <w:t>מב</w:t>
            </w:r>
            <w:r w:rsidR="007701DC">
              <w:rPr>
                <w:rFonts w:cs="David"/>
                <w:rtl/>
              </w:rPr>
              <w:t xml:space="preserve">חנה הפנימי של העדות. </w:t>
            </w:r>
            <w:r w:rsidR="007701DC">
              <w:rPr>
                <w:rFonts w:cs="David" w:hint="cs"/>
                <w:rtl/>
              </w:rPr>
              <w:t xml:space="preserve">כלומר, </w:t>
            </w:r>
            <w:r w:rsidRPr="00DD6A6F">
              <w:rPr>
                <w:rFonts w:cs="David"/>
                <w:rtl/>
              </w:rPr>
              <w:t>בדיקת העדות</w:t>
            </w:r>
            <w:r w:rsidR="007701DC">
              <w:rPr>
                <w:rFonts w:cs="David"/>
                <w:rtl/>
              </w:rPr>
              <w:t xml:space="preserve"> על-פי סימני האמת העולים מתוכה</w:t>
            </w:r>
            <w:r w:rsidR="007701DC">
              <w:rPr>
                <w:rFonts w:cs="David" w:hint="cs"/>
                <w:rtl/>
              </w:rPr>
              <w:t xml:space="preserve">. </w:t>
            </w:r>
          </w:p>
          <w:p w:rsidR="007701DC" w:rsidRDefault="00DD6A6F" w:rsidP="00CB7B26">
            <w:pPr>
              <w:pStyle w:val="a3"/>
              <w:numPr>
                <w:ilvl w:val="0"/>
                <w:numId w:val="7"/>
              </w:numPr>
              <w:spacing w:line="360" w:lineRule="auto"/>
              <w:jc w:val="both"/>
              <w:rPr>
                <w:rFonts w:cs="David"/>
              </w:rPr>
            </w:pPr>
            <w:r w:rsidRPr="007701DC">
              <w:rPr>
                <w:rFonts w:cs="David"/>
                <w:rtl/>
              </w:rPr>
              <w:t xml:space="preserve">העיקר, מבחנה של העדות על-פי סימני אמת חיצוניים, "אשר יש בהם, לפי מבחני השכל הישר, כדי להשליך אור על </w:t>
            </w:r>
            <w:proofErr w:type="spellStart"/>
            <w:r w:rsidRPr="007701DC">
              <w:rPr>
                <w:rFonts w:cs="David"/>
                <w:rtl/>
              </w:rPr>
              <w:t>אמיתותה</w:t>
            </w:r>
            <w:proofErr w:type="spellEnd"/>
            <w:r w:rsidRPr="007701DC">
              <w:rPr>
                <w:rFonts w:cs="David"/>
                <w:rtl/>
              </w:rPr>
              <w:t>"</w:t>
            </w:r>
            <w:r w:rsidR="007701DC">
              <w:rPr>
                <w:rFonts w:cs="David" w:hint="cs"/>
                <w:rtl/>
              </w:rPr>
              <w:t>.</w:t>
            </w:r>
          </w:p>
          <w:p w:rsidR="007701DC" w:rsidRDefault="00DD6A6F" w:rsidP="00CB7B26">
            <w:pPr>
              <w:pStyle w:val="a3"/>
              <w:spacing w:line="360" w:lineRule="auto"/>
              <w:jc w:val="both"/>
              <w:rPr>
                <w:rFonts w:cs="David"/>
              </w:rPr>
            </w:pPr>
            <w:r w:rsidRPr="007701DC">
              <w:rPr>
                <w:rFonts w:cs="David"/>
                <w:rtl/>
              </w:rPr>
              <w:t xml:space="preserve">שהמבחן האחרון בא לשמש "שסתום ביטחון" לשני המבחנים הראשונים. </w:t>
            </w:r>
          </w:p>
          <w:p w:rsidR="007701DC" w:rsidRDefault="00DD6A6F" w:rsidP="00CB7B26">
            <w:pPr>
              <w:pStyle w:val="a3"/>
              <w:spacing w:line="360" w:lineRule="auto"/>
              <w:jc w:val="both"/>
              <w:rPr>
                <w:rFonts w:cs="David"/>
                <w:rtl/>
              </w:rPr>
            </w:pPr>
            <w:r w:rsidRPr="007701DC">
              <w:rPr>
                <w:rFonts w:cs="David"/>
                <w:rtl/>
              </w:rPr>
              <w:t>יש להוסיף, כי במקרה כגון זה שלפנינו משתלבים "המבחן החיצוני" ומשקלו, כאמור לעיל, בצורך כי יימצא לעדותו של</w:t>
            </w:r>
            <w:r w:rsidRPr="007701DC">
              <w:rPr>
                <w:rFonts w:cs="David"/>
              </w:rPr>
              <w:t xml:space="preserve"> </w:t>
            </w:r>
            <w:r w:rsidRPr="007701DC">
              <w:rPr>
                <w:rFonts w:cs="David"/>
                <w:rtl/>
              </w:rPr>
              <w:t>חולה הנפש,</w:t>
            </w:r>
            <w:r w:rsidR="007701DC">
              <w:rPr>
                <w:rFonts w:cs="David"/>
                <w:rtl/>
              </w:rPr>
              <w:t xml:space="preserve"> שהוא שותף לעבירה, דבר לחיזוקה</w:t>
            </w:r>
            <w:r w:rsidR="007701DC">
              <w:rPr>
                <w:rFonts w:cs="David" w:hint="cs"/>
                <w:rtl/>
              </w:rPr>
              <w:t xml:space="preserve"> כשכובד </w:t>
            </w:r>
            <w:r w:rsidRPr="007701DC">
              <w:rPr>
                <w:rFonts w:cs="David"/>
                <w:rtl/>
              </w:rPr>
              <w:t>משקלו של "הדבר" לחיזוק מתחייב אף הוא ממחלת הנפש של העד</w:t>
            </w:r>
            <w:r w:rsidRPr="007701DC">
              <w:rPr>
                <w:rFonts w:cs="David"/>
              </w:rPr>
              <w:t>.</w:t>
            </w:r>
          </w:p>
          <w:p w:rsidR="007701DC" w:rsidRDefault="007701DC" w:rsidP="00CB7B26">
            <w:pPr>
              <w:pStyle w:val="a3"/>
              <w:spacing w:line="360" w:lineRule="auto"/>
              <w:jc w:val="both"/>
              <w:rPr>
                <w:rFonts w:cs="David"/>
                <w:rtl/>
              </w:rPr>
            </w:pPr>
            <w:r>
              <w:rPr>
                <w:rFonts w:cs="David" w:hint="cs"/>
                <w:rtl/>
              </w:rPr>
              <w:t xml:space="preserve">המבחנים מתקיימים במקרה דנן. </w:t>
            </w:r>
          </w:p>
        </w:tc>
      </w:tr>
      <w:tr w:rsidR="00086D6F" w:rsidTr="00923E1D">
        <w:tc>
          <w:tcPr>
            <w:tcW w:w="1893" w:type="dxa"/>
          </w:tcPr>
          <w:p w:rsidR="00086D6F" w:rsidRDefault="00043E27" w:rsidP="00CB7B26">
            <w:pPr>
              <w:pStyle w:val="a3"/>
              <w:spacing w:line="360" w:lineRule="auto"/>
              <w:jc w:val="both"/>
              <w:rPr>
                <w:rFonts w:cs="David"/>
                <w:rtl/>
              </w:rPr>
            </w:pPr>
            <w:r>
              <w:rPr>
                <w:rFonts w:cs="David" w:hint="cs"/>
                <w:rtl/>
              </w:rPr>
              <w:t xml:space="preserve">ע"פ </w:t>
            </w:r>
            <w:proofErr w:type="spellStart"/>
            <w:r>
              <w:rPr>
                <w:rFonts w:cs="David" w:hint="cs"/>
                <w:rtl/>
              </w:rPr>
              <w:t>שמרלינג</w:t>
            </w:r>
            <w:proofErr w:type="spellEnd"/>
          </w:p>
        </w:tc>
        <w:tc>
          <w:tcPr>
            <w:tcW w:w="2787" w:type="dxa"/>
          </w:tcPr>
          <w:p w:rsidR="00086D6F" w:rsidRDefault="00043E27" w:rsidP="00CB7B26">
            <w:pPr>
              <w:pStyle w:val="a3"/>
              <w:spacing w:line="360" w:lineRule="auto"/>
              <w:jc w:val="both"/>
              <w:rPr>
                <w:rFonts w:cs="David"/>
                <w:rtl/>
              </w:rPr>
            </w:pPr>
            <w:r>
              <w:rPr>
                <w:rFonts w:cs="David" w:hint="cs"/>
                <w:rtl/>
              </w:rPr>
              <w:t xml:space="preserve">חבורה המעורבת בעסקה </w:t>
            </w:r>
            <w:r>
              <w:rPr>
                <w:rFonts w:cs="David" w:hint="cs"/>
                <w:rtl/>
              </w:rPr>
              <w:lastRenderedPageBreak/>
              <w:t>לרכישת סמים.</w:t>
            </w:r>
          </w:p>
        </w:tc>
        <w:tc>
          <w:tcPr>
            <w:tcW w:w="6805" w:type="dxa"/>
          </w:tcPr>
          <w:p w:rsidR="00086D6F" w:rsidRDefault="00043E27" w:rsidP="00CB7B26">
            <w:pPr>
              <w:pStyle w:val="a3"/>
              <w:spacing w:line="360" w:lineRule="auto"/>
              <w:jc w:val="both"/>
              <w:rPr>
                <w:rFonts w:cs="David"/>
                <w:rtl/>
              </w:rPr>
            </w:pPr>
            <w:r>
              <w:rPr>
                <w:rFonts w:cs="David" w:hint="cs"/>
                <w:rtl/>
              </w:rPr>
              <w:lastRenderedPageBreak/>
              <w:t xml:space="preserve">קדמי: לעניינו של ס' 54א(א) </w:t>
            </w:r>
            <w:proofErr w:type="spellStart"/>
            <w:r>
              <w:rPr>
                <w:rFonts w:cs="David" w:hint="cs"/>
                <w:rtl/>
              </w:rPr>
              <w:t>לפק"ר</w:t>
            </w:r>
            <w:proofErr w:type="spellEnd"/>
            <w:r>
              <w:rPr>
                <w:rFonts w:cs="David" w:hint="cs"/>
                <w:rtl/>
              </w:rPr>
              <w:t xml:space="preserve">- עדות של עד מדינה דורשת תוספת ראייתית </w:t>
            </w:r>
            <w:r>
              <w:rPr>
                <w:rFonts w:cs="David" w:hint="cs"/>
                <w:rtl/>
              </w:rPr>
              <w:lastRenderedPageBreak/>
              <w:t xml:space="preserve">מסוג סיוע, אין צורך בחתימת הסכם פורמאלי על מנת להפוך לעד מדינה. די בכך שהעד הינו אדם שהיה שותף לעבירה המעיד מטעם התביעה לאחר שניתנה או הובטחה לו טובת הנאה. מדובר על טובת הנאה כלשהי, ולאו דווקא התחייבות שלא להעמיד את העד לדין בשל הפרשה נשוא העדות. אין בעצם נתינתו של דבר המהווה כשלעצמו טובת הנאה למקבלו וצריך שתתקיים זיקת קשר בין טובת הנאה לבין מסירת העדות, באופן שתוכנה של העדות קשור סיבתית לקבלת טובת ההנאה. </w:t>
            </w:r>
          </w:p>
          <w:p w:rsidR="00043E27" w:rsidRDefault="00043E27" w:rsidP="00CB7B26">
            <w:pPr>
              <w:pStyle w:val="a3"/>
              <w:spacing w:line="360" w:lineRule="auto"/>
              <w:jc w:val="both"/>
              <w:rPr>
                <w:rFonts w:cs="David"/>
                <w:rtl/>
              </w:rPr>
            </w:pPr>
            <w:r>
              <w:rPr>
                <w:rFonts w:cs="David" w:hint="cs"/>
                <w:rtl/>
              </w:rPr>
              <w:t xml:space="preserve">עדות של עד מדינה טעונה סיוע משום שהחשש לאמינותו מתעצם בשל טובת ההנאה או ההבטחה לטובת הנאה. </w:t>
            </w:r>
          </w:p>
          <w:p w:rsidR="00043E27" w:rsidRDefault="00043E27" w:rsidP="00CB7B26">
            <w:pPr>
              <w:pStyle w:val="a3"/>
              <w:spacing w:line="360" w:lineRule="auto"/>
              <w:jc w:val="both"/>
              <w:rPr>
                <w:rFonts w:cs="David"/>
                <w:rtl/>
              </w:rPr>
            </w:pPr>
            <w:r>
              <w:rPr>
                <w:rFonts w:cs="David" w:hint="cs"/>
                <w:rtl/>
              </w:rPr>
              <w:t xml:space="preserve">עד הופך להיות "עד מדינה" במקום שבו מתקיימת "הבנה" מעין "הסכמה" בינו לבין הרשות: זו מבטיחה או נותנת טובת הנאה על מנת לקבל מהעד גרסה נוחה לה וזה מבין את תכלית המתת ומסכים למסור גרסה בתמורה לטובת ההנאה. </w:t>
            </w:r>
          </w:p>
          <w:p w:rsidR="00043E27" w:rsidRDefault="00043E27" w:rsidP="00CB7B26">
            <w:pPr>
              <w:pStyle w:val="a3"/>
              <w:spacing w:line="360" w:lineRule="auto"/>
              <w:jc w:val="both"/>
              <w:rPr>
                <w:rFonts w:cs="David"/>
                <w:rtl/>
              </w:rPr>
            </w:pPr>
            <w:r>
              <w:rPr>
                <w:rFonts w:cs="David" w:hint="cs"/>
                <w:rtl/>
              </w:rPr>
              <w:t xml:space="preserve">הסכמה או הבנה כאמור יכול שיבואו לכלל ביטוי מפורש בכתב או בע"פ ויכול שיתחייבו מכללא מהתנהגותם של שני הצדדים לה, ובלבד שמתן טובת הנאה או ההבטחה וקבלתן ייעשו באורח מודע בקשר למתן העדות. </w:t>
            </w:r>
          </w:p>
          <w:p w:rsidR="00043E27" w:rsidRDefault="00043E27" w:rsidP="00CB7B26">
            <w:pPr>
              <w:pStyle w:val="a3"/>
              <w:spacing w:line="360" w:lineRule="auto"/>
              <w:jc w:val="both"/>
              <w:rPr>
                <w:rFonts w:cs="David"/>
                <w:rtl/>
              </w:rPr>
            </w:pPr>
            <w:r>
              <w:rPr>
                <w:rFonts w:cs="David" w:hint="cs"/>
                <w:rtl/>
              </w:rPr>
              <w:t xml:space="preserve">אכן, במקום שבו מעניקה הרשות טובות הנאה לעד וזה מקבלם נוצר בסיס לחזקה שבעובדה כי קיים קשר בין טובות ההנאה לבין תוכן עדותו של העד. אבל, אין זו ראיה ניצחת בדבר היותו של העד עד מדינה, ומעמדו של העד נקבע, בסופו של דבר ע"י ביהמ"ש על בסיס הראיות הנפרסות לפניו בדבר "הזיקה" שבין קבלת טובות ההנאה לבין העדות שמסר. </w:t>
            </w:r>
          </w:p>
        </w:tc>
      </w:tr>
      <w:tr w:rsidR="00086D6F" w:rsidTr="00923E1D">
        <w:tc>
          <w:tcPr>
            <w:tcW w:w="1893" w:type="dxa"/>
          </w:tcPr>
          <w:p w:rsidR="00086D6F" w:rsidRDefault="0056321D" w:rsidP="00CB7B26">
            <w:pPr>
              <w:pStyle w:val="a3"/>
              <w:spacing w:line="360" w:lineRule="auto"/>
              <w:jc w:val="both"/>
              <w:rPr>
                <w:rFonts w:cs="David"/>
                <w:rtl/>
              </w:rPr>
            </w:pPr>
            <w:r>
              <w:rPr>
                <w:rFonts w:cs="David" w:hint="cs"/>
                <w:rtl/>
              </w:rPr>
              <w:lastRenderedPageBreak/>
              <w:t xml:space="preserve">ע"פ </w:t>
            </w:r>
            <w:proofErr w:type="spellStart"/>
            <w:r>
              <w:rPr>
                <w:rFonts w:cs="David" w:hint="cs"/>
                <w:rtl/>
              </w:rPr>
              <w:t>קרדוסו</w:t>
            </w:r>
            <w:proofErr w:type="spellEnd"/>
          </w:p>
        </w:tc>
        <w:tc>
          <w:tcPr>
            <w:tcW w:w="2787" w:type="dxa"/>
          </w:tcPr>
          <w:p w:rsidR="00086D6F" w:rsidRDefault="000B0D72" w:rsidP="00CB7B26">
            <w:pPr>
              <w:pStyle w:val="a3"/>
              <w:spacing w:line="360" w:lineRule="auto"/>
              <w:jc w:val="both"/>
              <w:rPr>
                <w:rFonts w:cs="David"/>
                <w:rtl/>
              </w:rPr>
            </w:pPr>
            <w:r>
              <w:rPr>
                <w:rFonts w:cs="David" w:hint="cs"/>
                <w:rtl/>
              </w:rPr>
              <w:t xml:space="preserve">מעורבות בסדרה של עסקאות סמים. </w:t>
            </w:r>
          </w:p>
          <w:p w:rsidR="008B2214" w:rsidRDefault="008B2214" w:rsidP="00CB7B26">
            <w:pPr>
              <w:pStyle w:val="a3"/>
              <w:spacing w:line="360" w:lineRule="auto"/>
              <w:jc w:val="both"/>
              <w:rPr>
                <w:rFonts w:cs="David"/>
                <w:rtl/>
              </w:rPr>
            </w:pPr>
            <w:r>
              <w:rPr>
                <w:rFonts w:cs="David" w:hint="cs"/>
                <w:rtl/>
              </w:rPr>
              <w:t xml:space="preserve">חשין: שפיגל לא עבר את המבחן האובייקטיבי, מכאן שלא צריך לפנות לסובייקטיבי והוא איננו עד מדינה. </w:t>
            </w:r>
          </w:p>
        </w:tc>
        <w:tc>
          <w:tcPr>
            <w:tcW w:w="6805" w:type="dxa"/>
          </w:tcPr>
          <w:p w:rsidR="00086D6F" w:rsidRDefault="000B0D72" w:rsidP="00CB7B26">
            <w:pPr>
              <w:pStyle w:val="a3"/>
              <w:spacing w:line="360" w:lineRule="auto"/>
              <w:jc w:val="both"/>
              <w:rPr>
                <w:rFonts w:cs="David"/>
                <w:rtl/>
              </w:rPr>
            </w:pPr>
            <w:r>
              <w:rPr>
                <w:rFonts w:cs="David" w:hint="cs"/>
                <w:rtl/>
              </w:rPr>
              <w:t xml:space="preserve">חשין: </w:t>
            </w:r>
            <w:r w:rsidR="001A0BB7">
              <w:rPr>
                <w:rFonts w:cs="David" w:hint="cs"/>
                <w:rtl/>
              </w:rPr>
              <w:t xml:space="preserve">שלושה יסודות עושים עד לעד מדינה: 1. שותף לעבירה שבגינה עומד לדין מי שמעידים נגדו. 2. הובטחה או ניתנה לו טובת הנאה. 3. הוא מעיד במשפט לאחר שניתנה או הובטחה לו טובת הנאה. </w:t>
            </w:r>
          </w:p>
          <w:p w:rsidR="001A0BB7" w:rsidRDefault="001A0BB7" w:rsidP="00CB7B26">
            <w:pPr>
              <w:pStyle w:val="a3"/>
              <w:spacing w:line="360" w:lineRule="auto"/>
              <w:jc w:val="both"/>
              <w:rPr>
                <w:rFonts w:cs="David"/>
                <w:rtl/>
              </w:rPr>
            </w:pPr>
            <w:r>
              <w:rPr>
                <w:rFonts w:cs="David" w:hint="cs"/>
                <w:rtl/>
              </w:rPr>
              <w:t>טובת הנאה- דבר המיטיב את מצבו של העד ואשר אין העד זכאי לו במהלכם הרגיל של הדברים. דבר הניתן לעד והוא מעבר לזכויותיו. מבחן אובייקטיבי.</w:t>
            </w:r>
          </w:p>
          <w:p w:rsidR="001A0BB7" w:rsidRDefault="001A0BB7" w:rsidP="00CB7B26">
            <w:pPr>
              <w:pStyle w:val="a3"/>
              <w:spacing w:line="360" w:lineRule="auto"/>
              <w:jc w:val="both"/>
              <w:rPr>
                <w:rFonts w:cs="David"/>
                <w:rtl/>
              </w:rPr>
            </w:pPr>
            <w:r>
              <w:rPr>
                <w:rFonts w:cs="David" w:hint="cs"/>
                <w:rtl/>
              </w:rPr>
              <w:t xml:space="preserve">הבדיקה נערכת בשני שלבים: 1. מבחן אובייקטיבי. 2. מבחן סובייקטיבי- אם סבר השותף בטעות כי ניתנה לו טובת הנאה. </w:t>
            </w:r>
          </w:p>
          <w:p w:rsidR="008B2214" w:rsidRDefault="008B2214" w:rsidP="00CB7B26">
            <w:pPr>
              <w:pStyle w:val="a3"/>
              <w:spacing w:line="360" w:lineRule="auto"/>
              <w:jc w:val="both"/>
              <w:rPr>
                <w:rFonts w:cs="David"/>
                <w:rtl/>
              </w:rPr>
            </w:pPr>
            <w:r>
              <w:rPr>
                <w:rFonts w:cs="David" w:hint="cs"/>
                <w:rtl/>
              </w:rPr>
              <w:t xml:space="preserve">המבחנים שהוצעו יחולו במהלך הרגיל של הדברים ואילו בנסיבות בלתי רגילות אפשר שיחולו סייגים. </w:t>
            </w:r>
          </w:p>
          <w:p w:rsidR="008B2214" w:rsidRDefault="008B2214" w:rsidP="00CB7B26">
            <w:pPr>
              <w:pStyle w:val="a3"/>
              <w:spacing w:line="360" w:lineRule="auto"/>
              <w:jc w:val="both"/>
              <w:rPr>
                <w:rFonts w:cs="David"/>
                <w:rtl/>
              </w:rPr>
            </w:pPr>
            <w:r>
              <w:rPr>
                <w:rFonts w:cs="David" w:hint="cs"/>
                <w:rtl/>
              </w:rPr>
              <w:t>דוגמאות:</w:t>
            </w:r>
          </w:p>
          <w:p w:rsidR="008B2214" w:rsidRDefault="008B2214" w:rsidP="00CB7B26">
            <w:pPr>
              <w:pStyle w:val="a3"/>
              <w:numPr>
                <w:ilvl w:val="0"/>
                <w:numId w:val="10"/>
              </w:numPr>
              <w:spacing w:line="360" w:lineRule="auto"/>
              <w:jc w:val="both"/>
              <w:rPr>
                <w:rFonts w:cs="David"/>
              </w:rPr>
            </w:pPr>
            <w:r>
              <w:rPr>
                <w:rFonts w:cs="David" w:hint="cs"/>
                <w:rtl/>
              </w:rPr>
              <w:t xml:space="preserve">כאשר העד מוחזק במעצר בתנאים בלתי ראויים ובניגוד לדין ומוצע לו לשמש עד מדינה תמורת שינוי תנאי המעצר להיותם כתנאי מעצר של עציר מהמניין. הטבת תנאי המעצר כמוצע לא הינה זכותו של העד השותף ולכן לא מתקיים פה המבחן האובייקטיבי וגם לא הסובייקטיבי כי העד אינו טועה בקשר לקבלתה של טובת הנאה. </w:t>
            </w:r>
          </w:p>
          <w:p w:rsidR="001A0BB7" w:rsidRPr="008B2214" w:rsidRDefault="008B2214" w:rsidP="00CB7B26">
            <w:pPr>
              <w:pStyle w:val="a3"/>
              <w:numPr>
                <w:ilvl w:val="0"/>
                <w:numId w:val="10"/>
              </w:numPr>
              <w:spacing w:line="360" w:lineRule="auto"/>
              <w:jc w:val="both"/>
              <w:rPr>
                <w:rFonts w:cs="David"/>
                <w:rtl/>
              </w:rPr>
            </w:pPr>
            <w:r w:rsidRPr="008B2214">
              <w:rPr>
                <w:rFonts w:cs="David" w:hint="cs"/>
                <w:rtl/>
              </w:rPr>
              <w:t xml:space="preserve">מקרה שבו שוללת המדינה, שלא כדין, זכות הקנויה לעד-שותף, החזרתה ושיקומה של אותה זכות אפשר שתהיה בהן הענקת או הבטחה להענקת טובת הנאה, הגם שהעד השותף היה זכאי ממילא להחזרת הזכות ולשיקומה. </w:t>
            </w:r>
            <w:r w:rsidR="00AA2F09">
              <w:rPr>
                <w:rFonts w:cs="David" w:hint="cs"/>
                <w:rtl/>
              </w:rPr>
              <w:t xml:space="preserve">גם אמונה סובייקטיבית של העד כי הינו מקבל או עתיד לקבל טובת הנאה כלשהי, יכול ותהפוך אותו לעד מדינה. </w:t>
            </w:r>
          </w:p>
        </w:tc>
      </w:tr>
      <w:tr w:rsidR="00086D6F" w:rsidTr="00923E1D">
        <w:tc>
          <w:tcPr>
            <w:tcW w:w="1893" w:type="dxa"/>
          </w:tcPr>
          <w:p w:rsidR="00086D6F" w:rsidRDefault="00F6796D" w:rsidP="00CB7B26">
            <w:pPr>
              <w:pStyle w:val="a3"/>
              <w:spacing w:line="360" w:lineRule="auto"/>
              <w:jc w:val="both"/>
              <w:rPr>
                <w:rFonts w:cs="David"/>
                <w:rtl/>
              </w:rPr>
            </w:pPr>
            <w:r>
              <w:rPr>
                <w:rFonts w:cs="David" w:hint="cs"/>
                <w:rtl/>
              </w:rPr>
              <w:t>ע"פ אבו ליטף</w:t>
            </w:r>
          </w:p>
        </w:tc>
        <w:tc>
          <w:tcPr>
            <w:tcW w:w="2787" w:type="dxa"/>
          </w:tcPr>
          <w:p w:rsidR="00086D6F" w:rsidRDefault="00F6796D" w:rsidP="00CB7B26">
            <w:pPr>
              <w:pStyle w:val="a3"/>
              <w:spacing w:line="360" w:lineRule="auto"/>
              <w:jc w:val="both"/>
              <w:rPr>
                <w:rFonts w:cs="David"/>
                <w:rtl/>
              </w:rPr>
            </w:pPr>
            <w:r>
              <w:rPr>
                <w:rFonts w:cs="David" w:hint="cs"/>
                <w:rtl/>
              </w:rPr>
              <w:t>הרשעה ברצח</w:t>
            </w:r>
          </w:p>
        </w:tc>
        <w:tc>
          <w:tcPr>
            <w:tcW w:w="6805" w:type="dxa"/>
          </w:tcPr>
          <w:p w:rsidR="00086D6F" w:rsidRDefault="00292E47" w:rsidP="00CB7B26">
            <w:pPr>
              <w:pStyle w:val="a3"/>
              <w:spacing w:line="360" w:lineRule="auto"/>
              <w:jc w:val="both"/>
              <w:rPr>
                <w:rFonts w:cs="David"/>
                <w:rtl/>
              </w:rPr>
            </w:pPr>
            <w:proofErr w:type="spellStart"/>
            <w:r>
              <w:rPr>
                <w:rFonts w:cs="David" w:hint="cs"/>
                <w:rtl/>
              </w:rPr>
              <w:t>ברלינר</w:t>
            </w:r>
            <w:proofErr w:type="spellEnd"/>
            <w:r>
              <w:rPr>
                <w:rFonts w:cs="David" w:hint="cs"/>
                <w:rtl/>
              </w:rPr>
              <w:t xml:space="preserve">: </w:t>
            </w:r>
            <w:r w:rsidR="00EE329D">
              <w:rPr>
                <w:rFonts w:cs="David" w:hint="cs"/>
                <w:rtl/>
              </w:rPr>
              <w:t xml:space="preserve">המאפיין את טובת ההנאה הוא כי השותף לאותה עבירה יפיק או יצפה להפיק ממנה רווח או תועלת של ממש, ולא רק הנאה של מה בכך, שאינה מעלה את </w:t>
            </w:r>
            <w:r w:rsidR="00EE329D">
              <w:rPr>
                <w:rFonts w:cs="David" w:hint="cs"/>
                <w:rtl/>
              </w:rPr>
              <w:lastRenderedPageBreak/>
              <w:t xml:space="preserve">חששנו כי בשלה יעוות העד בעדותו את האמת. </w:t>
            </w:r>
          </w:p>
          <w:p w:rsidR="00EE329D" w:rsidRDefault="00EE329D" w:rsidP="00CB7B26">
            <w:pPr>
              <w:pStyle w:val="a3"/>
              <w:spacing w:line="360" w:lineRule="auto"/>
              <w:jc w:val="both"/>
              <w:rPr>
                <w:rFonts w:cs="David"/>
                <w:rtl/>
              </w:rPr>
            </w:pPr>
            <w:r>
              <w:rPr>
                <w:rFonts w:cs="David" w:hint="cs"/>
                <w:rtl/>
              </w:rPr>
              <w:t xml:space="preserve">נטל ההוכחה בדבר היותו של העד עד מדינה מוטל על כתפי הטוען זאת. </w:t>
            </w:r>
          </w:p>
          <w:p w:rsidR="00EE329D" w:rsidRDefault="00EE329D" w:rsidP="00CB7B26">
            <w:pPr>
              <w:pStyle w:val="a3"/>
              <w:spacing w:line="360" w:lineRule="auto"/>
              <w:jc w:val="both"/>
              <w:rPr>
                <w:rFonts w:cs="David"/>
                <w:rtl/>
              </w:rPr>
            </w:pPr>
            <w:r>
              <w:rPr>
                <w:rFonts w:cs="David" w:hint="cs"/>
                <w:rtl/>
              </w:rPr>
              <w:t xml:space="preserve">תיקון כתב אישום אינו מקים חזקה של טובת הנאה. </w:t>
            </w:r>
          </w:p>
          <w:p w:rsidR="00EC7E5B" w:rsidRDefault="00EC7E5B" w:rsidP="00CB7B26">
            <w:pPr>
              <w:pStyle w:val="a3"/>
              <w:spacing w:line="360" w:lineRule="auto"/>
              <w:jc w:val="both"/>
              <w:rPr>
                <w:rFonts w:cs="David"/>
                <w:rtl/>
              </w:rPr>
            </w:pPr>
            <w:r>
              <w:rPr>
                <w:rFonts w:cs="David" w:hint="cs"/>
                <w:rtl/>
              </w:rPr>
              <w:t>לא מקבלת את המבחן הסובייקטיבי.</w:t>
            </w:r>
          </w:p>
          <w:p w:rsidR="00EC7E5B" w:rsidRDefault="00EC7E5B" w:rsidP="00CB7B26">
            <w:pPr>
              <w:pStyle w:val="a3"/>
              <w:spacing w:line="360" w:lineRule="auto"/>
              <w:jc w:val="both"/>
              <w:rPr>
                <w:rFonts w:cs="David"/>
                <w:rtl/>
              </w:rPr>
            </w:pPr>
            <w:r>
              <w:rPr>
                <w:rFonts w:cs="David" w:hint="cs"/>
                <w:rtl/>
              </w:rPr>
              <w:t>מציעה לעשות מעין שלב ביניים- של עד אשר יצא מכלל שותף ולכלל עד מדינה לא הגיע. עד זה הוא עד אשר ביהמ"ש חושש מסיבות שונות למהימנות עדותו, אולם החשש אינו הופך אותו לעד מדינה</w:t>
            </w:r>
            <w:r w:rsidR="00DC6050">
              <w:rPr>
                <w:rFonts w:cs="David" w:hint="cs"/>
                <w:rtl/>
              </w:rPr>
              <w:t xml:space="preserve">. עד מדינה לשיטתו. סיווג ביניים זה מאפשר לביהמ"ש לקבוע באופן הצהרתי כי מעמדו של העד אינו כשל שותף רגיל, ולבטא את החשש למהימנותו, אך ללא כבילה מנדטורית. </w:t>
            </w:r>
          </w:p>
          <w:p w:rsidR="00DC6050" w:rsidRDefault="00DC6050" w:rsidP="00CB7B26">
            <w:pPr>
              <w:pStyle w:val="a3"/>
              <w:spacing w:line="360" w:lineRule="auto"/>
              <w:jc w:val="both"/>
              <w:rPr>
                <w:rFonts w:cs="David"/>
                <w:rtl/>
              </w:rPr>
            </w:pPr>
            <w:r>
              <w:rPr>
                <w:rFonts w:cs="David" w:hint="cs"/>
                <w:rtl/>
              </w:rPr>
              <w:t xml:space="preserve">עד המאמין כי ניתנה או הובטחה לו טובת הנאה בזיקה לעדותו </w:t>
            </w:r>
            <w:proofErr w:type="spellStart"/>
            <w:r>
              <w:rPr>
                <w:rFonts w:cs="David" w:hint="cs"/>
                <w:rtl/>
              </w:rPr>
              <w:t>יכלל</w:t>
            </w:r>
            <w:proofErr w:type="spellEnd"/>
            <w:r>
              <w:rPr>
                <w:rFonts w:cs="David" w:hint="cs"/>
                <w:rtl/>
              </w:rPr>
              <w:t xml:space="preserve"> בגדר אותו תחום ביניים של </w:t>
            </w:r>
            <w:r w:rsidRPr="008A53A6">
              <w:rPr>
                <w:rFonts w:cs="David" w:hint="cs"/>
                <w:b/>
                <w:bCs/>
                <w:rtl/>
              </w:rPr>
              <w:t>עד מדינה לשיטתו.</w:t>
            </w:r>
          </w:p>
          <w:p w:rsidR="00DC6050" w:rsidRDefault="00DC6050" w:rsidP="00CB7B26">
            <w:pPr>
              <w:pStyle w:val="a3"/>
              <w:spacing w:line="360" w:lineRule="auto"/>
              <w:jc w:val="both"/>
              <w:rPr>
                <w:rFonts w:cs="David"/>
                <w:rtl/>
              </w:rPr>
            </w:pPr>
            <w:r>
              <w:rPr>
                <w:rFonts w:cs="David" w:hint="cs"/>
                <w:rtl/>
              </w:rPr>
              <w:t xml:space="preserve">שני שלבים: 1. הכרה בפלוני כעד מדינה לשיטתו. אין בהכרה זו כדי להכתיב את מידת התוספת הראייתית שתצטרף לעדותו על מנת לבסס הרשעה. על ביהמ"ש לבחון את תוכנה, עוצמתה והיקפה של האמונה הסובייקטיבית. 2. קביעת התוספת הראייתית הנדרשת לשם ביסוס ההרשעה. מידת חוסנה של התוספת הראייתית- בין חיזוק לסיוע- תלויה במיקומו של העד בתוך סיווג הביניים. </w:t>
            </w:r>
          </w:p>
          <w:p w:rsidR="00DC6050" w:rsidRDefault="00DC6050" w:rsidP="00CB7B26">
            <w:pPr>
              <w:pStyle w:val="a3"/>
              <w:spacing w:line="360" w:lineRule="auto"/>
              <w:jc w:val="both"/>
              <w:rPr>
                <w:rFonts w:cs="David"/>
                <w:rtl/>
              </w:rPr>
            </w:pPr>
            <w:r>
              <w:rPr>
                <w:rFonts w:cs="David" w:hint="cs"/>
                <w:rtl/>
              </w:rPr>
              <w:t>מיקומו של העד במתחם סיווג הביניים יושפע מתוכנה של האמונה הסובייקטיבית ובמידת ביסוסה בתודעת העד. כדי להגיע ל</w:t>
            </w:r>
            <w:r w:rsidR="007D6C3A">
              <w:rPr>
                <w:rFonts w:cs="David" w:hint="cs"/>
                <w:rtl/>
              </w:rPr>
              <w:t>מ</w:t>
            </w:r>
            <w:r>
              <w:rPr>
                <w:rFonts w:cs="David" w:hint="cs"/>
                <w:rtl/>
              </w:rPr>
              <w:t xml:space="preserve">מצאים באשר לאותה אמונה סובייקטיבית יוכל ביהמ"ש להיעזר, בין היתר, במבחני עזר שונים שיש בהם כדי ללמוד על תוכן האמונה וחוסנה.  פרט לכך, רשאי ביהמ"ש לבחון כל פרמטר רלוונטי הנראה בעיניו. </w:t>
            </w:r>
          </w:p>
          <w:p w:rsidR="00DE6C85" w:rsidRDefault="00DE6C85" w:rsidP="00CB7B26">
            <w:pPr>
              <w:pStyle w:val="a3"/>
              <w:spacing w:line="360" w:lineRule="auto"/>
              <w:jc w:val="both"/>
              <w:rPr>
                <w:rFonts w:cs="David"/>
                <w:rtl/>
              </w:rPr>
            </w:pPr>
            <w:r>
              <w:rPr>
                <w:rFonts w:cs="David" w:hint="cs"/>
                <w:rtl/>
              </w:rPr>
              <w:t xml:space="preserve">נקודת הזמן לבחינת קיומה של טובת הנאה היא מועד השמעת הגרסה. </w:t>
            </w:r>
          </w:p>
        </w:tc>
      </w:tr>
      <w:tr w:rsidR="00086D6F" w:rsidTr="00923E1D">
        <w:tc>
          <w:tcPr>
            <w:tcW w:w="1893" w:type="dxa"/>
          </w:tcPr>
          <w:p w:rsidR="00086D6F" w:rsidRDefault="00EE4CAD" w:rsidP="00CB7B26">
            <w:pPr>
              <w:pStyle w:val="a3"/>
              <w:spacing w:line="360" w:lineRule="auto"/>
              <w:jc w:val="both"/>
              <w:rPr>
                <w:rFonts w:cs="David"/>
                <w:rtl/>
              </w:rPr>
            </w:pPr>
            <w:r>
              <w:rPr>
                <w:rFonts w:cs="David" w:hint="cs"/>
                <w:rtl/>
              </w:rPr>
              <w:lastRenderedPageBreak/>
              <w:t>ע"פ שעשוע</w:t>
            </w:r>
          </w:p>
        </w:tc>
        <w:tc>
          <w:tcPr>
            <w:tcW w:w="2787" w:type="dxa"/>
          </w:tcPr>
          <w:p w:rsidR="00086D6F" w:rsidRDefault="00EE4CAD" w:rsidP="00CB7B26">
            <w:pPr>
              <w:pStyle w:val="a3"/>
              <w:spacing w:line="360" w:lineRule="auto"/>
              <w:jc w:val="both"/>
              <w:rPr>
                <w:rFonts w:cs="David"/>
                <w:rtl/>
              </w:rPr>
            </w:pPr>
            <w:r>
              <w:rPr>
                <w:rFonts w:cs="David" w:hint="cs"/>
                <w:rtl/>
              </w:rPr>
              <w:t>הרשעה בביצוע עסקאות סמים מסוכנים.</w:t>
            </w:r>
          </w:p>
        </w:tc>
        <w:tc>
          <w:tcPr>
            <w:tcW w:w="6805" w:type="dxa"/>
          </w:tcPr>
          <w:p w:rsidR="00086D6F" w:rsidRDefault="00EE4CAD" w:rsidP="00CB7B26">
            <w:pPr>
              <w:pStyle w:val="a3"/>
              <w:spacing w:line="360" w:lineRule="auto"/>
              <w:jc w:val="both"/>
              <w:rPr>
                <w:rFonts w:cs="David"/>
                <w:rtl/>
              </w:rPr>
            </w:pPr>
            <w:r w:rsidRPr="00EE4CAD">
              <w:rPr>
                <w:rFonts w:cs="David" w:hint="cs"/>
                <w:u w:val="single"/>
                <w:rtl/>
              </w:rPr>
              <w:t xml:space="preserve">בך </w:t>
            </w:r>
            <w:proofErr w:type="spellStart"/>
            <w:r w:rsidRPr="00EE4CAD">
              <w:rPr>
                <w:rFonts w:cs="David" w:hint="cs"/>
                <w:u w:val="single"/>
                <w:rtl/>
              </w:rPr>
              <w:t>ושטרסברג</w:t>
            </w:r>
            <w:proofErr w:type="spellEnd"/>
            <w:r w:rsidRPr="00EE4CAD">
              <w:rPr>
                <w:rFonts w:cs="David" w:hint="cs"/>
                <w:u w:val="single"/>
                <w:rtl/>
              </w:rPr>
              <w:t xml:space="preserve"> כהן:</w:t>
            </w:r>
            <w:r>
              <w:rPr>
                <w:rFonts w:cs="David" w:hint="cs"/>
                <w:rtl/>
              </w:rPr>
              <w:t xml:space="preserve"> הלכת </w:t>
            </w:r>
            <w:proofErr w:type="spellStart"/>
            <w:r>
              <w:rPr>
                <w:rFonts w:cs="David" w:hint="cs"/>
                <w:rtl/>
              </w:rPr>
              <w:t>קינזי</w:t>
            </w:r>
            <w:proofErr w:type="spellEnd"/>
            <w:r>
              <w:rPr>
                <w:rFonts w:cs="David" w:hint="cs"/>
                <w:rtl/>
              </w:rPr>
              <w:t xml:space="preserve"> לפיה אין להעיד שותף במשפטו של השותף האחר, כל עוד משפטו של הראשון תלוי ועומד לא צריכה לחול על עדי הגנה. </w:t>
            </w:r>
            <w:proofErr w:type="spellStart"/>
            <w:r>
              <w:rPr>
                <w:rFonts w:cs="David" w:hint="cs"/>
                <w:rtl/>
              </w:rPr>
              <w:t>אוביטר</w:t>
            </w:r>
            <w:proofErr w:type="spellEnd"/>
            <w:r>
              <w:rPr>
                <w:rFonts w:cs="David" w:hint="cs"/>
                <w:rtl/>
              </w:rPr>
              <w:t>.</w:t>
            </w:r>
          </w:p>
          <w:p w:rsidR="009B22FD" w:rsidRDefault="009B22FD" w:rsidP="00CB7B26">
            <w:pPr>
              <w:pStyle w:val="a3"/>
              <w:spacing w:line="360" w:lineRule="auto"/>
              <w:jc w:val="both"/>
              <w:rPr>
                <w:rFonts w:cs="David"/>
                <w:rtl/>
              </w:rPr>
            </w:pPr>
            <w:r w:rsidRPr="009B22FD">
              <w:rPr>
                <w:rFonts w:cs="David"/>
                <w:rtl/>
              </w:rPr>
              <w:t>מניעת העדות לא גרמה עיוות-דין באשר הודעתו של העד במשטרה הייתה סתמית ודי היה בשאר הראיות והעדויות כדי להרשיע את הנאשם.</w:t>
            </w:r>
            <w:r>
              <w:rPr>
                <w:rFonts w:cs="David" w:hint="cs"/>
                <w:rtl/>
              </w:rPr>
              <w:t xml:space="preserve"> רציו.</w:t>
            </w:r>
          </w:p>
        </w:tc>
      </w:tr>
      <w:tr w:rsidR="00086D6F" w:rsidTr="00923E1D">
        <w:tc>
          <w:tcPr>
            <w:tcW w:w="1893" w:type="dxa"/>
          </w:tcPr>
          <w:p w:rsidR="00086D6F" w:rsidRDefault="009B74B8" w:rsidP="00CB7B26">
            <w:pPr>
              <w:pStyle w:val="a3"/>
              <w:spacing w:line="360" w:lineRule="auto"/>
              <w:jc w:val="both"/>
              <w:rPr>
                <w:rFonts w:cs="David"/>
                <w:rtl/>
              </w:rPr>
            </w:pPr>
            <w:r>
              <w:rPr>
                <w:rFonts w:cs="David" w:hint="cs"/>
                <w:rtl/>
              </w:rPr>
              <w:t>חכמי</w:t>
            </w:r>
          </w:p>
        </w:tc>
        <w:tc>
          <w:tcPr>
            <w:tcW w:w="2787" w:type="dxa"/>
          </w:tcPr>
          <w:p w:rsidR="00086D6F" w:rsidRDefault="00086D6F" w:rsidP="00CB7B26">
            <w:pPr>
              <w:pStyle w:val="a3"/>
              <w:spacing w:line="360" w:lineRule="auto"/>
              <w:jc w:val="both"/>
              <w:rPr>
                <w:rFonts w:cs="David"/>
                <w:rtl/>
              </w:rPr>
            </w:pPr>
          </w:p>
        </w:tc>
        <w:tc>
          <w:tcPr>
            <w:tcW w:w="6805" w:type="dxa"/>
          </w:tcPr>
          <w:p w:rsidR="00086D6F" w:rsidRDefault="009B22FD" w:rsidP="00CB7B26">
            <w:pPr>
              <w:pStyle w:val="a3"/>
              <w:spacing w:line="360" w:lineRule="auto"/>
              <w:jc w:val="both"/>
              <w:rPr>
                <w:rFonts w:cs="David"/>
                <w:rtl/>
              </w:rPr>
            </w:pPr>
            <w:r w:rsidRPr="009B22FD">
              <w:rPr>
                <w:rFonts w:cs="David"/>
                <w:rtl/>
              </w:rPr>
              <w:t>איננ</w:t>
            </w:r>
            <w:r>
              <w:rPr>
                <w:rFonts w:cs="David"/>
                <w:rtl/>
              </w:rPr>
              <w:t>י סבורה שיש מקום להרחיב ולהחיל</w:t>
            </w:r>
            <w:r w:rsidRPr="009B22FD">
              <w:rPr>
                <w:rFonts w:cs="David"/>
                <w:rtl/>
              </w:rPr>
              <w:t xml:space="preserve"> </w:t>
            </w:r>
            <w:r>
              <w:rPr>
                <w:rFonts w:cs="David" w:hint="cs"/>
                <w:rtl/>
              </w:rPr>
              <w:t xml:space="preserve">את הלכת </w:t>
            </w:r>
            <w:proofErr w:type="spellStart"/>
            <w:r>
              <w:rPr>
                <w:rFonts w:cs="David" w:hint="cs"/>
                <w:rtl/>
              </w:rPr>
              <w:t>קינזי</w:t>
            </w:r>
            <w:proofErr w:type="spellEnd"/>
            <w:r>
              <w:rPr>
                <w:rFonts w:cs="David" w:hint="cs"/>
                <w:rtl/>
              </w:rPr>
              <w:t xml:space="preserve"> </w:t>
            </w:r>
            <w:r w:rsidRPr="009B22FD">
              <w:rPr>
                <w:rFonts w:cs="David"/>
                <w:rtl/>
              </w:rPr>
              <w:t xml:space="preserve">על עדי הגנה, שכן במסגרת החובה להעיד ניתנים בידי העדים כלים מתאימים להגנה על זכויותיהם, ביניהם החיסיון מפני הפללה עצמית, זכות השתיקה והזכות שלא לחשוף את קו הגנתו. </w:t>
            </w:r>
            <w:r w:rsidRPr="009B22FD">
              <w:rPr>
                <w:rFonts w:cs="David"/>
                <w:rtl/>
              </w:rPr>
              <w:tab/>
              <w:t xml:space="preserve"> </w:t>
            </w:r>
          </w:p>
        </w:tc>
      </w:tr>
      <w:tr w:rsidR="00086D6F" w:rsidTr="00923E1D">
        <w:tc>
          <w:tcPr>
            <w:tcW w:w="1893" w:type="dxa"/>
          </w:tcPr>
          <w:p w:rsidR="00086D6F" w:rsidRDefault="00166EE3" w:rsidP="00CB7B26">
            <w:pPr>
              <w:pStyle w:val="a3"/>
              <w:spacing w:line="360" w:lineRule="auto"/>
              <w:jc w:val="both"/>
              <w:rPr>
                <w:rFonts w:cs="David"/>
                <w:rtl/>
              </w:rPr>
            </w:pPr>
            <w:r>
              <w:rPr>
                <w:rFonts w:cs="David" w:hint="cs"/>
                <w:rtl/>
              </w:rPr>
              <w:t>אפללו</w:t>
            </w:r>
          </w:p>
        </w:tc>
        <w:tc>
          <w:tcPr>
            <w:tcW w:w="2787" w:type="dxa"/>
          </w:tcPr>
          <w:p w:rsidR="00086D6F" w:rsidRDefault="00166EE3" w:rsidP="00CB7B26">
            <w:pPr>
              <w:pStyle w:val="a3"/>
              <w:spacing w:line="360" w:lineRule="auto"/>
              <w:jc w:val="both"/>
              <w:rPr>
                <w:rFonts w:cs="David"/>
                <w:rtl/>
              </w:rPr>
            </w:pPr>
            <w:r>
              <w:rPr>
                <w:rFonts w:cs="David" w:hint="cs"/>
                <w:rtl/>
              </w:rPr>
              <w:t>הרשעה בעבירות סמים</w:t>
            </w:r>
          </w:p>
        </w:tc>
        <w:tc>
          <w:tcPr>
            <w:tcW w:w="6805" w:type="dxa"/>
          </w:tcPr>
          <w:p w:rsidR="00086D6F" w:rsidRDefault="00166EE3" w:rsidP="00CB7B26">
            <w:pPr>
              <w:pStyle w:val="a3"/>
              <w:spacing w:line="360" w:lineRule="auto"/>
              <w:jc w:val="both"/>
              <w:rPr>
                <w:rFonts w:cs="David"/>
                <w:rtl/>
              </w:rPr>
            </w:pPr>
            <w:bookmarkStart w:id="0" w:name="OLE_LINK1"/>
            <w:bookmarkStart w:id="1" w:name="OLE_LINK2"/>
            <w:r w:rsidRPr="00166EE3">
              <w:rPr>
                <w:rFonts w:cs="David"/>
                <w:rtl/>
              </w:rPr>
              <w:t>לנאשם במשפט פלילי אינה עומדת הזכות להיחקר על עדותו חקירה שכנגד, ועריכתה של חקירה שכנגד הוא עניין הנתון לשיקול דעת התביעה. המסקנות שיש להסיק מהעדרה של חקירה זו הוא עניין הנתון לשיקול דעתו של ביהמ"ש, והכול תלוי בנסיבות העניין.</w:t>
            </w:r>
            <w:bookmarkEnd w:id="0"/>
            <w:bookmarkEnd w:id="1"/>
          </w:p>
        </w:tc>
      </w:tr>
      <w:tr w:rsidR="00086D6F" w:rsidTr="00923E1D">
        <w:tc>
          <w:tcPr>
            <w:tcW w:w="1893" w:type="dxa"/>
          </w:tcPr>
          <w:p w:rsidR="00086D6F" w:rsidRDefault="00166EE3" w:rsidP="00CB7B26">
            <w:pPr>
              <w:pStyle w:val="a3"/>
              <w:spacing w:line="360" w:lineRule="auto"/>
              <w:jc w:val="both"/>
              <w:rPr>
                <w:rFonts w:cs="David"/>
                <w:rtl/>
              </w:rPr>
            </w:pPr>
            <w:proofErr w:type="spellStart"/>
            <w:r>
              <w:rPr>
                <w:rFonts w:cs="David" w:hint="cs"/>
                <w:rtl/>
              </w:rPr>
              <w:t>אלפאר</w:t>
            </w:r>
            <w:proofErr w:type="spellEnd"/>
          </w:p>
        </w:tc>
        <w:tc>
          <w:tcPr>
            <w:tcW w:w="2787" w:type="dxa"/>
          </w:tcPr>
          <w:p w:rsidR="00086D6F" w:rsidRDefault="00166EE3" w:rsidP="00CB7B26">
            <w:pPr>
              <w:pStyle w:val="a3"/>
              <w:spacing w:line="360" w:lineRule="auto"/>
              <w:jc w:val="both"/>
              <w:rPr>
                <w:rFonts w:cs="David"/>
                <w:rtl/>
              </w:rPr>
            </w:pPr>
            <w:r>
              <w:rPr>
                <w:rFonts w:cs="David" w:hint="cs"/>
                <w:rtl/>
              </w:rPr>
              <w:t>נהיגה ללא רישיון וביטוח. אי ציות לתמרור.</w:t>
            </w:r>
          </w:p>
        </w:tc>
        <w:tc>
          <w:tcPr>
            <w:tcW w:w="6805" w:type="dxa"/>
          </w:tcPr>
          <w:p w:rsidR="00086D6F" w:rsidRDefault="00166EE3" w:rsidP="00CB7B26">
            <w:pPr>
              <w:pStyle w:val="a3"/>
              <w:spacing w:line="360" w:lineRule="auto"/>
              <w:jc w:val="both"/>
              <w:rPr>
                <w:rFonts w:cs="David"/>
                <w:rtl/>
              </w:rPr>
            </w:pPr>
            <w:r w:rsidRPr="00166EE3">
              <w:rPr>
                <w:rFonts w:cs="David"/>
                <w:rtl/>
              </w:rPr>
              <w:t xml:space="preserve">ההימנעות מטעם נציג התביעה מלחקור את הנאשם בחקירה נגדית על </w:t>
            </w:r>
            <w:proofErr w:type="spellStart"/>
            <w:r w:rsidRPr="00166EE3">
              <w:rPr>
                <w:rFonts w:cs="David"/>
                <w:rtl/>
              </w:rPr>
              <w:t>גירסתו</w:t>
            </w:r>
            <w:proofErr w:type="spellEnd"/>
            <w:r w:rsidRPr="00166EE3">
              <w:rPr>
                <w:rFonts w:cs="David"/>
                <w:rtl/>
              </w:rPr>
              <w:t xml:space="preserve"> אינה יוצרת חזקה, לפיה דבריו מהימנים ונכונים, ואין בהכרח להעדיף עדות נאשם, שלגביה לא נחקר, על עדות אחרת, העושה רושם מהימן על השופט.</w:t>
            </w:r>
          </w:p>
        </w:tc>
      </w:tr>
      <w:tr w:rsidR="00086D6F" w:rsidTr="00923E1D">
        <w:tc>
          <w:tcPr>
            <w:tcW w:w="1893" w:type="dxa"/>
          </w:tcPr>
          <w:p w:rsidR="00086D6F" w:rsidRDefault="00086D6F" w:rsidP="00CB7B26">
            <w:pPr>
              <w:pStyle w:val="a3"/>
              <w:spacing w:line="360" w:lineRule="auto"/>
              <w:jc w:val="both"/>
              <w:rPr>
                <w:rFonts w:cs="David"/>
                <w:rtl/>
              </w:rPr>
            </w:pPr>
          </w:p>
        </w:tc>
        <w:tc>
          <w:tcPr>
            <w:tcW w:w="2787" w:type="dxa"/>
          </w:tcPr>
          <w:p w:rsidR="00086D6F" w:rsidRDefault="00086D6F" w:rsidP="00CB7B26">
            <w:pPr>
              <w:pStyle w:val="a3"/>
              <w:spacing w:line="360" w:lineRule="auto"/>
              <w:jc w:val="both"/>
              <w:rPr>
                <w:rFonts w:cs="David"/>
                <w:rtl/>
              </w:rPr>
            </w:pPr>
          </w:p>
        </w:tc>
        <w:tc>
          <w:tcPr>
            <w:tcW w:w="6805" w:type="dxa"/>
          </w:tcPr>
          <w:p w:rsidR="00086D6F" w:rsidRDefault="00086D6F" w:rsidP="00CB7B26">
            <w:pPr>
              <w:pStyle w:val="a3"/>
              <w:spacing w:line="360" w:lineRule="auto"/>
              <w:jc w:val="both"/>
              <w:rPr>
                <w:rFonts w:cs="David"/>
                <w:rtl/>
              </w:rPr>
            </w:pPr>
          </w:p>
        </w:tc>
      </w:tr>
      <w:tr w:rsidR="00086D6F" w:rsidTr="00923E1D">
        <w:tc>
          <w:tcPr>
            <w:tcW w:w="1893" w:type="dxa"/>
          </w:tcPr>
          <w:p w:rsidR="00086D6F" w:rsidRDefault="00C671B8" w:rsidP="00CB7B26">
            <w:pPr>
              <w:pStyle w:val="a3"/>
              <w:spacing w:line="360" w:lineRule="auto"/>
              <w:jc w:val="both"/>
              <w:rPr>
                <w:rFonts w:cs="David"/>
                <w:rtl/>
              </w:rPr>
            </w:pPr>
            <w:r>
              <w:rPr>
                <w:rFonts w:cs="David" w:hint="cs"/>
                <w:rtl/>
              </w:rPr>
              <w:t>אהרון</w:t>
            </w:r>
          </w:p>
        </w:tc>
        <w:tc>
          <w:tcPr>
            <w:tcW w:w="2787" w:type="dxa"/>
          </w:tcPr>
          <w:p w:rsidR="00086D6F" w:rsidRDefault="00086D6F" w:rsidP="00CB7B26">
            <w:pPr>
              <w:pStyle w:val="a3"/>
              <w:spacing w:line="360" w:lineRule="auto"/>
              <w:jc w:val="both"/>
              <w:rPr>
                <w:rFonts w:cs="David"/>
                <w:rtl/>
              </w:rPr>
            </w:pPr>
          </w:p>
        </w:tc>
        <w:tc>
          <w:tcPr>
            <w:tcW w:w="6805" w:type="dxa"/>
          </w:tcPr>
          <w:p w:rsidR="00C671B8" w:rsidRPr="00C671B8" w:rsidRDefault="00C671B8" w:rsidP="00CB7B26">
            <w:pPr>
              <w:pStyle w:val="a3"/>
              <w:spacing w:line="360" w:lineRule="auto"/>
              <w:jc w:val="both"/>
              <w:rPr>
                <w:rFonts w:cs="David"/>
                <w:rtl/>
              </w:rPr>
            </w:pPr>
            <w:r w:rsidRPr="00C671B8">
              <w:rPr>
                <w:rFonts w:cs="David"/>
                <w:rtl/>
              </w:rPr>
              <w:t xml:space="preserve">התוספת הראייתית הנדרשת על-פי סעיף </w:t>
            </w:r>
            <w:r w:rsidRPr="00C671B8">
              <w:rPr>
                <w:rFonts w:cs="David"/>
              </w:rPr>
              <w:t>10</w:t>
            </w:r>
            <w:r w:rsidRPr="00C671B8">
              <w:rPr>
                <w:rFonts w:cs="David"/>
                <w:rtl/>
              </w:rPr>
              <w:t xml:space="preserve">א(ד) לפקודת הראיות [נוסח חדש] לאמרה שנתן עד מחוץ לכותלי בית המשפט היא "דבר לחיזוקה" </w:t>
            </w:r>
            <w:r>
              <w:rPr>
                <w:rFonts w:cs="David" w:hint="cs"/>
                <w:rtl/>
              </w:rPr>
              <w:t>.</w:t>
            </w:r>
          </w:p>
          <w:p w:rsidR="00C671B8" w:rsidRPr="00C671B8" w:rsidRDefault="00C671B8" w:rsidP="00CB7B26">
            <w:pPr>
              <w:pStyle w:val="a3"/>
              <w:spacing w:line="360" w:lineRule="auto"/>
              <w:jc w:val="both"/>
              <w:rPr>
                <w:rFonts w:cs="David"/>
                <w:rtl/>
              </w:rPr>
            </w:pPr>
            <w:proofErr w:type="spellStart"/>
            <w:r w:rsidRPr="00C671B8">
              <w:rPr>
                <w:rFonts w:cs="David"/>
                <w:rtl/>
              </w:rPr>
              <w:t>להבדילה</w:t>
            </w:r>
            <w:proofErr w:type="spellEnd"/>
            <w:r w:rsidRPr="00C671B8">
              <w:rPr>
                <w:rFonts w:cs="David"/>
                <w:rtl/>
              </w:rPr>
              <w:t xml:space="preserve"> מראיית סיוע, אין ראיית החיזוק חייבת להתייחס לשאלה השנויה</w:t>
            </w:r>
            <w:r w:rsidRPr="00C671B8">
              <w:rPr>
                <w:rFonts w:cs="David"/>
              </w:rPr>
              <w:t xml:space="preserve"> </w:t>
            </w:r>
            <w:r w:rsidRPr="00C671B8">
              <w:rPr>
                <w:rFonts w:cs="David"/>
                <w:rtl/>
              </w:rPr>
              <w:t xml:space="preserve">במחלוקת דווקא, או לאישום בעבירה עצמה, אלא די בראיה המגבירה את אמינותה </w:t>
            </w:r>
            <w:r w:rsidRPr="00C671B8">
              <w:rPr>
                <w:rFonts w:cs="David"/>
                <w:rtl/>
              </w:rPr>
              <w:lastRenderedPageBreak/>
              <w:t xml:space="preserve">של האמרה על-ידי אישור פרט רלוואנטי לעבירה באמרה </w:t>
            </w:r>
            <w:r>
              <w:rPr>
                <w:rFonts w:cs="David" w:hint="cs"/>
                <w:rtl/>
              </w:rPr>
              <w:t>.</w:t>
            </w:r>
          </w:p>
          <w:p w:rsidR="00C671B8" w:rsidRPr="00C671B8" w:rsidRDefault="00C671B8" w:rsidP="00CB7B26">
            <w:pPr>
              <w:pStyle w:val="a3"/>
              <w:spacing w:line="360" w:lineRule="auto"/>
              <w:jc w:val="both"/>
              <w:rPr>
                <w:rFonts w:cs="David"/>
              </w:rPr>
            </w:pPr>
            <w:r w:rsidRPr="00C671B8">
              <w:rPr>
                <w:rFonts w:cs="David"/>
                <w:rtl/>
              </w:rPr>
              <w:t>תוספת ראייתית ברמה זו משקפת את הרף המינימאלי הדרוש להרשעה. רף זה יספיק רק כאשר המשקל הפנימי של האמרה הוא מלא. מנגד, ככל שהמשקל הפנימי של האמרה הטעונה חיזוק קטן יותר, תידרש תוספת ראייתית גדולה יותר, שאף עשויה להגיע לדרגת סיוע</w:t>
            </w:r>
            <w:r w:rsidRPr="00C671B8">
              <w:rPr>
                <w:rFonts w:cs="David"/>
              </w:rPr>
              <w:t xml:space="preserve"> </w:t>
            </w:r>
            <w:r>
              <w:rPr>
                <w:rFonts w:cs="David" w:hint="cs"/>
                <w:rtl/>
              </w:rPr>
              <w:t>.</w:t>
            </w:r>
          </w:p>
          <w:p w:rsidR="00C671B8" w:rsidRDefault="00C671B8" w:rsidP="00CB7B26">
            <w:pPr>
              <w:pStyle w:val="a3"/>
              <w:spacing w:line="360" w:lineRule="auto"/>
              <w:jc w:val="both"/>
              <w:rPr>
                <w:rFonts w:cs="David"/>
              </w:rPr>
            </w:pPr>
            <w:r w:rsidRPr="00C671B8">
              <w:rPr>
                <w:rFonts w:cs="David"/>
                <w:rtl/>
              </w:rPr>
              <w:t>ההנחה – שמקורה בניסיון החיים – היא, כי כאשר אדם נתון בסכנת חיים</w:t>
            </w:r>
            <w:r w:rsidRPr="00C671B8">
              <w:rPr>
                <w:rFonts w:cs="David"/>
              </w:rPr>
              <w:t xml:space="preserve"> </w:t>
            </w:r>
            <w:r w:rsidRPr="00C671B8">
              <w:rPr>
                <w:rFonts w:cs="David"/>
                <w:rtl/>
              </w:rPr>
              <w:t xml:space="preserve">בשל מעשה אלימות שנעשה בו, דעתו אינה נתונה להעליל על מי שלא עשה לו דבר, אלא מבקש הוא לספר את האמת ולגלות מי פגע בו. הנחה זו היא גם ביסוד הוראת סעיף </w:t>
            </w:r>
            <w:r w:rsidRPr="00C671B8">
              <w:rPr>
                <w:rFonts w:cs="David"/>
              </w:rPr>
              <w:t>10</w:t>
            </w:r>
            <w:r w:rsidRPr="00C671B8">
              <w:rPr>
                <w:rFonts w:cs="David"/>
                <w:rtl/>
              </w:rPr>
              <w:t>לפקודת הראיות [נוסח חדש]</w:t>
            </w:r>
            <w:r w:rsidRPr="00C671B8">
              <w:rPr>
                <w:rFonts w:cs="David"/>
              </w:rPr>
              <w:t xml:space="preserve">, </w:t>
            </w:r>
            <w:r w:rsidRPr="00C671B8">
              <w:rPr>
                <w:rFonts w:cs="David"/>
                <w:rtl/>
              </w:rPr>
              <w:t>המכשירה אמרה של קורבן מ</w:t>
            </w:r>
            <w:r>
              <w:rPr>
                <w:rFonts w:cs="David"/>
                <w:rtl/>
              </w:rPr>
              <w:t>עשה אלימות המצוי במצב של גסיסה</w:t>
            </w:r>
            <w:r>
              <w:rPr>
                <w:rFonts w:cs="David" w:hint="cs"/>
                <w:rtl/>
              </w:rPr>
              <w:t>.</w:t>
            </w:r>
          </w:p>
          <w:p w:rsidR="00086D6F" w:rsidRDefault="00C671B8" w:rsidP="00CB7B26">
            <w:pPr>
              <w:pStyle w:val="a3"/>
              <w:spacing w:line="360" w:lineRule="auto"/>
              <w:jc w:val="both"/>
              <w:rPr>
                <w:rFonts w:cs="David"/>
                <w:rtl/>
              </w:rPr>
            </w:pPr>
            <w:r w:rsidRPr="00C671B8">
              <w:rPr>
                <w:rFonts w:cs="David"/>
              </w:rPr>
              <w:t xml:space="preserve"> </w:t>
            </w:r>
            <w:r w:rsidRPr="00C671B8">
              <w:rPr>
                <w:rFonts w:cs="David"/>
                <w:rtl/>
              </w:rPr>
              <w:t xml:space="preserve">ראיה לפי סעיף </w:t>
            </w:r>
            <w:r w:rsidRPr="00C671B8">
              <w:rPr>
                <w:rFonts w:cs="David"/>
              </w:rPr>
              <w:t>10</w:t>
            </w:r>
            <w:r w:rsidRPr="00C671B8">
              <w:rPr>
                <w:rFonts w:cs="David"/>
                <w:rtl/>
              </w:rPr>
              <w:t xml:space="preserve">לפקודה אינה טעונה תוספת ראייתית כלל, </w:t>
            </w:r>
            <w:r>
              <w:rPr>
                <w:rFonts w:cs="David"/>
                <w:rtl/>
              </w:rPr>
              <w:t>אך המשיבה לא הסתמכה על סעיף זה</w:t>
            </w:r>
            <w:r>
              <w:rPr>
                <w:rFonts w:cs="David" w:hint="cs"/>
                <w:rtl/>
              </w:rPr>
              <w:t>.</w:t>
            </w:r>
          </w:p>
        </w:tc>
      </w:tr>
      <w:tr w:rsidR="00086D6F" w:rsidTr="00923E1D">
        <w:tc>
          <w:tcPr>
            <w:tcW w:w="1893" w:type="dxa"/>
          </w:tcPr>
          <w:p w:rsidR="00086D6F" w:rsidRDefault="001C76A3" w:rsidP="00CB7B26">
            <w:pPr>
              <w:pStyle w:val="a3"/>
              <w:spacing w:line="360" w:lineRule="auto"/>
              <w:jc w:val="both"/>
              <w:rPr>
                <w:rFonts w:cs="David"/>
                <w:rtl/>
              </w:rPr>
            </w:pPr>
            <w:proofErr w:type="spellStart"/>
            <w:r>
              <w:rPr>
                <w:rFonts w:cs="David" w:hint="cs"/>
                <w:rtl/>
              </w:rPr>
              <w:lastRenderedPageBreak/>
              <w:t>חיר</w:t>
            </w:r>
            <w:proofErr w:type="spellEnd"/>
          </w:p>
        </w:tc>
        <w:tc>
          <w:tcPr>
            <w:tcW w:w="2787" w:type="dxa"/>
          </w:tcPr>
          <w:p w:rsidR="00086D6F" w:rsidRDefault="001C76A3" w:rsidP="00CB7B26">
            <w:pPr>
              <w:pStyle w:val="a3"/>
              <w:spacing w:line="360" w:lineRule="auto"/>
              <w:jc w:val="both"/>
              <w:rPr>
                <w:rFonts w:cs="David"/>
                <w:rtl/>
              </w:rPr>
            </w:pPr>
            <w:r>
              <w:rPr>
                <w:rFonts w:cs="David" w:hint="cs"/>
                <w:rtl/>
              </w:rPr>
              <w:t>הרשעה בעבירת חבלה בכוונה מחמירה</w:t>
            </w:r>
          </w:p>
        </w:tc>
        <w:tc>
          <w:tcPr>
            <w:tcW w:w="6805" w:type="dxa"/>
          </w:tcPr>
          <w:p w:rsidR="001C76A3" w:rsidRPr="001C76A3" w:rsidRDefault="001C76A3" w:rsidP="00CB7B26">
            <w:pPr>
              <w:pStyle w:val="a3"/>
              <w:spacing w:line="360" w:lineRule="auto"/>
              <w:jc w:val="both"/>
              <w:rPr>
                <w:rFonts w:cs="David"/>
              </w:rPr>
            </w:pPr>
            <w:r w:rsidRPr="001C76A3">
              <w:rPr>
                <w:rFonts w:cs="David"/>
                <w:rtl/>
              </w:rPr>
              <w:t xml:space="preserve">כפי שעולה מן הרישא של סעיף </w:t>
            </w:r>
            <w:r w:rsidRPr="001C76A3">
              <w:rPr>
                <w:rFonts w:cs="David"/>
              </w:rPr>
              <w:t>10</w:t>
            </w:r>
            <w:r w:rsidRPr="001C76A3">
              <w:rPr>
                <w:rFonts w:cs="David"/>
                <w:rtl/>
              </w:rPr>
              <w:t>, אמרה כאמור קבילה בין אם מי שמוסר אותה מעיד בעצמו במשפט ובין אם אינו מעיד</w:t>
            </w:r>
            <w:r w:rsidRPr="001C76A3">
              <w:rPr>
                <w:rFonts w:cs="David"/>
              </w:rPr>
              <w:t>.</w:t>
            </w:r>
          </w:p>
          <w:p w:rsidR="001C76A3" w:rsidRPr="001C76A3" w:rsidRDefault="001C76A3" w:rsidP="00CB7B26">
            <w:pPr>
              <w:pStyle w:val="a3"/>
              <w:spacing w:line="360" w:lineRule="auto"/>
              <w:jc w:val="both"/>
              <w:rPr>
                <w:rFonts w:cs="David"/>
              </w:rPr>
            </w:pPr>
            <w:r w:rsidRPr="001C76A3">
              <w:rPr>
                <w:rFonts w:cs="David"/>
                <w:rtl/>
              </w:rPr>
              <w:t xml:space="preserve">כאמור </w:t>
            </w:r>
            <w:proofErr w:type="spellStart"/>
            <w:r w:rsidRPr="001C76A3">
              <w:rPr>
                <w:rFonts w:cs="David"/>
                <w:rtl/>
              </w:rPr>
              <w:t>בפיסקה</w:t>
            </w:r>
            <w:proofErr w:type="spellEnd"/>
            <w:r w:rsidRPr="001C76A3">
              <w:rPr>
                <w:rFonts w:cs="David"/>
                <w:rtl/>
              </w:rPr>
              <w:t xml:space="preserve"> (1) לסעיף </w:t>
            </w:r>
            <w:r w:rsidRPr="001C76A3">
              <w:rPr>
                <w:rFonts w:cs="David"/>
              </w:rPr>
              <w:t>10</w:t>
            </w:r>
            <w:r w:rsidRPr="001C76A3">
              <w:rPr>
                <w:rFonts w:cs="David"/>
                <w:rtl/>
              </w:rPr>
              <w:t>, המדובר בדברים הנאמרים בשעת מעשה האלימות או</w:t>
            </w:r>
            <w:r w:rsidRPr="001C76A3">
              <w:rPr>
                <w:rFonts w:cs="David"/>
              </w:rPr>
              <w:t xml:space="preserve"> </w:t>
            </w:r>
            <w:r w:rsidRPr="001C76A3">
              <w:rPr>
                <w:rFonts w:cs="David"/>
                <w:rtl/>
              </w:rPr>
              <w:t>בסמוך לאחריו, או לאחר שהייתה לקורבן האלימות ההזדמנות הראשונה להתאונן עליו. התיבה "בסמוך לאחריו" מתפרשת על-פי הנסיבות. היא איננה מתייחסת רק למניין של דקות, אלא יכולה לחפוף גם משך זמן ארוך יותר</w:t>
            </w:r>
            <w:r w:rsidRPr="001C76A3">
              <w:rPr>
                <w:rFonts w:cs="David"/>
              </w:rPr>
              <w:t>.</w:t>
            </w:r>
          </w:p>
          <w:p w:rsidR="00086D6F" w:rsidRPr="001C76A3" w:rsidRDefault="001C76A3" w:rsidP="00CB7B26">
            <w:pPr>
              <w:pStyle w:val="a3"/>
              <w:spacing w:line="360" w:lineRule="auto"/>
              <w:jc w:val="both"/>
              <w:rPr>
                <w:rFonts w:cs="David"/>
                <w:rtl/>
              </w:rPr>
            </w:pPr>
            <w:r w:rsidRPr="001C76A3">
              <w:rPr>
                <w:rFonts w:cs="David"/>
                <w:rtl/>
              </w:rPr>
              <w:t>א</w:t>
            </w:r>
            <w:r>
              <w:rPr>
                <w:rFonts w:cs="David"/>
                <w:rtl/>
              </w:rPr>
              <w:t>ין לקבל אמרה שניתנה בתגובה לשאל</w:t>
            </w:r>
            <w:r>
              <w:rPr>
                <w:rFonts w:cs="David" w:hint="cs"/>
                <w:rtl/>
              </w:rPr>
              <w:t>ות מדריכות ותו לא.</w:t>
            </w:r>
          </w:p>
        </w:tc>
      </w:tr>
      <w:tr w:rsidR="00086D6F" w:rsidTr="00923E1D">
        <w:tc>
          <w:tcPr>
            <w:tcW w:w="1893" w:type="dxa"/>
          </w:tcPr>
          <w:p w:rsidR="00086D6F" w:rsidRDefault="001C76A3" w:rsidP="00CB7B26">
            <w:pPr>
              <w:pStyle w:val="a3"/>
              <w:spacing w:line="360" w:lineRule="auto"/>
              <w:jc w:val="both"/>
              <w:rPr>
                <w:rFonts w:cs="David"/>
                <w:rtl/>
              </w:rPr>
            </w:pPr>
            <w:r>
              <w:rPr>
                <w:rFonts w:cs="David" w:hint="cs"/>
                <w:rtl/>
              </w:rPr>
              <w:t>עמוסי</w:t>
            </w:r>
          </w:p>
        </w:tc>
        <w:tc>
          <w:tcPr>
            <w:tcW w:w="2787" w:type="dxa"/>
          </w:tcPr>
          <w:p w:rsidR="00086D6F" w:rsidRDefault="001C76A3" w:rsidP="00CB7B26">
            <w:pPr>
              <w:pStyle w:val="a3"/>
              <w:spacing w:line="360" w:lineRule="auto"/>
              <w:jc w:val="both"/>
              <w:rPr>
                <w:rFonts w:cs="David"/>
                <w:rtl/>
              </w:rPr>
            </w:pPr>
            <w:r>
              <w:rPr>
                <w:rFonts w:cs="David" w:hint="cs"/>
                <w:rtl/>
              </w:rPr>
              <w:t>הרשעה בעבירות אינוס.</w:t>
            </w:r>
          </w:p>
        </w:tc>
        <w:tc>
          <w:tcPr>
            <w:tcW w:w="6805" w:type="dxa"/>
          </w:tcPr>
          <w:p w:rsidR="001C76A3" w:rsidRPr="001C76A3" w:rsidRDefault="001C76A3" w:rsidP="00CB7B26">
            <w:pPr>
              <w:pStyle w:val="a3"/>
              <w:spacing w:line="360" w:lineRule="auto"/>
              <w:jc w:val="both"/>
              <w:rPr>
                <w:rFonts w:cs="David"/>
                <w:rtl/>
              </w:rPr>
            </w:pPr>
            <w:r w:rsidRPr="001C76A3">
              <w:rPr>
                <w:rFonts w:cs="David"/>
                <w:rtl/>
              </w:rPr>
              <w:t xml:space="preserve">אמרה של נאשם, אשר נמסרה מחוץ לכותלי בית המשפט, מותר </w:t>
            </w:r>
            <w:proofErr w:type="spellStart"/>
            <w:r w:rsidRPr="001C76A3">
              <w:rPr>
                <w:rFonts w:cs="David"/>
                <w:rtl/>
              </w:rPr>
              <w:t>להוכיחה</w:t>
            </w:r>
            <w:proofErr w:type="spellEnd"/>
            <w:r w:rsidRPr="001C76A3">
              <w:rPr>
                <w:rFonts w:cs="David"/>
                <w:rtl/>
              </w:rPr>
              <w:t xml:space="preserve"> בעת</w:t>
            </w:r>
            <w:r w:rsidRPr="001C76A3">
              <w:rPr>
                <w:rFonts w:cs="David"/>
              </w:rPr>
              <w:t xml:space="preserve"> </w:t>
            </w:r>
            <w:r w:rsidRPr="001C76A3">
              <w:rPr>
                <w:rFonts w:cs="David"/>
                <w:rtl/>
              </w:rPr>
              <w:t xml:space="preserve">משפטו, כדי שהדברים העולים מתוכה ישמשו ראיה נגד מי שמסר את האמרה. </w:t>
            </w:r>
          </w:p>
          <w:p w:rsidR="001C76A3" w:rsidRPr="001C76A3" w:rsidRDefault="001C76A3" w:rsidP="00CB7B26">
            <w:pPr>
              <w:pStyle w:val="a3"/>
              <w:spacing w:line="360" w:lineRule="auto"/>
              <w:jc w:val="both"/>
              <w:rPr>
                <w:rFonts w:cs="David"/>
                <w:rtl/>
              </w:rPr>
            </w:pPr>
            <w:r w:rsidRPr="001C76A3">
              <w:rPr>
                <w:rFonts w:cs="David"/>
                <w:rtl/>
              </w:rPr>
              <w:t>אולם כלפי כל נאשם אחר אין אמרה כאמור אלא בגדר עדות שמיעה, ולא ניתן ללמוד מן האמור בה מאומה לטוב או לרע בקשר לאישום, המיוחס לנאשם האחר, בין אם האישום זהה לאישום, המיוחס למי שמסר את האמרה, ובין אם האישום שונה בטיבו.</w:t>
            </w:r>
          </w:p>
          <w:p w:rsidR="00086D6F" w:rsidRPr="001C76A3" w:rsidRDefault="001C76A3" w:rsidP="00CB7B26">
            <w:pPr>
              <w:pStyle w:val="a3"/>
              <w:spacing w:line="360" w:lineRule="auto"/>
              <w:jc w:val="both"/>
              <w:rPr>
                <w:rFonts w:cs="David"/>
                <w:rtl/>
              </w:rPr>
            </w:pPr>
            <w:r w:rsidRPr="001C76A3">
              <w:rPr>
                <w:rFonts w:cs="David"/>
                <w:rtl/>
              </w:rPr>
              <w:t>עדות על אמרה של קרבן אלימות לא תהא קבילה אם דבריו של הקרבן לא</w:t>
            </w:r>
            <w:r w:rsidRPr="001C76A3">
              <w:rPr>
                <w:rFonts w:cs="David"/>
              </w:rPr>
              <w:t xml:space="preserve"> </w:t>
            </w:r>
            <w:r w:rsidRPr="001C76A3">
              <w:rPr>
                <w:rFonts w:cs="David"/>
                <w:rtl/>
              </w:rPr>
              <w:t>נאמרו בשעת מעשה האלימות או בהזדמנות הראשונה שהייתה לו להתלונן על המעשה שבוצע בו</w:t>
            </w:r>
            <w:r w:rsidRPr="001C76A3">
              <w:rPr>
                <w:rFonts w:cs="David"/>
              </w:rPr>
              <w:t>.</w:t>
            </w:r>
          </w:p>
        </w:tc>
      </w:tr>
      <w:tr w:rsidR="00086D6F" w:rsidTr="00923E1D">
        <w:tc>
          <w:tcPr>
            <w:tcW w:w="1893" w:type="dxa"/>
          </w:tcPr>
          <w:p w:rsidR="00086D6F" w:rsidRDefault="00223FBD" w:rsidP="00CB7B26">
            <w:pPr>
              <w:pStyle w:val="a3"/>
              <w:spacing w:line="360" w:lineRule="auto"/>
              <w:jc w:val="both"/>
              <w:rPr>
                <w:rFonts w:cs="David"/>
                <w:rtl/>
              </w:rPr>
            </w:pPr>
            <w:r>
              <w:rPr>
                <w:rFonts w:cs="David" w:hint="cs"/>
                <w:rtl/>
              </w:rPr>
              <w:t>יעקובוביץ</w:t>
            </w:r>
          </w:p>
        </w:tc>
        <w:tc>
          <w:tcPr>
            <w:tcW w:w="2787" w:type="dxa"/>
          </w:tcPr>
          <w:p w:rsidR="00086D6F" w:rsidRDefault="00086D6F" w:rsidP="00CB7B26">
            <w:pPr>
              <w:pStyle w:val="a3"/>
              <w:spacing w:line="360" w:lineRule="auto"/>
              <w:jc w:val="both"/>
              <w:rPr>
                <w:rFonts w:cs="David"/>
                <w:rtl/>
              </w:rPr>
            </w:pPr>
          </w:p>
        </w:tc>
        <w:tc>
          <w:tcPr>
            <w:tcW w:w="6805" w:type="dxa"/>
          </w:tcPr>
          <w:p w:rsidR="00223FBD" w:rsidRPr="00223FBD" w:rsidRDefault="00223FBD" w:rsidP="00CB7B26">
            <w:pPr>
              <w:pStyle w:val="a3"/>
              <w:spacing w:line="360" w:lineRule="auto"/>
              <w:jc w:val="both"/>
              <w:rPr>
                <w:rFonts w:cs="David"/>
              </w:rPr>
            </w:pPr>
            <w:r w:rsidRPr="00223FBD">
              <w:rPr>
                <w:rFonts w:cs="David"/>
                <w:rtl/>
              </w:rPr>
              <w:t xml:space="preserve">החריג הקבוע בסעיף </w:t>
            </w:r>
            <w:r w:rsidRPr="00223FBD">
              <w:rPr>
                <w:rFonts w:cs="David"/>
              </w:rPr>
              <w:t>10</w:t>
            </w:r>
            <w:r w:rsidRPr="00223FBD">
              <w:rPr>
                <w:rFonts w:cs="David"/>
                <w:rtl/>
              </w:rPr>
              <w:t xml:space="preserve">(2) לפקודת הראיות - כמו גם זה הקבוע בסעיף </w:t>
            </w:r>
            <w:r w:rsidRPr="00223FBD">
              <w:rPr>
                <w:rFonts w:cs="David"/>
              </w:rPr>
              <w:t>10</w:t>
            </w:r>
            <w:r w:rsidRPr="00223FBD">
              <w:rPr>
                <w:rFonts w:cs="David"/>
                <w:rtl/>
              </w:rPr>
              <w:t xml:space="preserve">(1) ובסעיף </w:t>
            </w:r>
            <w:r w:rsidRPr="00223FBD">
              <w:rPr>
                <w:rFonts w:cs="David"/>
              </w:rPr>
              <w:t>9</w:t>
            </w:r>
            <w:r>
              <w:rPr>
                <w:rFonts w:cs="David"/>
              </w:rPr>
              <w:t xml:space="preserve"> </w:t>
            </w:r>
            <w:r w:rsidRPr="00223FBD">
              <w:rPr>
                <w:rFonts w:cs="David"/>
                <w:rtl/>
              </w:rPr>
              <w:t>לפקודה האמורה - נמנה עם קבוצת חריגי הרס-</w:t>
            </w:r>
            <w:proofErr w:type="spellStart"/>
            <w:r w:rsidRPr="00223FBD">
              <w:rPr>
                <w:rFonts w:cs="David"/>
                <w:rtl/>
              </w:rPr>
              <w:t>גסטה</w:t>
            </w:r>
            <w:proofErr w:type="spellEnd"/>
            <w:r w:rsidRPr="00223FBD">
              <w:rPr>
                <w:rFonts w:cs="David"/>
              </w:rPr>
              <w:t xml:space="preserve"> </w:t>
            </w:r>
            <w:r w:rsidRPr="00223FBD">
              <w:rPr>
                <w:rFonts w:cs="David"/>
                <w:rtl/>
              </w:rPr>
              <w:t>(</w:t>
            </w:r>
            <w:r w:rsidRPr="00223FBD">
              <w:rPr>
                <w:rFonts w:cs="David"/>
              </w:rPr>
              <w:t xml:space="preserve">res </w:t>
            </w:r>
            <w:proofErr w:type="spellStart"/>
            <w:r w:rsidRPr="00223FBD">
              <w:rPr>
                <w:rFonts w:cs="David"/>
              </w:rPr>
              <w:t>gestae</w:t>
            </w:r>
            <w:proofErr w:type="spellEnd"/>
            <w:r w:rsidRPr="00223FBD">
              <w:rPr>
                <w:rFonts w:cs="David"/>
                <w:rtl/>
              </w:rPr>
              <w:t>)</w:t>
            </w:r>
            <w:r w:rsidRPr="00223FBD">
              <w:rPr>
                <w:rFonts w:cs="David"/>
              </w:rPr>
              <w:t xml:space="preserve">, </w:t>
            </w:r>
            <w:r w:rsidRPr="00223FBD">
              <w:rPr>
                <w:rFonts w:cs="David"/>
                <w:rtl/>
              </w:rPr>
              <w:t>המתייחסים לאמירות המהוות "חלק מן האירוע</w:t>
            </w:r>
            <w:r w:rsidRPr="00223FBD">
              <w:rPr>
                <w:rFonts w:cs="David"/>
              </w:rPr>
              <w:t xml:space="preserve">" </w:t>
            </w:r>
            <w:r w:rsidRPr="00223FBD">
              <w:rPr>
                <w:rFonts w:cs="David"/>
                <w:rtl/>
              </w:rPr>
              <w:t>(</w:t>
            </w:r>
            <w:r w:rsidRPr="00223FBD">
              <w:rPr>
                <w:rFonts w:cs="David"/>
              </w:rPr>
              <w:t>part of the story</w:t>
            </w:r>
            <w:r w:rsidRPr="00223FBD">
              <w:rPr>
                <w:rFonts w:cs="David"/>
                <w:rtl/>
              </w:rPr>
              <w:t>)</w:t>
            </w:r>
            <w:r w:rsidRPr="00223FBD">
              <w:rPr>
                <w:rFonts w:cs="David"/>
              </w:rPr>
              <w:t>.</w:t>
            </w:r>
          </w:p>
          <w:p w:rsidR="00223FBD" w:rsidRPr="00223FBD" w:rsidRDefault="00223FBD" w:rsidP="00CB7B26">
            <w:pPr>
              <w:pStyle w:val="a3"/>
              <w:spacing w:line="360" w:lineRule="auto"/>
              <w:jc w:val="both"/>
              <w:rPr>
                <w:rFonts w:cs="David"/>
                <w:rtl/>
              </w:rPr>
            </w:pPr>
            <w:r w:rsidRPr="00223FBD">
              <w:rPr>
                <w:rFonts w:cs="David"/>
                <w:rtl/>
              </w:rPr>
              <w:t>(</w:t>
            </w:r>
            <w:r w:rsidRPr="00223FBD">
              <w:rPr>
                <w:rFonts w:cs="David"/>
              </w:rPr>
              <w:t>2</w:t>
            </w:r>
            <w:r w:rsidRPr="00223FBD">
              <w:rPr>
                <w:rFonts w:cs="David"/>
                <w:rtl/>
              </w:rPr>
              <w:t>)</w:t>
            </w:r>
            <w:r w:rsidRPr="00223FBD">
              <w:rPr>
                <w:rFonts w:cs="David"/>
              </w:rPr>
              <w:t xml:space="preserve"> </w:t>
            </w:r>
            <w:r w:rsidRPr="00223FBD">
              <w:rPr>
                <w:rFonts w:cs="David"/>
                <w:rtl/>
              </w:rPr>
              <w:t xml:space="preserve">ככלל, אמירה של אדם תהווה "חלק מן האירוע" כאמור, כאשר מתמלאים </w:t>
            </w:r>
            <w:r>
              <w:rPr>
                <w:rFonts w:cs="David"/>
                <w:rtl/>
              </w:rPr>
              <w:t>לגביה שני תנאים בסיסיים</w:t>
            </w:r>
            <w:r>
              <w:rPr>
                <w:rFonts w:cs="David" w:hint="cs"/>
                <w:rtl/>
              </w:rPr>
              <w:t>.</w:t>
            </w:r>
          </w:p>
          <w:p w:rsidR="00223FBD" w:rsidRDefault="00223FBD" w:rsidP="00CB7B26">
            <w:pPr>
              <w:pStyle w:val="a3"/>
              <w:spacing w:line="360" w:lineRule="auto"/>
              <w:jc w:val="both"/>
              <w:rPr>
                <w:rFonts w:cs="David"/>
                <w:rtl/>
              </w:rPr>
            </w:pPr>
            <w:r>
              <w:rPr>
                <w:rFonts w:cs="David" w:hint="cs"/>
                <w:rtl/>
              </w:rPr>
              <w:t xml:space="preserve">1.  </w:t>
            </w:r>
            <w:r w:rsidRPr="00223FBD">
              <w:rPr>
                <w:rFonts w:cs="David"/>
                <w:rtl/>
              </w:rPr>
              <w:t>שהאמי</w:t>
            </w:r>
            <w:r w:rsidR="00712CF8">
              <w:rPr>
                <w:rFonts w:cs="David"/>
                <w:rtl/>
              </w:rPr>
              <w:t>רה נאמרת במועד שבו מתרחש האירוע</w:t>
            </w:r>
            <w:r w:rsidR="00712CF8">
              <w:rPr>
                <w:rFonts w:cs="David" w:hint="cs"/>
                <w:rtl/>
              </w:rPr>
              <w:t xml:space="preserve">. </w:t>
            </w:r>
          </w:p>
          <w:p w:rsidR="00223FBD" w:rsidRDefault="00223FBD" w:rsidP="00CB7B26">
            <w:pPr>
              <w:pStyle w:val="a3"/>
              <w:spacing w:line="360" w:lineRule="auto"/>
              <w:jc w:val="both"/>
              <w:rPr>
                <w:rFonts w:cs="David"/>
                <w:rtl/>
              </w:rPr>
            </w:pPr>
            <w:r>
              <w:rPr>
                <w:rFonts w:cs="David" w:hint="cs"/>
                <w:rtl/>
              </w:rPr>
              <w:t xml:space="preserve">2. </w:t>
            </w:r>
            <w:r>
              <w:rPr>
                <w:rFonts w:cs="David"/>
                <w:rtl/>
              </w:rPr>
              <w:t>שהיא נוגעת במישרין לאותו אירוע</w:t>
            </w:r>
            <w:r>
              <w:rPr>
                <w:rFonts w:cs="David" w:hint="cs"/>
                <w:rtl/>
              </w:rPr>
              <w:t>.</w:t>
            </w:r>
          </w:p>
          <w:p w:rsidR="00223FBD" w:rsidRPr="00223FBD" w:rsidRDefault="00223FBD" w:rsidP="00CB7B26">
            <w:pPr>
              <w:pStyle w:val="a3"/>
              <w:spacing w:line="360" w:lineRule="auto"/>
              <w:jc w:val="both"/>
              <w:rPr>
                <w:rFonts w:cs="David"/>
              </w:rPr>
            </w:pPr>
            <w:r w:rsidRPr="00223FBD">
              <w:rPr>
                <w:rFonts w:cs="David"/>
                <w:rtl/>
              </w:rPr>
              <w:t>שני תנאים אלה נמנים עם הגורמים המקנים לאמירה העונה עליהם את מידת הוודאות הדרושה להנחה שהאמירה אינה כוזבת; וכידוע הנחה זו עומדת בבסיס קבילותן של אמרות אלו כחריגים</w:t>
            </w:r>
            <w:r w:rsidRPr="00223FBD">
              <w:rPr>
                <w:rFonts w:cs="David"/>
              </w:rPr>
              <w:t xml:space="preserve"> </w:t>
            </w:r>
            <w:r w:rsidRPr="00223FBD">
              <w:rPr>
                <w:rFonts w:cs="David"/>
                <w:rtl/>
              </w:rPr>
              <w:t>לכלל הפוסל עדות שמיעה</w:t>
            </w:r>
            <w:r w:rsidRPr="00223FBD">
              <w:rPr>
                <w:rFonts w:cs="David"/>
              </w:rPr>
              <w:t>.</w:t>
            </w:r>
          </w:p>
          <w:p w:rsidR="00223FBD" w:rsidRDefault="00223FBD" w:rsidP="00CB7B26">
            <w:pPr>
              <w:pStyle w:val="a3"/>
              <w:spacing w:line="360" w:lineRule="auto"/>
              <w:jc w:val="both"/>
              <w:rPr>
                <w:rFonts w:cs="David"/>
                <w:rtl/>
              </w:rPr>
            </w:pPr>
            <w:r w:rsidRPr="00223FBD">
              <w:rPr>
                <w:rFonts w:cs="David"/>
                <w:rtl/>
              </w:rPr>
              <w:t xml:space="preserve">התנאי בדבר "מועד האירוע" - כפי שניתן ללמוד מן החריגים הקבועים בסעיפים </w:t>
            </w:r>
            <w:r w:rsidRPr="00223FBD">
              <w:rPr>
                <w:rFonts w:cs="David"/>
              </w:rPr>
              <w:t>9</w:t>
            </w:r>
            <w:r w:rsidRPr="00223FBD">
              <w:rPr>
                <w:rFonts w:cs="David"/>
                <w:rtl/>
              </w:rPr>
              <w:t>ו-</w:t>
            </w:r>
            <w:r w:rsidRPr="00223FBD">
              <w:rPr>
                <w:rFonts w:cs="David"/>
              </w:rPr>
              <w:lastRenderedPageBreak/>
              <w:t>10</w:t>
            </w:r>
            <w:r w:rsidRPr="00223FBD">
              <w:rPr>
                <w:rFonts w:cs="David"/>
                <w:rtl/>
              </w:rPr>
              <w:t>(1) לפקודת הראיות - מתאפיין ב"גמישות", באופן שהוא עשוי לכלול גם אמירות הנאמרות בסמוך לתחילת התרחשותו של האירוע וגם כאלה הנאמרות סמוך לאחר שהתרחשות האירוע הסתיימה</w:t>
            </w:r>
            <w:r>
              <w:rPr>
                <w:rFonts w:cs="David" w:hint="cs"/>
                <w:rtl/>
              </w:rPr>
              <w:t xml:space="preserve">. </w:t>
            </w:r>
            <w:r w:rsidRPr="00223FBD">
              <w:rPr>
                <w:rFonts w:cs="David"/>
                <w:rtl/>
              </w:rPr>
              <w:t>לעומת זאת, נראה כי הדרישה של "נגיעה ישירה" לאירוע אינה סובלת "גמישות"; וככל שמדובר באמירות המקדימות או המאחרות את מועד התרחשות האירוע גופו - הופכת דרישה זו לדווקנית ומצומצמת יותר.</w:t>
            </w:r>
          </w:p>
          <w:p w:rsidR="00223FBD" w:rsidRPr="00223FBD" w:rsidRDefault="00223FBD" w:rsidP="00CB7B26">
            <w:pPr>
              <w:pStyle w:val="a3"/>
              <w:spacing w:line="360" w:lineRule="auto"/>
              <w:jc w:val="both"/>
              <w:rPr>
                <w:rFonts w:cs="David"/>
                <w:rtl/>
              </w:rPr>
            </w:pPr>
            <w:r w:rsidRPr="00223FBD">
              <w:rPr>
                <w:rFonts w:cs="David"/>
                <w:rtl/>
              </w:rPr>
              <w:t xml:space="preserve">בעובדה שהאמירות נאמרו בשלב מוקדם, לפני שהמנוח היה ל"קורבן אלימות", אין כדי להשמיט את הבסיס מתחת להנחה שאמירותיו אינן כוזבות. לא "יראת המוות" עומדת כאן בבסיס ההנחה שהאמירות אינן כוזבות - כמו שהיא עומדת, למשל, בבסיס החריג הקבוע בסעיף </w:t>
            </w:r>
            <w:r w:rsidRPr="00223FBD">
              <w:rPr>
                <w:rFonts w:cs="David"/>
              </w:rPr>
              <w:t>10</w:t>
            </w:r>
            <w:r w:rsidRPr="00223FBD">
              <w:rPr>
                <w:rFonts w:cs="David"/>
                <w:rtl/>
              </w:rPr>
              <w:t xml:space="preserve">(3) לפקודת הראיות - ואף לא ה"ספונטניות" התורמת לאמינותן של אמירות הנעשות תוך כדי התרחשותו של אירוע מרגש; אלא ההנחה, שבהיעדר סיבה נראית לעין לשקר, אין אדם משקר כאשר הוא משיח לפי תומו על תכניותיו </w:t>
            </w:r>
            <w:proofErr w:type="spellStart"/>
            <w:r w:rsidRPr="00223FBD">
              <w:rPr>
                <w:rFonts w:cs="David"/>
                <w:rtl/>
              </w:rPr>
              <w:t>המיידיות</w:t>
            </w:r>
            <w:proofErr w:type="spellEnd"/>
            <w:r w:rsidRPr="00223FBD">
              <w:rPr>
                <w:rFonts w:cs="David"/>
                <w:rtl/>
              </w:rPr>
              <w:t>, ואלה, כפי שמסתבר מאוחר יותר, נוגעות במישרין למעשה האלימות שגרם למותו.</w:t>
            </w:r>
          </w:p>
        </w:tc>
      </w:tr>
      <w:tr w:rsidR="00086D6F" w:rsidTr="00923E1D">
        <w:tc>
          <w:tcPr>
            <w:tcW w:w="1893" w:type="dxa"/>
          </w:tcPr>
          <w:p w:rsidR="00086D6F" w:rsidRDefault="003333BA" w:rsidP="00CB7B26">
            <w:pPr>
              <w:pStyle w:val="a3"/>
              <w:spacing w:line="360" w:lineRule="auto"/>
              <w:jc w:val="both"/>
              <w:rPr>
                <w:rFonts w:cs="David"/>
                <w:rtl/>
              </w:rPr>
            </w:pPr>
            <w:proofErr w:type="spellStart"/>
            <w:r>
              <w:rPr>
                <w:rFonts w:cs="David" w:hint="cs"/>
                <w:rtl/>
              </w:rPr>
              <w:lastRenderedPageBreak/>
              <w:t>ז'אפר</w:t>
            </w:r>
            <w:proofErr w:type="spellEnd"/>
          </w:p>
        </w:tc>
        <w:tc>
          <w:tcPr>
            <w:tcW w:w="2787" w:type="dxa"/>
          </w:tcPr>
          <w:p w:rsidR="00086D6F" w:rsidRDefault="00086D6F" w:rsidP="00CB7B26">
            <w:pPr>
              <w:pStyle w:val="a3"/>
              <w:spacing w:line="360" w:lineRule="auto"/>
              <w:jc w:val="both"/>
              <w:rPr>
                <w:rFonts w:cs="David"/>
                <w:rtl/>
              </w:rPr>
            </w:pPr>
          </w:p>
        </w:tc>
        <w:tc>
          <w:tcPr>
            <w:tcW w:w="6805" w:type="dxa"/>
          </w:tcPr>
          <w:p w:rsidR="00086D6F" w:rsidRDefault="003333BA" w:rsidP="00CB7B26">
            <w:pPr>
              <w:pStyle w:val="a3"/>
              <w:spacing w:line="360" w:lineRule="auto"/>
              <w:jc w:val="both"/>
              <w:rPr>
                <w:rFonts w:cs="David"/>
                <w:rtl/>
              </w:rPr>
            </w:pPr>
            <w:proofErr w:type="spellStart"/>
            <w:r>
              <w:rPr>
                <w:rFonts w:cs="David" w:hint="cs"/>
                <w:rtl/>
              </w:rPr>
              <w:t>דורנר</w:t>
            </w:r>
            <w:proofErr w:type="spellEnd"/>
            <w:r>
              <w:rPr>
                <w:rFonts w:cs="David" w:hint="cs"/>
                <w:rtl/>
              </w:rPr>
              <w:t xml:space="preserve">: </w:t>
            </w:r>
            <w:r w:rsidRPr="003333BA">
              <w:rPr>
                <w:rFonts w:cs="David"/>
                <w:rtl/>
              </w:rPr>
              <w:t xml:space="preserve">החריג הרלוונטי לענייננו מקבוצת הרס </w:t>
            </w:r>
            <w:proofErr w:type="spellStart"/>
            <w:r w:rsidRPr="003333BA">
              <w:rPr>
                <w:rFonts w:cs="David"/>
                <w:rtl/>
              </w:rPr>
              <w:t>גסטה</w:t>
            </w:r>
            <w:proofErr w:type="spellEnd"/>
            <w:r w:rsidRPr="003333BA">
              <w:rPr>
                <w:rFonts w:cs="David"/>
                <w:rtl/>
              </w:rPr>
              <w:t xml:space="preserve"> הוא זה המאפשר קבלתה של עדות בדבר </w:t>
            </w:r>
            <w:proofErr w:type="spellStart"/>
            <w:r w:rsidRPr="003333BA">
              <w:rPr>
                <w:rFonts w:cs="David"/>
                <w:rtl/>
              </w:rPr>
              <w:t>אימרה</w:t>
            </w:r>
            <w:proofErr w:type="spellEnd"/>
            <w:r w:rsidRPr="003333BA">
              <w:rPr>
                <w:rFonts w:cs="David"/>
                <w:rtl/>
              </w:rPr>
              <w:t xml:space="preserve"> ספונטנית. עדות כזו מתקבלת בדרך-כלל כראיה על-אף היותה עדות שמיעה, שכן ההנחה היא כי מסירה ספונטנית של </w:t>
            </w:r>
            <w:proofErr w:type="spellStart"/>
            <w:r w:rsidRPr="003333BA">
              <w:rPr>
                <w:rFonts w:cs="David"/>
                <w:rtl/>
              </w:rPr>
              <w:t>אימרה</w:t>
            </w:r>
            <w:proofErr w:type="spellEnd"/>
            <w:r w:rsidRPr="003333BA">
              <w:rPr>
                <w:rFonts w:cs="David"/>
                <w:rtl/>
              </w:rPr>
              <w:t xml:space="preserve"> מפחיתה את החשש כי מוסר </w:t>
            </w:r>
            <w:proofErr w:type="spellStart"/>
            <w:r w:rsidRPr="003333BA">
              <w:rPr>
                <w:rFonts w:cs="David"/>
                <w:rtl/>
              </w:rPr>
              <w:t>האימרה</w:t>
            </w:r>
            <w:proofErr w:type="spellEnd"/>
            <w:r w:rsidRPr="003333BA">
              <w:rPr>
                <w:rFonts w:cs="David"/>
                <w:rtl/>
              </w:rPr>
              <w:t xml:space="preserve"> אינו מהימן וכי הייתה לו שהות לארגן את </w:t>
            </w:r>
            <w:proofErr w:type="spellStart"/>
            <w:r w:rsidRPr="003333BA">
              <w:rPr>
                <w:rFonts w:cs="David"/>
                <w:rtl/>
              </w:rPr>
              <w:t>גירסתו</w:t>
            </w:r>
            <w:proofErr w:type="spellEnd"/>
            <w:r w:rsidRPr="003333BA">
              <w:rPr>
                <w:rFonts w:cs="David"/>
                <w:rtl/>
              </w:rPr>
              <w:t xml:space="preserve"> ולסלף את </w:t>
            </w:r>
            <w:proofErr w:type="spellStart"/>
            <w:r w:rsidRPr="003333BA">
              <w:rPr>
                <w:rFonts w:cs="David"/>
                <w:rtl/>
              </w:rPr>
              <w:t>אימרתו</w:t>
            </w:r>
            <w:proofErr w:type="spellEnd"/>
            <w:r w:rsidRPr="003333BA">
              <w:rPr>
                <w:rFonts w:cs="David"/>
                <w:rtl/>
              </w:rPr>
              <w:t xml:space="preserve">. כן מופחת החשש, כי תוכן </w:t>
            </w:r>
            <w:proofErr w:type="spellStart"/>
            <w:r w:rsidRPr="003333BA">
              <w:rPr>
                <w:rFonts w:cs="David"/>
                <w:rtl/>
              </w:rPr>
              <w:t>האימרה</w:t>
            </w:r>
            <w:proofErr w:type="spellEnd"/>
            <w:r w:rsidRPr="003333BA">
              <w:rPr>
                <w:rFonts w:cs="David"/>
                <w:rtl/>
              </w:rPr>
              <w:t xml:space="preserve"> אינו </w:t>
            </w:r>
            <w:r w:rsidR="00B10B80">
              <w:rPr>
                <w:rFonts w:cs="David"/>
                <w:rtl/>
              </w:rPr>
              <w:t>מדויק הואיל וזיכרונו של מוסר הא</w:t>
            </w:r>
            <w:r w:rsidRPr="003333BA">
              <w:rPr>
                <w:rFonts w:cs="David"/>
                <w:rtl/>
              </w:rPr>
              <w:t>מרה בגד בו.</w:t>
            </w:r>
          </w:p>
          <w:p w:rsidR="003333BA" w:rsidRPr="003333BA" w:rsidRDefault="00B10B80" w:rsidP="00CB7B26">
            <w:pPr>
              <w:pStyle w:val="a3"/>
              <w:spacing w:line="360" w:lineRule="auto"/>
              <w:jc w:val="both"/>
              <w:rPr>
                <w:rFonts w:cs="David"/>
                <w:rtl/>
              </w:rPr>
            </w:pPr>
            <w:r>
              <w:rPr>
                <w:rFonts w:cs="David"/>
                <w:rtl/>
              </w:rPr>
              <w:t>ספונטניות הא</w:t>
            </w:r>
            <w:r w:rsidR="003333BA" w:rsidRPr="003333BA">
              <w:rPr>
                <w:rFonts w:cs="David"/>
                <w:rtl/>
              </w:rPr>
              <w:t>מרה נבחנת על-פי נסיבותיו של כל מקרה ומקרה. ההלכה הפסוקה בעניין זה מדגישה שתי</w:t>
            </w:r>
            <w:r>
              <w:rPr>
                <w:rFonts w:cs="David"/>
                <w:rtl/>
              </w:rPr>
              <w:t xml:space="preserve"> נסיבות עיקריות: האחת, מסירת הא</w:t>
            </w:r>
            <w:r w:rsidR="003333BA" w:rsidRPr="003333BA">
              <w:rPr>
                <w:rFonts w:cs="David"/>
                <w:rtl/>
              </w:rPr>
              <w:t>מרה בו-זמנית או בסמוך לאירוע שאליו היא מתייחסת, והשנייה, ה</w:t>
            </w:r>
            <w:r>
              <w:rPr>
                <w:rFonts w:cs="David"/>
                <w:rtl/>
              </w:rPr>
              <w:t>יותו של האירוע שאליו מתייחסת הא</w:t>
            </w:r>
            <w:r w:rsidR="003333BA" w:rsidRPr="003333BA">
              <w:rPr>
                <w:rFonts w:cs="David"/>
                <w:rtl/>
              </w:rPr>
              <w:t>מרה מרגש ומסעיר.</w:t>
            </w:r>
          </w:p>
          <w:p w:rsidR="003333BA" w:rsidRDefault="003333BA" w:rsidP="00CB7B26">
            <w:pPr>
              <w:pStyle w:val="a3"/>
              <w:spacing w:line="360" w:lineRule="auto"/>
              <w:jc w:val="both"/>
              <w:rPr>
                <w:rFonts w:cs="David"/>
                <w:rtl/>
              </w:rPr>
            </w:pPr>
            <w:r>
              <w:rPr>
                <w:rFonts w:cs="David"/>
                <w:rtl/>
              </w:rPr>
              <w:t xml:space="preserve">יש לפרש </w:t>
            </w:r>
            <w:r w:rsidRPr="003333BA">
              <w:rPr>
                <w:rFonts w:cs="David"/>
                <w:rtl/>
              </w:rPr>
              <w:t>את ה</w:t>
            </w:r>
            <w:r w:rsidR="00B10B80">
              <w:rPr>
                <w:rFonts w:cs="David"/>
                <w:rtl/>
              </w:rPr>
              <w:t>תנאי שבסעיף 9 בדבר העדת מוסר הא</w:t>
            </w:r>
            <w:r w:rsidRPr="003333BA">
              <w:rPr>
                <w:rFonts w:cs="David"/>
                <w:rtl/>
              </w:rPr>
              <w:t>מרה כחל רק במ</w:t>
            </w:r>
            <w:r w:rsidR="00B10B80">
              <w:rPr>
                <w:rFonts w:cs="David"/>
                <w:rtl/>
              </w:rPr>
              <w:t>קרים שבהם ניתן להעיד את מוסר הא</w:t>
            </w:r>
            <w:r w:rsidRPr="003333BA">
              <w:rPr>
                <w:rFonts w:cs="David"/>
                <w:rtl/>
              </w:rPr>
              <w:t>מרה בבית-המשפט. לעומת זאת, יש להכשיר קבילות אמרות ספונטניות כאשר מטעמים אובייק</w:t>
            </w:r>
            <w:r w:rsidR="00B10B80">
              <w:rPr>
                <w:rFonts w:cs="David"/>
                <w:rtl/>
              </w:rPr>
              <w:t>טיביים לא ניתן להעיד את מוסר הא</w:t>
            </w:r>
            <w:r w:rsidRPr="003333BA">
              <w:rPr>
                <w:rFonts w:cs="David"/>
                <w:rtl/>
              </w:rPr>
              <w:t>מרה</w:t>
            </w:r>
            <w:r>
              <w:rPr>
                <w:rFonts w:cs="David" w:hint="cs"/>
                <w:rtl/>
              </w:rPr>
              <w:t>.</w:t>
            </w:r>
          </w:p>
        </w:tc>
      </w:tr>
      <w:tr w:rsidR="00086D6F" w:rsidTr="00923E1D">
        <w:tc>
          <w:tcPr>
            <w:tcW w:w="1893" w:type="dxa"/>
          </w:tcPr>
          <w:p w:rsidR="00086D6F" w:rsidRDefault="000F7398" w:rsidP="00CB7B26">
            <w:pPr>
              <w:pStyle w:val="a3"/>
              <w:spacing w:line="360" w:lineRule="auto"/>
              <w:jc w:val="both"/>
              <w:rPr>
                <w:rFonts w:cs="David"/>
                <w:rtl/>
              </w:rPr>
            </w:pPr>
            <w:r>
              <w:rPr>
                <w:rFonts w:cs="David" w:hint="cs"/>
                <w:rtl/>
              </w:rPr>
              <w:t>ברנשטיין</w:t>
            </w:r>
          </w:p>
        </w:tc>
        <w:tc>
          <w:tcPr>
            <w:tcW w:w="2787" w:type="dxa"/>
          </w:tcPr>
          <w:p w:rsidR="00086D6F" w:rsidRDefault="000F7398" w:rsidP="00CB7B26">
            <w:pPr>
              <w:pStyle w:val="a3"/>
              <w:spacing w:line="360" w:lineRule="auto"/>
              <w:jc w:val="both"/>
              <w:rPr>
                <w:rFonts w:cs="David"/>
                <w:rtl/>
              </w:rPr>
            </w:pPr>
            <w:r>
              <w:rPr>
                <w:rFonts w:cs="David" w:hint="cs"/>
                <w:rtl/>
              </w:rPr>
              <w:t xml:space="preserve">עדות של רופאה, המסתמכת על רישומיה של רופאה אחרת, שלא ניתן היה </w:t>
            </w:r>
            <w:proofErr w:type="spellStart"/>
            <w:r>
              <w:rPr>
                <w:rFonts w:cs="David" w:hint="cs"/>
                <w:rtl/>
              </w:rPr>
              <w:t>להעידה</w:t>
            </w:r>
            <w:proofErr w:type="spellEnd"/>
            <w:r>
              <w:rPr>
                <w:rFonts w:cs="David" w:hint="cs"/>
                <w:rtl/>
              </w:rPr>
              <w:t xml:space="preserve"> משום שירדה מהארץ, לגבי מצבה הרפואי של אישה, בעת חתימתה על צוואה. </w:t>
            </w:r>
          </w:p>
        </w:tc>
        <w:tc>
          <w:tcPr>
            <w:tcW w:w="6805" w:type="dxa"/>
          </w:tcPr>
          <w:p w:rsidR="000F7398" w:rsidRPr="000F7398" w:rsidRDefault="000F7398" w:rsidP="00CB7B26">
            <w:pPr>
              <w:pStyle w:val="a3"/>
              <w:spacing w:line="360" w:lineRule="auto"/>
              <w:jc w:val="both"/>
              <w:rPr>
                <w:rFonts w:cs="David"/>
                <w:rtl/>
              </w:rPr>
            </w:pPr>
            <w:r w:rsidRPr="000F7398">
              <w:rPr>
                <w:rFonts w:cs="David"/>
                <w:rtl/>
              </w:rPr>
              <w:t>יש מקום לקבל את</w:t>
            </w:r>
            <w:r w:rsidRPr="000F7398">
              <w:rPr>
                <w:rFonts w:cs="David"/>
              </w:rPr>
              <w:t xml:space="preserve"> </w:t>
            </w:r>
            <w:r w:rsidRPr="000F7398">
              <w:rPr>
                <w:rFonts w:cs="David"/>
                <w:rtl/>
              </w:rPr>
              <w:t xml:space="preserve">הכלל, כי כאשר מתמלאים התנאים המכשירים עשיית שימוש בחריג לכלל הפוסל עדות מפי השמועה המדבר </w:t>
            </w:r>
            <w:proofErr w:type="spellStart"/>
            <w:r w:rsidRPr="000F7398">
              <w:rPr>
                <w:rFonts w:cs="David"/>
                <w:rtl/>
              </w:rPr>
              <w:t>באימרת</w:t>
            </w:r>
            <w:proofErr w:type="spellEnd"/>
            <w:r w:rsidRPr="000F7398">
              <w:rPr>
                <w:rFonts w:cs="David"/>
                <w:rtl/>
              </w:rPr>
              <w:t xml:space="preserve"> חוץ</w:t>
            </w:r>
            <w:r w:rsidRPr="000F7398">
              <w:rPr>
                <w:rFonts w:cs="David"/>
              </w:rPr>
              <w:t xml:space="preserve"> </w:t>
            </w:r>
            <w:r w:rsidRPr="000F7398">
              <w:rPr>
                <w:rFonts w:cs="David"/>
                <w:rtl/>
              </w:rPr>
              <w:cr/>
            </w:r>
            <w:r w:rsidRPr="000F7398">
              <w:rPr>
                <w:rFonts w:cs="David"/>
                <w:rtl/>
              </w:rPr>
              <w:br w:type="page"/>
              <w:t xml:space="preserve">בכתב של עד במסגרת מילוי תפקידו - תהיה האמרה כשרה לעדות, לא רק כאשר העד נפטר, אלא, לפי אותו היגיון, גם מקום שלא ניתן להבטיח בשקידה סבירה את </w:t>
            </w:r>
            <w:proofErr w:type="spellStart"/>
            <w:r w:rsidRPr="000F7398">
              <w:rPr>
                <w:rFonts w:cs="David"/>
                <w:rtl/>
              </w:rPr>
              <w:t>העדתו</w:t>
            </w:r>
            <w:proofErr w:type="spellEnd"/>
            <w:r w:rsidRPr="000F7398">
              <w:rPr>
                <w:rFonts w:cs="David"/>
                <w:rtl/>
              </w:rPr>
              <w:t xml:space="preserve"> של העד</w:t>
            </w:r>
            <w:r w:rsidRPr="000F7398">
              <w:rPr>
                <w:rFonts w:cs="David"/>
              </w:rPr>
              <w:t>.</w:t>
            </w:r>
          </w:p>
        </w:tc>
      </w:tr>
      <w:tr w:rsidR="00E22127" w:rsidTr="00923E1D">
        <w:tc>
          <w:tcPr>
            <w:tcW w:w="1893" w:type="dxa"/>
          </w:tcPr>
          <w:p w:rsidR="00E22127" w:rsidRDefault="00B10B80" w:rsidP="00CB7B26">
            <w:pPr>
              <w:pStyle w:val="a3"/>
              <w:spacing w:line="360" w:lineRule="auto"/>
              <w:jc w:val="both"/>
              <w:rPr>
                <w:rFonts w:cs="David"/>
                <w:rtl/>
              </w:rPr>
            </w:pPr>
            <w:r>
              <w:rPr>
                <w:rFonts w:cs="David" w:hint="cs"/>
                <w:rtl/>
              </w:rPr>
              <w:t xml:space="preserve">ע"פ </w:t>
            </w:r>
            <w:proofErr w:type="spellStart"/>
            <w:r w:rsidR="00E22127">
              <w:rPr>
                <w:rFonts w:cs="David" w:hint="cs"/>
                <w:rtl/>
              </w:rPr>
              <w:t>טובול</w:t>
            </w:r>
            <w:proofErr w:type="spellEnd"/>
          </w:p>
        </w:tc>
        <w:tc>
          <w:tcPr>
            <w:tcW w:w="2787" w:type="dxa"/>
          </w:tcPr>
          <w:p w:rsidR="00E22127" w:rsidRDefault="00E22127" w:rsidP="00CB7B26">
            <w:pPr>
              <w:pStyle w:val="a3"/>
              <w:spacing w:line="360" w:lineRule="auto"/>
              <w:jc w:val="both"/>
              <w:rPr>
                <w:rFonts w:cs="David"/>
                <w:rtl/>
              </w:rPr>
            </w:pPr>
            <w:r>
              <w:rPr>
                <w:rFonts w:cs="David" w:hint="cs"/>
                <w:rtl/>
              </w:rPr>
              <w:t>נאשמים בשימוש בסמים. אחת השותפות, שהבריחה את הסם לארץ נחקרה במשטרה ולאחר מכן חזרה בה מעדותה.</w:t>
            </w:r>
          </w:p>
          <w:p w:rsidR="00B10B80" w:rsidRDefault="00B10B80" w:rsidP="00CB7B26">
            <w:pPr>
              <w:pStyle w:val="a3"/>
              <w:spacing w:line="360" w:lineRule="auto"/>
              <w:jc w:val="both"/>
              <w:rPr>
                <w:rFonts w:cs="David"/>
                <w:rtl/>
              </w:rPr>
            </w:pPr>
          </w:p>
          <w:p w:rsidR="00B10B80" w:rsidRDefault="00B10B80" w:rsidP="00CB7B26">
            <w:pPr>
              <w:pStyle w:val="a3"/>
              <w:spacing w:line="360" w:lineRule="auto"/>
              <w:jc w:val="both"/>
              <w:rPr>
                <w:rFonts w:cs="David"/>
                <w:rtl/>
              </w:rPr>
            </w:pPr>
            <w:r>
              <w:rPr>
                <w:rFonts w:cs="David" w:hint="cs"/>
                <w:rtl/>
              </w:rPr>
              <w:t xml:space="preserve">הוחלט לפי ש' לוין. </w:t>
            </w:r>
          </w:p>
        </w:tc>
        <w:tc>
          <w:tcPr>
            <w:tcW w:w="6805" w:type="dxa"/>
          </w:tcPr>
          <w:p w:rsidR="00E22127" w:rsidRDefault="00220AEA" w:rsidP="00CB7B26">
            <w:pPr>
              <w:pStyle w:val="a3"/>
              <w:spacing w:line="360" w:lineRule="auto"/>
              <w:jc w:val="both"/>
              <w:rPr>
                <w:rFonts w:cs="David"/>
                <w:rtl/>
              </w:rPr>
            </w:pPr>
            <w:r>
              <w:rPr>
                <w:rFonts w:cs="David" w:hint="cs"/>
                <w:rtl/>
              </w:rPr>
              <w:t xml:space="preserve">ש' לוין: </w:t>
            </w:r>
            <w:r w:rsidR="00E22127">
              <w:rPr>
                <w:rFonts w:cs="David" w:hint="cs"/>
                <w:rtl/>
              </w:rPr>
              <w:t xml:space="preserve">אמרה בכתב- השאלה היכן נציב את קו הגבול בין אמרה שניתנה ע"י העד לבין אמרה שניתנה ע"י אדם אחר תלויה בנסיבותיו של כל מקרה ומקרה והתשובה לה צריכה להיחתך לפי מבחנים של היגיון וסבירות. </w:t>
            </w:r>
          </w:p>
          <w:p w:rsidR="00220AEA" w:rsidRDefault="00E22127" w:rsidP="00CB7B26">
            <w:pPr>
              <w:pStyle w:val="a3"/>
              <w:spacing w:line="360" w:lineRule="auto"/>
              <w:jc w:val="both"/>
              <w:rPr>
                <w:rFonts w:cs="David"/>
                <w:rtl/>
              </w:rPr>
            </w:pPr>
            <w:r>
              <w:rPr>
                <w:rFonts w:cs="David" w:hint="cs"/>
                <w:rtl/>
              </w:rPr>
              <w:t>העדה במשפט על אמירת הדברים שהם נושא ז</w:t>
            </w:r>
            <w:r w:rsidR="00B10B80">
              <w:rPr>
                <w:rFonts w:cs="David" w:hint="cs"/>
                <w:rtl/>
              </w:rPr>
              <w:t>י</w:t>
            </w:r>
            <w:r>
              <w:rPr>
                <w:rFonts w:cs="David" w:hint="cs"/>
                <w:rtl/>
              </w:rPr>
              <w:t xml:space="preserve">כרונות הדברים לא מכשיר אותם כראיה לאמיתות תוכנם, אם הדברים אינם מהווים אמרה בכתב. </w:t>
            </w:r>
          </w:p>
          <w:p w:rsidR="00220AEA" w:rsidRDefault="00220AEA" w:rsidP="00CB7B26">
            <w:pPr>
              <w:pStyle w:val="a3"/>
              <w:spacing w:line="360" w:lineRule="auto"/>
              <w:jc w:val="both"/>
              <w:rPr>
                <w:rFonts w:cs="David"/>
                <w:rtl/>
              </w:rPr>
            </w:pPr>
            <w:r>
              <w:rPr>
                <w:rFonts w:cs="David" w:hint="cs"/>
                <w:rtl/>
              </w:rPr>
              <w:t xml:space="preserve">האמרה בכתב צריכה להיות של העד ולא </w:t>
            </w:r>
            <w:r w:rsidR="00B10B80">
              <w:rPr>
                <w:rFonts w:cs="David" w:hint="cs"/>
                <w:rtl/>
              </w:rPr>
              <w:t>פרי ניסוח או ת</w:t>
            </w:r>
            <w:r>
              <w:rPr>
                <w:rFonts w:cs="David" w:hint="cs"/>
                <w:rtl/>
              </w:rPr>
              <w:t>מצות של אדם אחר על מה שאמר לו העד.</w:t>
            </w:r>
          </w:p>
          <w:p w:rsidR="00220AEA" w:rsidRDefault="00220AEA" w:rsidP="00CB7B26">
            <w:pPr>
              <w:pStyle w:val="a3"/>
              <w:spacing w:line="360" w:lineRule="auto"/>
              <w:jc w:val="both"/>
              <w:rPr>
                <w:rFonts w:cs="David"/>
                <w:rtl/>
              </w:rPr>
            </w:pPr>
            <w:r>
              <w:rPr>
                <w:rFonts w:cs="David" w:hint="cs"/>
                <w:rtl/>
              </w:rPr>
              <w:t xml:space="preserve">נתניהו: </w:t>
            </w:r>
            <w:r w:rsidR="00B10B80">
              <w:rPr>
                <w:rFonts w:cs="David" w:hint="cs"/>
                <w:rtl/>
              </w:rPr>
              <w:t xml:space="preserve">ס' 10א חל גם על אמרות שניתנו בפני כל מאן דהוא, אף כאלה שניתנו ע"י מי ששח לפי תומו, מבלי לדעת מה השימוש שייעשה בהן. ידיעתו והסכמתו של עד אינן מדרישותיו של הס' ואין לכלול אותן בו. </w:t>
            </w:r>
          </w:p>
          <w:p w:rsidR="00B10B80" w:rsidRDefault="00B10B80" w:rsidP="00CB7B26">
            <w:pPr>
              <w:pStyle w:val="a3"/>
              <w:spacing w:line="360" w:lineRule="auto"/>
              <w:jc w:val="both"/>
              <w:rPr>
                <w:rFonts w:cs="David"/>
                <w:rtl/>
              </w:rPr>
            </w:pPr>
            <w:r>
              <w:rPr>
                <w:rFonts w:cs="David" w:hint="cs"/>
                <w:rtl/>
              </w:rPr>
              <w:lastRenderedPageBreak/>
              <w:t xml:space="preserve">דרישת הכתב נועדה להבטיח כי זיכרונם של הדברים שנאמרו יישמר בעודו טרי. למטרה זו די בכך כי הכתב ייערך במועד סמוך למתן האמרה וישקף נאמנה את תוכנה, אך אין חובה שייערך מילולית מפי נותן האמרה ובנוכחותו. עצם מתן האמרה, על תוכנה, ממילא טעון הוכחה במשפט. </w:t>
            </w:r>
          </w:p>
          <w:p w:rsidR="00B10B80" w:rsidRPr="000F7398" w:rsidRDefault="00B10B80" w:rsidP="00CB7B26">
            <w:pPr>
              <w:pStyle w:val="a3"/>
              <w:spacing w:line="360" w:lineRule="auto"/>
              <w:jc w:val="both"/>
              <w:rPr>
                <w:rFonts w:cs="David"/>
                <w:rtl/>
              </w:rPr>
            </w:pPr>
            <w:r>
              <w:rPr>
                <w:rFonts w:cs="David" w:hint="cs"/>
                <w:rtl/>
              </w:rPr>
              <w:t>מועד סמוך- תלוי בנסיבות של כל מקרה. המסמך לא חייב לשקף כל מילה בלשונו של העד. יש שנוסחו ותוכנו של המסמך מעידים על עצמו. הכול תלוי בנסיבות.</w:t>
            </w:r>
          </w:p>
        </w:tc>
      </w:tr>
      <w:tr w:rsidR="00DF13C8" w:rsidTr="00923E1D">
        <w:tc>
          <w:tcPr>
            <w:tcW w:w="1893" w:type="dxa"/>
          </w:tcPr>
          <w:p w:rsidR="00DF13C8" w:rsidRDefault="00DF13C8" w:rsidP="00CB7B26">
            <w:pPr>
              <w:pStyle w:val="a3"/>
              <w:spacing w:line="360" w:lineRule="auto"/>
              <w:jc w:val="both"/>
              <w:rPr>
                <w:rFonts w:cs="David"/>
                <w:rtl/>
              </w:rPr>
            </w:pPr>
            <w:r>
              <w:rPr>
                <w:rFonts w:cs="David" w:hint="cs"/>
                <w:rtl/>
              </w:rPr>
              <w:lastRenderedPageBreak/>
              <w:t>יחיא</w:t>
            </w:r>
          </w:p>
        </w:tc>
        <w:tc>
          <w:tcPr>
            <w:tcW w:w="2787" w:type="dxa"/>
          </w:tcPr>
          <w:p w:rsidR="00DF13C8" w:rsidRDefault="00DF13C8" w:rsidP="00CB7B26">
            <w:pPr>
              <w:pStyle w:val="a3"/>
              <w:spacing w:line="360" w:lineRule="auto"/>
              <w:jc w:val="both"/>
              <w:rPr>
                <w:rFonts w:cs="David"/>
                <w:rtl/>
              </w:rPr>
            </w:pPr>
          </w:p>
        </w:tc>
        <w:tc>
          <w:tcPr>
            <w:tcW w:w="6805" w:type="dxa"/>
          </w:tcPr>
          <w:p w:rsidR="00FF3A95" w:rsidRPr="00FF3A95" w:rsidRDefault="006F0927" w:rsidP="00CB7B26">
            <w:pPr>
              <w:pStyle w:val="a3"/>
              <w:spacing w:line="360" w:lineRule="auto"/>
              <w:jc w:val="both"/>
              <w:rPr>
                <w:rFonts w:cs="David"/>
                <w:rtl/>
              </w:rPr>
            </w:pPr>
            <w:r>
              <w:rPr>
                <w:rFonts w:cs="David" w:hint="cs"/>
                <w:rtl/>
              </w:rPr>
              <w:t xml:space="preserve">קדמי: </w:t>
            </w:r>
            <w:r w:rsidR="00FF3A95" w:rsidRPr="00FF3A95">
              <w:rPr>
                <w:rFonts w:cs="David"/>
                <w:rtl/>
              </w:rPr>
              <w:t xml:space="preserve">במקום שבו האמרה אינה נכתבת בידי ה"אומר" או מוקלטת מפיו אלא נרשמת בידי מי ששמע אותה, מיועדת דרישת הכתב להבטיח כי משמעותה לא תעוות בשל כך שהיא נרשמת על-פי הבנתו של השומע ומזיכרונו; ואין דרישה זו מכוונת להעמיד את האומר על כך שאמירתו תוכל לשמש ראיה, ועל-כן עליו לדקדק באמיתות תוכנה. פניה של דרישת הכתב בסעיף </w:t>
            </w:r>
            <w:r w:rsidR="00FF3A95" w:rsidRPr="00FF3A95">
              <w:rPr>
                <w:rFonts w:cs="David"/>
              </w:rPr>
              <w:t>10</w:t>
            </w:r>
            <w:r w:rsidR="00FF3A95" w:rsidRPr="00FF3A95">
              <w:rPr>
                <w:rFonts w:cs="David"/>
                <w:rtl/>
              </w:rPr>
              <w:t xml:space="preserve">א לפקודת הראיות אינם מכוונים להבטחת </w:t>
            </w:r>
            <w:proofErr w:type="spellStart"/>
            <w:r w:rsidR="00FF3A95" w:rsidRPr="00FF3A95">
              <w:rPr>
                <w:rFonts w:cs="David"/>
                <w:rtl/>
              </w:rPr>
              <w:t>אמיתותה</w:t>
            </w:r>
            <w:proofErr w:type="spellEnd"/>
            <w:r w:rsidR="00FF3A95" w:rsidRPr="00FF3A95">
              <w:rPr>
                <w:rFonts w:cs="David"/>
                <w:rtl/>
              </w:rPr>
              <w:t xml:space="preserve"> של האמרה, אלא להבטחת מסירה מדויקת של הנאמר, ואמיתות תוכנה של האמרה נקבעת על-ידי בית המשפט על-פי ההנחיות שבסעיף </w:t>
            </w:r>
            <w:r w:rsidR="00FF3A95" w:rsidRPr="00FF3A95">
              <w:rPr>
                <w:rFonts w:cs="David"/>
              </w:rPr>
              <w:t>10</w:t>
            </w:r>
            <w:r w:rsidR="00FF3A95" w:rsidRPr="00FF3A95">
              <w:rPr>
                <w:rFonts w:cs="David"/>
                <w:rtl/>
              </w:rPr>
              <w:t>א(ג) לפקודה הנ"ל.</w:t>
            </w:r>
          </w:p>
          <w:p w:rsidR="00DF13C8" w:rsidRDefault="00FF3A95" w:rsidP="00CB7B26">
            <w:pPr>
              <w:pStyle w:val="a3"/>
              <w:spacing w:line="360" w:lineRule="auto"/>
              <w:jc w:val="both"/>
              <w:rPr>
                <w:rFonts w:cs="David"/>
                <w:rtl/>
              </w:rPr>
            </w:pPr>
            <w:r w:rsidRPr="00FF3A95">
              <w:rPr>
                <w:rFonts w:cs="David"/>
                <w:rtl/>
              </w:rPr>
              <w:t>אשר-על-כן, אמרה שנרשמה על-ידי אחר (השומע), בלי שהאומר מודע לכך ובלי שניתנת לו הזדמנות לעיין ברישום ולהתייחס לתוכנו - עונה על דרישת הכתב, ואפילו</w:t>
            </w:r>
            <w:r w:rsidRPr="00FF3A95">
              <w:rPr>
                <w:rFonts w:cs="David"/>
              </w:rPr>
              <w:t xml:space="preserve"> </w:t>
            </w:r>
            <w:r w:rsidRPr="00FF3A95">
              <w:rPr>
                <w:rFonts w:cs="David"/>
                <w:rtl/>
              </w:rPr>
              <w:t>נרשמה מתוך זיכרונו של השומע לאחר אמירתה, כל עוד נעשה הרישום בסמוך לאמירה; ואין נפקא מינה לעניין קבילותה, אם נעשתה ב"מושב לצים" או מכוח נקיטת "אמצעים פסולים". ויודגש: לעניין קבילותה - די בכך שהאמרה הועלתה על הכתב על-ידי השומע תוך פרק זמן סביר; באשר לנסיבות</w:t>
            </w:r>
            <w:r w:rsidRPr="00FF3A95">
              <w:rPr>
                <w:rFonts w:cs="David"/>
              </w:rPr>
              <w:t xml:space="preserve"> </w:t>
            </w:r>
            <w:r w:rsidRPr="00FF3A95">
              <w:rPr>
                <w:rFonts w:cs="David"/>
                <w:rtl/>
              </w:rPr>
              <w:t>האמירה - ככל שיש בהן כדי ללמד על "אמיתות" תוכנה להבדיל מ"דיוק משמעותה" - אין נפקות בשלב זה.</w:t>
            </w:r>
          </w:p>
          <w:p w:rsidR="00FF3A95" w:rsidRDefault="00FF3A95" w:rsidP="00CB7B26">
            <w:pPr>
              <w:pStyle w:val="a3"/>
              <w:spacing w:line="360" w:lineRule="auto"/>
              <w:jc w:val="both"/>
              <w:rPr>
                <w:rFonts w:cs="David"/>
                <w:rtl/>
              </w:rPr>
            </w:pPr>
            <w:r>
              <w:rPr>
                <w:rFonts w:cs="David" w:hint="cs"/>
                <w:rtl/>
              </w:rPr>
              <w:t xml:space="preserve">אמרה- יכולה לבוא לידי ביטוי "בתנועות ובסימנים" המשמשים "תחליף" למלל או לכתב ו"המדברים", בתור שכאלה, בעד עצמם. </w:t>
            </w:r>
          </w:p>
          <w:p w:rsidR="00FF3A95" w:rsidRDefault="00FF3A95" w:rsidP="00CB7B26">
            <w:pPr>
              <w:pStyle w:val="a3"/>
              <w:spacing w:line="360" w:lineRule="auto"/>
              <w:jc w:val="both"/>
              <w:rPr>
                <w:rFonts w:cs="David"/>
                <w:rtl/>
              </w:rPr>
            </w:pPr>
            <w:r w:rsidRPr="00FF3A95">
              <w:rPr>
                <w:rFonts w:cs="David"/>
                <w:rtl/>
              </w:rPr>
              <w:t>די בכך שהאמרה שמעלה השומע על הכתב תשקף את "משמעותה" של אמירת העד בעל- פה, גם אם "רושם" האמרה אינו חוזר על לשון האומר.</w:t>
            </w:r>
          </w:p>
          <w:p w:rsidR="00FF3A95" w:rsidRDefault="00FF3A95" w:rsidP="00CB7B26">
            <w:pPr>
              <w:pStyle w:val="a3"/>
              <w:spacing w:line="360" w:lineRule="auto"/>
              <w:jc w:val="both"/>
              <w:rPr>
                <w:rFonts w:cs="David"/>
                <w:rtl/>
              </w:rPr>
            </w:pPr>
            <w:r w:rsidRPr="00FF3A95">
              <w:rPr>
                <w:rFonts w:cs="David"/>
                <w:rtl/>
              </w:rPr>
              <w:t xml:space="preserve">אשר-על-כן, מתקבלת כראיה לפי סעיף </w:t>
            </w:r>
            <w:r w:rsidRPr="00FF3A95">
              <w:rPr>
                <w:rFonts w:cs="David"/>
              </w:rPr>
              <w:t>10</w:t>
            </w:r>
            <w:r w:rsidRPr="00FF3A95">
              <w:rPr>
                <w:rFonts w:cs="David"/>
                <w:rtl/>
              </w:rPr>
              <w:t xml:space="preserve">א הנ"ל </w:t>
            </w:r>
            <w:proofErr w:type="spellStart"/>
            <w:r w:rsidRPr="00FF3A95">
              <w:rPr>
                <w:rFonts w:cs="David"/>
                <w:rtl/>
              </w:rPr>
              <w:t>אימרת</w:t>
            </w:r>
            <w:proofErr w:type="spellEnd"/>
            <w:r w:rsidRPr="00FF3A95">
              <w:rPr>
                <w:rFonts w:cs="David"/>
                <w:rtl/>
              </w:rPr>
              <w:t xml:space="preserve"> עד שהועלתה על הכתב</w:t>
            </w:r>
            <w:r w:rsidRPr="00FF3A95">
              <w:rPr>
                <w:rFonts w:cs="David"/>
              </w:rPr>
              <w:t xml:space="preserve"> </w:t>
            </w:r>
            <w:r w:rsidRPr="00FF3A95">
              <w:rPr>
                <w:rFonts w:cs="David"/>
                <w:rtl/>
              </w:rPr>
              <w:t>(על-ידי שומע) לאחר אמירתה במסגרת "זיכרון-ד</w:t>
            </w:r>
            <w:r>
              <w:rPr>
                <w:rFonts w:cs="David"/>
                <w:rtl/>
              </w:rPr>
              <w:t>ברים", המשקף, מטבע ברייתו, אך א</w:t>
            </w:r>
            <w:r>
              <w:rPr>
                <w:rFonts w:cs="David" w:hint="cs"/>
                <w:rtl/>
              </w:rPr>
              <w:t>ת</w:t>
            </w:r>
            <w:r w:rsidRPr="00FF3A95">
              <w:rPr>
                <w:rFonts w:cs="David"/>
              </w:rPr>
              <w:t>"</w:t>
            </w:r>
            <w:r w:rsidRPr="00FF3A95">
              <w:rPr>
                <w:rFonts w:cs="David"/>
                <w:rtl/>
              </w:rPr>
              <w:t>משמעות" הדברים שהשמיע האומר - כפ</w:t>
            </w:r>
            <w:r>
              <w:rPr>
                <w:rFonts w:cs="David"/>
                <w:rtl/>
              </w:rPr>
              <w:t>י שזו נקבעה בזיכרונו של השומע -</w:t>
            </w:r>
            <w:r w:rsidRPr="00FF3A95">
              <w:rPr>
                <w:rFonts w:cs="David"/>
                <w:rtl/>
              </w:rPr>
              <w:t>ואינו חוזר על הלשון</w:t>
            </w:r>
            <w:r w:rsidRPr="00FF3A95">
              <w:rPr>
                <w:rFonts w:cs="David"/>
              </w:rPr>
              <w:t xml:space="preserve"> </w:t>
            </w:r>
            <w:r w:rsidRPr="00FF3A95">
              <w:rPr>
                <w:rFonts w:cs="David"/>
                <w:rtl/>
              </w:rPr>
              <w:t>שבה נאמרו הדברים</w:t>
            </w:r>
            <w:r w:rsidRPr="00FF3A95">
              <w:rPr>
                <w:rFonts w:cs="David"/>
              </w:rPr>
              <w:t>.</w:t>
            </w:r>
            <w:r>
              <w:rPr>
                <w:rFonts w:cs="David" w:hint="cs"/>
                <w:rtl/>
              </w:rPr>
              <w:t xml:space="preserve"> </w:t>
            </w:r>
          </w:p>
          <w:p w:rsidR="006F0927" w:rsidRDefault="006F0927" w:rsidP="00CB7B26">
            <w:pPr>
              <w:pStyle w:val="a3"/>
              <w:spacing w:line="360" w:lineRule="auto"/>
              <w:jc w:val="both"/>
              <w:rPr>
                <w:rFonts w:cs="David"/>
                <w:rtl/>
              </w:rPr>
            </w:pPr>
            <w:r>
              <w:rPr>
                <w:rFonts w:cs="David" w:hint="cs"/>
                <w:rtl/>
              </w:rPr>
              <w:t xml:space="preserve">אין מקום להבחנה בין אמרה שנרשמה אישית ע"י השומע לבין אמרה שהוכתבה על ידיו לאחר. לאופן הרישום יש משמעות טכנית בלבד, שאין לה השלכה לעניין דיוק המשמעות של אמרת העד. </w:t>
            </w:r>
          </w:p>
          <w:p w:rsidR="00FF3A95" w:rsidRDefault="008E56B4" w:rsidP="00CB7B26">
            <w:pPr>
              <w:pStyle w:val="a3"/>
              <w:spacing w:line="360" w:lineRule="auto"/>
              <w:jc w:val="both"/>
              <w:rPr>
                <w:rFonts w:cs="David"/>
                <w:rtl/>
              </w:rPr>
            </w:pPr>
            <w:r>
              <w:rPr>
                <w:rFonts w:cs="David" w:hint="cs"/>
                <w:rtl/>
              </w:rPr>
              <w:t xml:space="preserve">קדמי: ריבוי חוליות בשרשרת התיעוד של האמרה עתיד להרבות דאגה. </w:t>
            </w:r>
          </w:p>
        </w:tc>
      </w:tr>
      <w:tr w:rsidR="00AD3E5F" w:rsidTr="00923E1D">
        <w:tc>
          <w:tcPr>
            <w:tcW w:w="1893" w:type="dxa"/>
          </w:tcPr>
          <w:p w:rsidR="00AD3E5F" w:rsidRDefault="00AD3E5F" w:rsidP="00CB7B26">
            <w:pPr>
              <w:pStyle w:val="a3"/>
              <w:spacing w:line="360" w:lineRule="auto"/>
              <w:jc w:val="both"/>
              <w:rPr>
                <w:rFonts w:cs="David"/>
                <w:rtl/>
              </w:rPr>
            </w:pPr>
            <w:proofErr w:type="spellStart"/>
            <w:r>
              <w:rPr>
                <w:rFonts w:cs="David" w:hint="cs"/>
                <w:rtl/>
              </w:rPr>
              <w:t>מירילאשווילי</w:t>
            </w:r>
            <w:proofErr w:type="spellEnd"/>
          </w:p>
        </w:tc>
        <w:tc>
          <w:tcPr>
            <w:tcW w:w="2787" w:type="dxa"/>
          </w:tcPr>
          <w:p w:rsidR="00AD3E5F" w:rsidRDefault="00AD3E5F" w:rsidP="00CB7B26">
            <w:pPr>
              <w:pStyle w:val="a3"/>
              <w:spacing w:line="360" w:lineRule="auto"/>
              <w:jc w:val="both"/>
              <w:rPr>
                <w:rFonts w:cs="David"/>
                <w:rtl/>
              </w:rPr>
            </w:pPr>
          </w:p>
        </w:tc>
        <w:tc>
          <w:tcPr>
            <w:tcW w:w="6805" w:type="dxa"/>
          </w:tcPr>
          <w:p w:rsidR="00AD3E5F" w:rsidRDefault="00AD3E5F" w:rsidP="00CB7B26">
            <w:pPr>
              <w:pStyle w:val="a3"/>
              <w:spacing w:line="360" w:lineRule="auto"/>
              <w:jc w:val="both"/>
              <w:rPr>
                <w:rFonts w:cs="David"/>
                <w:rtl/>
              </w:rPr>
            </w:pPr>
            <w:r>
              <w:rPr>
                <w:rFonts w:cs="David" w:hint="cs"/>
                <w:rtl/>
              </w:rPr>
              <w:t xml:space="preserve">קבלתה של אמרת נאשם כראיה בהתאם לס' 10א מהווה תנאי מוקדם גם לאפשרות להסתמך עליה כעל ראיה תומכת של ראיה אחרת המובאת נגד נאשם אחר. קבלתה של אמרת עד כראיה, בהתאם לס' 10א, מותנית בין היתר בכך שנותן האמרה הוא עד במשפט וניתנה לצדדים הזדמנות לחקרו </w:t>
            </w:r>
            <w:r w:rsidRPr="00AD3E5F">
              <w:rPr>
                <w:rFonts w:cs="David"/>
                <w:rtl/>
              </w:rPr>
              <w:t>(סעיף 10א(א)(2) לפקודה).</w:t>
            </w:r>
          </w:p>
        </w:tc>
      </w:tr>
      <w:tr w:rsidR="0033465B" w:rsidTr="00923E1D">
        <w:tc>
          <w:tcPr>
            <w:tcW w:w="1893" w:type="dxa"/>
          </w:tcPr>
          <w:p w:rsidR="0033465B" w:rsidRDefault="0033465B" w:rsidP="00CB7B26">
            <w:pPr>
              <w:pStyle w:val="a3"/>
              <w:spacing w:line="360" w:lineRule="auto"/>
              <w:jc w:val="both"/>
              <w:rPr>
                <w:rFonts w:cs="David"/>
                <w:rtl/>
              </w:rPr>
            </w:pPr>
            <w:r>
              <w:rPr>
                <w:rFonts w:cs="David" w:hint="cs"/>
                <w:rtl/>
              </w:rPr>
              <w:t>חביו</w:t>
            </w:r>
          </w:p>
        </w:tc>
        <w:tc>
          <w:tcPr>
            <w:tcW w:w="2787" w:type="dxa"/>
          </w:tcPr>
          <w:p w:rsidR="0033465B" w:rsidRDefault="0033465B" w:rsidP="00CB7B26">
            <w:pPr>
              <w:pStyle w:val="a3"/>
              <w:spacing w:line="360" w:lineRule="auto"/>
              <w:jc w:val="both"/>
              <w:rPr>
                <w:rFonts w:cs="David"/>
                <w:rtl/>
              </w:rPr>
            </w:pPr>
          </w:p>
        </w:tc>
        <w:tc>
          <w:tcPr>
            <w:tcW w:w="6805" w:type="dxa"/>
          </w:tcPr>
          <w:p w:rsidR="0033465B" w:rsidRDefault="0033465B" w:rsidP="00CB7B26">
            <w:pPr>
              <w:pStyle w:val="a3"/>
              <w:spacing w:line="360" w:lineRule="auto"/>
              <w:jc w:val="both"/>
              <w:rPr>
                <w:rFonts w:cs="David"/>
                <w:rtl/>
              </w:rPr>
            </w:pPr>
            <w:r>
              <w:rPr>
                <w:rFonts w:cs="David" w:hint="cs"/>
                <w:rtl/>
              </w:rPr>
              <w:t xml:space="preserve">הודאת חוץ של נאשם נעשית בהתבטאות בע"פ או בכתב. יש להבחין בינה לבין התנהגות מפלילה, המהווה ראייה נסיבתית ולא הודאת חוץ. </w:t>
            </w:r>
          </w:p>
          <w:p w:rsidR="0033465B" w:rsidRDefault="0033465B" w:rsidP="00CB7B26">
            <w:pPr>
              <w:pStyle w:val="a3"/>
              <w:spacing w:line="360" w:lineRule="auto"/>
              <w:jc w:val="both"/>
              <w:rPr>
                <w:rFonts w:cs="David"/>
                <w:rtl/>
              </w:rPr>
            </w:pPr>
            <w:r>
              <w:rPr>
                <w:rFonts w:cs="David" w:hint="cs"/>
                <w:rtl/>
              </w:rPr>
              <w:t xml:space="preserve">שתיקה של חשוד במהלך חקירתו מהווה עפ"י טיבה "התנהגות", להבדיל מ"התבטאות". אבל, לנוכח זכות השתיקה המוחלטת העומדת לחשוד- אין שתיקתו </w:t>
            </w:r>
            <w:r>
              <w:rPr>
                <w:rFonts w:cs="David" w:hint="cs"/>
                <w:rtl/>
              </w:rPr>
              <w:lastRenderedPageBreak/>
              <w:t xml:space="preserve">מהווה ראיה. </w:t>
            </w:r>
          </w:p>
          <w:p w:rsidR="0033465B" w:rsidRDefault="0033465B" w:rsidP="00CB7B26">
            <w:pPr>
              <w:pStyle w:val="a3"/>
              <w:spacing w:line="360" w:lineRule="auto"/>
              <w:jc w:val="both"/>
              <w:rPr>
                <w:rFonts w:cs="David"/>
                <w:rtl/>
              </w:rPr>
            </w:pPr>
            <w:r>
              <w:rPr>
                <w:rFonts w:cs="David" w:hint="cs"/>
                <w:rtl/>
              </w:rPr>
              <w:t xml:space="preserve">התבטאות מסבכת שקולה כנגד הודיית חוץ או התנהגות מפלילה. </w:t>
            </w:r>
          </w:p>
        </w:tc>
      </w:tr>
      <w:tr w:rsidR="00CA0AA5" w:rsidTr="00923E1D">
        <w:tc>
          <w:tcPr>
            <w:tcW w:w="1893" w:type="dxa"/>
          </w:tcPr>
          <w:p w:rsidR="00CA0AA5" w:rsidRDefault="00CA0AA5" w:rsidP="00CB7B26">
            <w:pPr>
              <w:pStyle w:val="a3"/>
              <w:spacing w:line="360" w:lineRule="auto"/>
              <w:jc w:val="both"/>
              <w:rPr>
                <w:rFonts w:cs="David"/>
                <w:rtl/>
              </w:rPr>
            </w:pPr>
            <w:proofErr w:type="spellStart"/>
            <w:r>
              <w:rPr>
                <w:rFonts w:cs="David" w:hint="cs"/>
                <w:rtl/>
              </w:rPr>
              <w:lastRenderedPageBreak/>
              <w:t>סמירק</w:t>
            </w:r>
            <w:proofErr w:type="spellEnd"/>
          </w:p>
        </w:tc>
        <w:tc>
          <w:tcPr>
            <w:tcW w:w="2787" w:type="dxa"/>
          </w:tcPr>
          <w:p w:rsidR="00CA0AA5" w:rsidRDefault="00CA0AA5" w:rsidP="00CB7B26">
            <w:pPr>
              <w:pStyle w:val="a3"/>
              <w:spacing w:line="360" w:lineRule="auto"/>
              <w:jc w:val="both"/>
              <w:rPr>
                <w:rFonts w:cs="David"/>
                <w:rtl/>
              </w:rPr>
            </w:pPr>
          </w:p>
        </w:tc>
        <w:tc>
          <w:tcPr>
            <w:tcW w:w="6805" w:type="dxa"/>
          </w:tcPr>
          <w:p w:rsidR="00CA0AA5" w:rsidRDefault="00CA0AA5" w:rsidP="00CB7B26">
            <w:pPr>
              <w:pStyle w:val="a3"/>
              <w:spacing w:line="360" w:lineRule="auto"/>
              <w:jc w:val="both"/>
              <w:rPr>
                <w:rFonts w:cs="David"/>
                <w:rtl/>
              </w:rPr>
            </w:pPr>
            <w:r>
              <w:rPr>
                <w:rFonts w:cs="David" w:hint="cs"/>
                <w:rtl/>
              </w:rPr>
              <w:t xml:space="preserve">הודאת חוץ צריכה להיות חופשית ומרצון. אדם הנתון בחקירה בגין עבירות שבביצוען הוא חשוד עשוי לחוות לחץ נפשי ואי נוחות פיזית שהם אינהרנטיים למצב שבו הוא שרוי. לכן, אין להעניק למונח חופשית ומרצון  משמעות מילולית. הודאת נאשם תיפסל אם הופעל עליו בעת החקירה "לחץ חיצוני" שהיה בו כדי לשלול את יכולתו לבחור אם לעשות שימוש בחיסיון מפני הפללה עצמית ובזכות השתיקה. </w:t>
            </w:r>
          </w:p>
          <w:p w:rsidR="00CA0AA5" w:rsidRDefault="00CA0AA5" w:rsidP="00CB7B26">
            <w:pPr>
              <w:pStyle w:val="a3"/>
              <w:spacing w:line="360" w:lineRule="auto"/>
              <w:jc w:val="both"/>
              <w:rPr>
                <w:rFonts w:cs="David"/>
                <w:rtl/>
              </w:rPr>
            </w:pPr>
            <w:r>
              <w:rPr>
                <w:rFonts w:cs="David" w:hint="cs"/>
                <w:rtl/>
              </w:rPr>
              <w:t>גם אם הוכח שההודאה שמסר הנאשם היא קבילה, על ביהמ"ש לבחון את משקלה כדי לקבוע את אמיתות תוכנה. המשקל שיינתן ייקבע עפ"י שני מבחנים מצטברים:</w:t>
            </w:r>
          </w:p>
          <w:p w:rsidR="00CA0AA5" w:rsidRDefault="00CA0AA5" w:rsidP="00CB7B26">
            <w:pPr>
              <w:pStyle w:val="a3"/>
              <w:numPr>
                <w:ilvl w:val="0"/>
                <w:numId w:val="11"/>
              </w:numPr>
              <w:spacing w:line="360" w:lineRule="auto"/>
              <w:jc w:val="both"/>
              <w:rPr>
                <w:rFonts w:cs="David"/>
              </w:rPr>
            </w:pPr>
            <w:r>
              <w:rPr>
                <w:rFonts w:cs="David" w:hint="cs"/>
                <w:rtl/>
              </w:rPr>
              <w:t xml:space="preserve">פנימי. מתייחס לתוכנה של ההודאה ולסימני האמת הנלמדים מתוכה. </w:t>
            </w:r>
          </w:p>
          <w:p w:rsidR="00CA0AA5" w:rsidRDefault="00CA0AA5" w:rsidP="00CB7B26">
            <w:pPr>
              <w:pStyle w:val="a3"/>
              <w:numPr>
                <w:ilvl w:val="0"/>
                <w:numId w:val="11"/>
              </w:numPr>
              <w:spacing w:line="360" w:lineRule="auto"/>
              <w:jc w:val="both"/>
              <w:rPr>
                <w:rFonts w:cs="David"/>
              </w:rPr>
            </w:pPr>
            <w:r>
              <w:rPr>
                <w:rFonts w:cs="David" w:hint="cs"/>
                <w:rtl/>
              </w:rPr>
              <w:t xml:space="preserve">חיצוני. דבר מה נוסף. מטרתו- לתור אחר סימנים מחוץ לדברי הנאשם בהודאתו, שיש בהם כדי לאשר את </w:t>
            </w:r>
            <w:proofErr w:type="spellStart"/>
            <w:r>
              <w:rPr>
                <w:rFonts w:cs="David" w:hint="cs"/>
                <w:rtl/>
              </w:rPr>
              <w:t>אמיתותה</w:t>
            </w:r>
            <w:proofErr w:type="spellEnd"/>
            <w:r>
              <w:rPr>
                <w:rFonts w:cs="David" w:hint="cs"/>
                <w:rtl/>
              </w:rPr>
              <w:t>.</w:t>
            </w:r>
          </w:p>
          <w:p w:rsidR="00CA0AA5" w:rsidRDefault="00CA0AA5" w:rsidP="00CB7B26">
            <w:pPr>
              <w:pStyle w:val="a3"/>
              <w:spacing w:line="360" w:lineRule="auto"/>
              <w:jc w:val="both"/>
              <w:rPr>
                <w:rFonts w:cs="David"/>
                <w:rtl/>
              </w:rPr>
            </w:pPr>
            <w:r>
              <w:rPr>
                <w:rFonts w:cs="David" w:hint="cs"/>
                <w:rtl/>
              </w:rPr>
              <w:t xml:space="preserve">היעדר אזהרה כשלעצמה לא מביא לפסילתה של ההודאה, כל עוד הוכח שההודאה ניתנה מרצון טוב וחופשי. בעקבות ח"י כבוד האדם יכולות להיות נסיבות שבהן יהיה בהיעדר אזהרת חשוד כדי להביא לפסילת הודאה שמסר בחקירה, אולם אין לקבוע בעניין זה כלל גורף. </w:t>
            </w:r>
          </w:p>
          <w:p w:rsidR="0027687B" w:rsidRDefault="0027687B" w:rsidP="00CB7B26">
            <w:pPr>
              <w:pStyle w:val="a3"/>
              <w:spacing w:line="360" w:lineRule="auto"/>
              <w:jc w:val="both"/>
              <w:rPr>
                <w:rFonts w:cs="David"/>
                <w:rtl/>
              </w:rPr>
            </w:pPr>
            <w:r>
              <w:rPr>
                <w:rFonts w:cs="David" w:hint="cs"/>
                <w:rtl/>
              </w:rPr>
              <w:t xml:space="preserve">בהודאת חוץ נדרשת תוספת ראייתית מסוג דבר מה. די בראיה ישירה או נסיבתית מחוץ לדברי הנאשם בהודאתו, שיש בה כדי לאשר במידת מה את תוכן ההודאה ולהצביע על </w:t>
            </w:r>
            <w:proofErr w:type="spellStart"/>
            <w:r>
              <w:rPr>
                <w:rFonts w:cs="David" w:hint="cs"/>
                <w:rtl/>
              </w:rPr>
              <w:t>אמיתותה</w:t>
            </w:r>
            <w:proofErr w:type="spellEnd"/>
            <w:r>
              <w:rPr>
                <w:rFonts w:cs="David" w:hint="cs"/>
                <w:rtl/>
              </w:rPr>
              <w:t xml:space="preserve">. ככל שמשקלה העצמי- הפנימי של ההודאה הוא גבוה עפ"י סימני האמת המתגלים בתוכה, כך קטן המשקל הנדרש ל"דבר מה" לשם אימות ההודאה ולהיפך. </w:t>
            </w:r>
          </w:p>
        </w:tc>
      </w:tr>
      <w:tr w:rsidR="003B12E6" w:rsidTr="00923E1D">
        <w:tc>
          <w:tcPr>
            <w:tcW w:w="1893" w:type="dxa"/>
          </w:tcPr>
          <w:p w:rsidR="003B12E6" w:rsidRDefault="00E150DA" w:rsidP="00CB7B26">
            <w:pPr>
              <w:pStyle w:val="a3"/>
              <w:spacing w:line="360" w:lineRule="auto"/>
              <w:jc w:val="both"/>
              <w:rPr>
                <w:rFonts w:cs="David"/>
                <w:rtl/>
              </w:rPr>
            </w:pPr>
            <w:r>
              <w:rPr>
                <w:rFonts w:cs="David" w:hint="cs"/>
                <w:rtl/>
              </w:rPr>
              <w:t xml:space="preserve">מסיקה </w:t>
            </w:r>
          </w:p>
        </w:tc>
        <w:tc>
          <w:tcPr>
            <w:tcW w:w="2787" w:type="dxa"/>
          </w:tcPr>
          <w:p w:rsidR="003B12E6" w:rsidRDefault="00FB4CE5" w:rsidP="00CB7B26">
            <w:pPr>
              <w:pStyle w:val="a3"/>
              <w:spacing w:line="360" w:lineRule="auto"/>
              <w:jc w:val="both"/>
              <w:rPr>
                <w:rFonts w:cs="David"/>
                <w:rtl/>
              </w:rPr>
            </w:pPr>
            <w:r>
              <w:rPr>
                <w:rFonts w:cs="David" w:hint="cs"/>
                <w:rtl/>
              </w:rPr>
              <w:t xml:space="preserve">אדם אשר מסר למשטרה הודאה על כל מיני עבירות שהוא ביצע, בתק' שלפני מסירת ההודאה ואחריה הוא היה מאושפז בביה"ח לחולי נפש. </w:t>
            </w:r>
          </w:p>
        </w:tc>
        <w:tc>
          <w:tcPr>
            <w:tcW w:w="6805" w:type="dxa"/>
          </w:tcPr>
          <w:p w:rsidR="003B12E6" w:rsidRDefault="007308BA" w:rsidP="00CB7B26">
            <w:pPr>
              <w:pStyle w:val="a3"/>
              <w:spacing w:line="360" w:lineRule="auto"/>
              <w:jc w:val="both"/>
              <w:rPr>
                <w:rFonts w:cs="David"/>
                <w:rtl/>
              </w:rPr>
            </w:pPr>
            <w:r>
              <w:rPr>
                <w:rFonts w:cs="David" w:hint="cs"/>
                <w:rtl/>
              </w:rPr>
              <w:t xml:space="preserve">אור: </w:t>
            </w:r>
            <w:r w:rsidR="00E150DA">
              <w:rPr>
                <w:rFonts w:cs="David" w:hint="cs"/>
                <w:rtl/>
              </w:rPr>
              <w:t xml:space="preserve">הודאת חולה נפש היא קבילה כאשר מוכח לביהמ"ש שהיא ניתנה בהיעדר לחץ חיצוני. </w:t>
            </w:r>
          </w:p>
          <w:p w:rsidR="00E150DA" w:rsidRDefault="00E150DA" w:rsidP="00CB7B26">
            <w:pPr>
              <w:pStyle w:val="a3"/>
              <w:spacing w:line="360" w:lineRule="auto"/>
              <w:jc w:val="both"/>
              <w:rPr>
                <w:rFonts w:cs="David"/>
                <w:rtl/>
              </w:rPr>
            </w:pPr>
            <w:r>
              <w:rPr>
                <w:rFonts w:cs="David" w:hint="cs"/>
                <w:rtl/>
              </w:rPr>
              <w:t xml:space="preserve">חופשית ומרצון- יש לבדוק שההודאה לא התקבלה בעקבות שימוש באמצעים פסולים. </w:t>
            </w:r>
          </w:p>
          <w:p w:rsidR="00FB4CE5" w:rsidRDefault="00FB4CE5" w:rsidP="00CB7B26">
            <w:pPr>
              <w:pStyle w:val="a3"/>
              <w:spacing w:line="360" w:lineRule="auto"/>
              <w:jc w:val="both"/>
              <w:rPr>
                <w:rFonts w:cs="David"/>
                <w:rtl/>
              </w:rPr>
            </w:pPr>
            <w:r>
              <w:rPr>
                <w:rFonts w:cs="David" w:hint="cs"/>
                <w:rtl/>
              </w:rPr>
              <w:t>עדות חולה נפש צריכה לעבור מבחן משולש לעניין משקלה: מבחן ההתרשמות מהעד, מבחנה הפנימי של העדות ומבחנה של העדות עפ"י סימני אמת חיצוניים.</w:t>
            </w:r>
          </w:p>
          <w:p w:rsidR="00FB4CE5" w:rsidRDefault="00FB4CE5" w:rsidP="00CB7B26">
            <w:pPr>
              <w:pStyle w:val="a3"/>
              <w:spacing w:line="360" w:lineRule="auto"/>
              <w:jc w:val="both"/>
              <w:rPr>
                <w:rFonts w:cs="David"/>
                <w:rtl/>
              </w:rPr>
            </w:pPr>
            <w:r>
              <w:rPr>
                <w:rFonts w:cs="David" w:hint="cs"/>
                <w:rtl/>
              </w:rPr>
              <w:t xml:space="preserve">כשרותו של חולה נפש- מרכז הכובד עובר למבחן "כושר </w:t>
            </w:r>
            <w:proofErr w:type="spellStart"/>
            <w:r>
              <w:rPr>
                <w:rFonts w:cs="David" w:hint="cs"/>
                <w:rtl/>
              </w:rPr>
              <w:t>ההעדה</w:t>
            </w:r>
            <w:proofErr w:type="spellEnd"/>
            <w:r>
              <w:rPr>
                <w:rFonts w:cs="David" w:hint="cs"/>
                <w:rtl/>
              </w:rPr>
              <w:t xml:space="preserve">". </w:t>
            </w:r>
          </w:p>
          <w:p w:rsidR="00277DC4" w:rsidRDefault="00216636" w:rsidP="00CB7B26">
            <w:pPr>
              <w:pStyle w:val="a3"/>
              <w:spacing w:line="360" w:lineRule="auto"/>
              <w:jc w:val="both"/>
              <w:rPr>
                <w:rFonts w:cs="David"/>
                <w:rtl/>
              </w:rPr>
            </w:pPr>
            <w:r>
              <w:rPr>
                <w:rFonts w:cs="David" w:hint="cs"/>
                <w:rtl/>
              </w:rPr>
              <w:t>ס' 12 קובע מתי תיחשב</w:t>
            </w:r>
            <w:r w:rsidR="00277DC4">
              <w:rPr>
                <w:rFonts w:cs="David" w:hint="cs"/>
                <w:rtl/>
              </w:rPr>
              <w:t xml:space="preserve"> מסירת הודאה מסירה מרצון חופשי, הודאה אשר עמדה במבחן ס' 12, אפילו נמסרה ע"י חולה נפש, </w:t>
            </w:r>
            <w:proofErr w:type="spellStart"/>
            <w:r w:rsidR="00277DC4">
              <w:rPr>
                <w:rFonts w:cs="David" w:hint="cs"/>
                <w:rtl/>
              </w:rPr>
              <w:t>הריהי</w:t>
            </w:r>
            <w:proofErr w:type="spellEnd"/>
            <w:r w:rsidR="00277DC4">
              <w:rPr>
                <w:rFonts w:cs="David" w:hint="cs"/>
                <w:rtl/>
              </w:rPr>
              <w:t xml:space="preserve"> קבילה כראיה. התכלית של מניות קבלת הודאות שניתנו שלא מרצון חופשי במובן האמור הושגה. העובדה שחולה נפש מסר את ההודאה תמצא את ביטויה כשיבוא ביהמ"ש לשקול את מהימנותה, אך אין עילה שההודאה לא תיכלל בין הראיות שאותן יהיה על ביהמ"ש לשקול. </w:t>
            </w:r>
          </w:p>
        </w:tc>
      </w:tr>
      <w:tr w:rsidR="00FB50F6" w:rsidTr="00923E1D">
        <w:tc>
          <w:tcPr>
            <w:tcW w:w="1893" w:type="dxa"/>
          </w:tcPr>
          <w:p w:rsidR="00FB50F6" w:rsidRDefault="00FB50F6" w:rsidP="00CB7B26">
            <w:pPr>
              <w:pStyle w:val="a3"/>
              <w:spacing w:line="360" w:lineRule="auto"/>
              <w:jc w:val="both"/>
              <w:rPr>
                <w:rFonts w:cs="David" w:hint="cs"/>
                <w:rtl/>
              </w:rPr>
            </w:pPr>
            <w:r>
              <w:rPr>
                <w:rFonts w:cs="David" w:hint="cs"/>
                <w:rtl/>
              </w:rPr>
              <w:t>מועדי</w:t>
            </w:r>
          </w:p>
        </w:tc>
        <w:tc>
          <w:tcPr>
            <w:tcW w:w="2787" w:type="dxa"/>
          </w:tcPr>
          <w:p w:rsidR="00FB50F6" w:rsidRDefault="00FB50F6" w:rsidP="00CB7B26">
            <w:pPr>
              <w:pStyle w:val="a3"/>
              <w:spacing w:line="360" w:lineRule="auto"/>
              <w:jc w:val="both"/>
              <w:rPr>
                <w:rFonts w:cs="David" w:hint="cs"/>
                <w:rtl/>
              </w:rPr>
            </w:pPr>
            <w:r>
              <w:rPr>
                <w:rFonts w:cs="David" w:hint="cs"/>
                <w:rtl/>
              </w:rPr>
              <w:t xml:space="preserve">שלושת האחים הורשעו ברצח ח"כ </w:t>
            </w:r>
            <w:proofErr w:type="spellStart"/>
            <w:r>
              <w:rPr>
                <w:rFonts w:cs="David" w:hint="cs"/>
                <w:rtl/>
              </w:rPr>
              <w:t>שיך</w:t>
            </w:r>
            <w:proofErr w:type="spellEnd"/>
            <w:r>
              <w:rPr>
                <w:rFonts w:cs="David" w:hint="cs"/>
                <w:rtl/>
              </w:rPr>
              <w:t xml:space="preserve"> </w:t>
            </w:r>
            <w:proofErr w:type="spellStart"/>
            <w:r>
              <w:rPr>
                <w:rFonts w:cs="David" w:hint="cs"/>
                <w:rtl/>
              </w:rPr>
              <w:t>חמאד</w:t>
            </w:r>
            <w:proofErr w:type="spellEnd"/>
            <w:r>
              <w:rPr>
                <w:rFonts w:cs="David" w:hint="cs"/>
                <w:rtl/>
              </w:rPr>
              <w:t xml:space="preserve"> אבו רביע. </w:t>
            </w:r>
          </w:p>
        </w:tc>
        <w:tc>
          <w:tcPr>
            <w:tcW w:w="6805" w:type="dxa"/>
          </w:tcPr>
          <w:p w:rsidR="00FB50F6" w:rsidRDefault="00FB50F6" w:rsidP="00CB7B26">
            <w:pPr>
              <w:pStyle w:val="a3"/>
              <w:spacing w:line="360" w:lineRule="auto"/>
              <w:jc w:val="both"/>
              <w:rPr>
                <w:rFonts w:cs="David" w:hint="cs"/>
                <w:rtl/>
              </w:rPr>
            </w:pPr>
            <w:r>
              <w:rPr>
                <w:rFonts w:cs="David" w:hint="cs"/>
                <w:rtl/>
              </w:rPr>
              <w:t>גולדברג:</w:t>
            </w:r>
            <w:r w:rsidR="00D87DEC">
              <w:rPr>
                <w:rFonts w:cs="David" w:hint="cs"/>
                <w:rtl/>
              </w:rPr>
              <w:t xml:space="preserve"> </w:t>
            </w:r>
            <w:r>
              <w:rPr>
                <w:rFonts w:cs="David" w:hint="cs"/>
                <w:rtl/>
              </w:rPr>
              <w:t xml:space="preserve">במקרים בהם לא הושגה ההודאה בדרכים כה נפסדות ניתן להגיע לאיזון בבדיקה אם ישנה ראיה המוכיחה כי על אף האמצעי הפסול לא נשלל רצונו של הנחקר ולא נפגמה חופשיות הודאתו, כפי שהדבר נעשה במקרה של תחבולה ורמייה מצד החוקרים. במקרים של שימוש באמצעים פסולים, שאינם אמצעי לחץ קיצוניים שמטיבם יש בהם כדי לשבור את רוחו של הנחקר אין לפסול את ההודעה מיד מבלי בדיקה בפועל אם נשלל רצונו החופשי של הנאשם. במקרים כאלה על ביהמ"ש לשקול את כל נסיבות העניין ולהחליט, אם במקרה המסוים העומד לדיון ניתנה ההודאה מרצון חופשי על אף האמצעים הפסולים. </w:t>
            </w:r>
          </w:p>
          <w:p w:rsidR="00FB50F6" w:rsidRDefault="00FB50F6" w:rsidP="00CB7B26">
            <w:pPr>
              <w:pStyle w:val="a3"/>
              <w:spacing w:line="360" w:lineRule="auto"/>
              <w:jc w:val="both"/>
              <w:rPr>
                <w:rFonts w:cs="David" w:hint="cs"/>
                <w:rtl/>
              </w:rPr>
            </w:pPr>
            <w:r w:rsidRPr="00FB50F6">
              <w:rPr>
                <w:rFonts w:cs="David"/>
                <w:rtl/>
              </w:rPr>
              <w:lastRenderedPageBreak/>
              <w:t>השימוש על ידי המשטרה בתחבולה ואף בדרכי רמייה כדי להוציא הודאה מפי נאשם איננו פוסל הודאה. אין ניגוד בין שימוש בדרכי חקירה כאלה לבין הדרישה, שהודאה תינתן על-ידי</w:t>
            </w:r>
            <w:r w:rsidRPr="00FB50F6">
              <w:rPr>
                <w:rFonts w:cs="David"/>
              </w:rPr>
              <w:t xml:space="preserve"> </w:t>
            </w:r>
            <w:r w:rsidRPr="00FB50F6">
              <w:rPr>
                <w:rFonts w:cs="David"/>
                <w:rtl/>
              </w:rPr>
              <w:cr/>
            </w:r>
            <w:r w:rsidRPr="00FB50F6">
              <w:rPr>
                <w:rFonts w:cs="David"/>
                <w:rtl/>
              </w:rPr>
              <w:br w:type="page"/>
              <w:t>נאשם מרצונו החופשי. כל עוד החוקרים אינם עוברים את גבולות המותר, הם ממלאים</w:t>
            </w:r>
            <w:r w:rsidRPr="00FB50F6">
              <w:rPr>
                <w:rFonts w:cs="David"/>
              </w:rPr>
              <w:t xml:space="preserve"> </w:t>
            </w:r>
            <w:r w:rsidRPr="00FB50F6">
              <w:rPr>
                <w:rFonts w:cs="David"/>
                <w:rtl/>
              </w:rPr>
              <w:t>את חובתם לקידום החקירה</w:t>
            </w:r>
            <w:r>
              <w:rPr>
                <w:rFonts w:cs="David" w:hint="cs"/>
                <w:rtl/>
              </w:rPr>
              <w:t>.</w:t>
            </w:r>
          </w:p>
          <w:p w:rsidR="00FB50F6" w:rsidRDefault="00FB50F6" w:rsidP="00CB7B26">
            <w:pPr>
              <w:pStyle w:val="a3"/>
              <w:spacing w:line="360" w:lineRule="auto"/>
              <w:jc w:val="both"/>
              <w:rPr>
                <w:rFonts w:cs="David" w:hint="cs"/>
                <w:rtl/>
              </w:rPr>
            </w:pPr>
            <w:r>
              <w:rPr>
                <w:rFonts w:cs="David" w:hint="cs"/>
                <w:rtl/>
              </w:rPr>
              <w:t xml:space="preserve">אסור לחוקר לעשות כל דבר האסור עפ"י הדין, ובנוסף לכך אסור עליו לפעול בדרכי חקירה שמקוממות את רגש המוסר ושיש לראותן כבלתי הוגנות. לא ניתן להגדיר מה בחקירה ייחשב לבלתי הוגן ומנוגד למוסר, הדבר תלוי בנסיבות. </w:t>
            </w:r>
          </w:p>
          <w:p w:rsidR="00FB50F6" w:rsidRDefault="00FB50F6" w:rsidP="00CB7B26">
            <w:pPr>
              <w:pStyle w:val="a3"/>
              <w:spacing w:line="360" w:lineRule="auto"/>
              <w:jc w:val="both"/>
              <w:rPr>
                <w:rFonts w:cs="David" w:hint="cs"/>
                <w:rtl/>
              </w:rPr>
            </w:pPr>
            <w:r>
              <w:rPr>
                <w:rFonts w:cs="David" w:hint="cs"/>
                <w:rtl/>
              </w:rPr>
              <w:t xml:space="preserve">כאשר החוקר פעל כדין ולא בדרך  בלתי הוגנת ההודאה תהיה קבילה ועניין </w:t>
            </w:r>
            <w:proofErr w:type="spellStart"/>
            <w:r>
              <w:rPr>
                <w:rFonts w:cs="David" w:hint="cs"/>
                <w:rtl/>
              </w:rPr>
              <w:t>אמיתותה</w:t>
            </w:r>
            <w:proofErr w:type="spellEnd"/>
            <w:r>
              <w:rPr>
                <w:rFonts w:cs="David" w:hint="cs"/>
                <w:rtl/>
              </w:rPr>
              <w:t xml:space="preserve"> יהיה נושא לדיון כטענה נגד משקלה.</w:t>
            </w:r>
          </w:p>
          <w:p w:rsidR="00FB50F6" w:rsidRDefault="00FB50F6" w:rsidP="00CB7B26">
            <w:pPr>
              <w:pStyle w:val="a3"/>
              <w:spacing w:line="360" w:lineRule="auto"/>
              <w:jc w:val="both"/>
              <w:rPr>
                <w:rFonts w:cs="David" w:hint="cs"/>
                <w:rtl/>
              </w:rPr>
            </w:pPr>
            <w:r>
              <w:rPr>
                <w:rFonts w:cs="David" w:hint="cs"/>
                <w:rtl/>
              </w:rPr>
              <w:t>כהן:</w:t>
            </w:r>
            <w:r w:rsidR="00612A8C">
              <w:rPr>
                <w:rFonts w:cs="David" w:hint="cs"/>
                <w:rtl/>
              </w:rPr>
              <w:t xml:space="preserve"> גם במקרים של שימוש באמצעי לחץ חיצוניים אין לשלול בדיקה אם האמצעים הפסולים השפיעו בפועל על הנחקר. </w:t>
            </w:r>
          </w:p>
          <w:p w:rsidR="00612A8C" w:rsidRPr="00612A8C" w:rsidRDefault="00612A8C" w:rsidP="00CB7B26">
            <w:pPr>
              <w:pStyle w:val="a3"/>
              <w:spacing w:line="360" w:lineRule="auto"/>
              <w:jc w:val="both"/>
              <w:rPr>
                <w:rFonts w:cs="David"/>
                <w:rtl/>
              </w:rPr>
            </w:pPr>
            <w:r w:rsidRPr="00612A8C">
              <w:rPr>
                <w:rFonts w:cs="David"/>
                <w:rtl/>
              </w:rPr>
              <w:t>אם מתברר, שאמצעי הלחץ, יהיו אשר יהיו, לא השפיעו על הנחקר, אין להגיד שההודאה ניתנה כתוצאה משימוש באמצעים פסולים. עם זאת, בכל מקרה בו לא הצליחה התביעה להוכיח מעל לספק סביר, שההודאה ניתנה על ידי הנחקר מרצונו החופשי, חייב בית המשפט לפסול את ההודאה, גם אם אין לו ספק, שהדברים שאמר הנחקר הם אמת.</w:t>
            </w:r>
          </w:p>
          <w:p w:rsidR="00612A8C" w:rsidRDefault="00612A8C" w:rsidP="00CB7B26">
            <w:pPr>
              <w:pStyle w:val="a3"/>
              <w:spacing w:line="360" w:lineRule="auto"/>
              <w:jc w:val="both"/>
              <w:rPr>
                <w:rFonts w:cs="David" w:hint="cs"/>
                <w:rtl/>
              </w:rPr>
            </w:pPr>
            <w:r>
              <w:rPr>
                <w:rFonts w:cs="David" w:hint="cs"/>
                <w:rtl/>
              </w:rPr>
              <w:t xml:space="preserve">אלון: </w:t>
            </w:r>
            <w:r w:rsidRPr="00612A8C">
              <w:rPr>
                <w:rFonts w:cs="David"/>
                <w:rtl/>
              </w:rPr>
              <w:t>כאשר הודיית הנאשם ניתנה כתוצאה מנקיטת אמצעים פסולים, קיימת הנחה, שההודיה לא ניתנה מרצונו החופשי של הנאשם. אך זוהי חזקה, הניתנת, כדרכה של חזקה, לסתירה</w:t>
            </w:r>
            <w:r w:rsidRPr="00612A8C">
              <w:rPr>
                <w:rFonts w:cs="David"/>
              </w:rPr>
              <w:t>.</w:t>
            </w:r>
            <w:r>
              <w:rPr>
                <w:rFonts w:cs="David" w:hint="cs"/>
                <w:rtl/>
              </w:rPr>
              <w:t xml:space="preserve"> </w:t>
            </w:r>
            <w:r w:rsidRPr="00612A8C">
              <w:rPr>
                <w:rFonts w:cs="David"/>
                <w:rtl/>
              </w:rPr>
              <w:t>רשאי בית המשפט, אם נראה לו מן הדרוש ומן הנכון</w:t>
            </w:r>
            <w:r w:rsidRPr="00612A8C">
              <w:rPr>
                <w:rFonts w:cs="David"/>
              </w:rPr>
              <w:t xml:space="preserve">, </w:t>
            </w:r>
            <w:r w:rsidRPr="00612A8C">
              <w:rPr>
                <w:rFonts w:cs="David"/>
                <w:rtl/>
              </w:rPr>
              <w:t>לקרוא את האמור</w:t>
            </w:r>
            <w:r w:rsidRPr="00612A8C">
              <w:rPr>
                <w:rFonts w:cs="David"/>
              </w:rPr>
              <w:t xml:space="preserve"> </w:t>
            </w:r>
            <w:r w:rsidRPr="00612A8C">
              <w:rPr>
                <w:rFonts w:cs="David"/>
                <w:rtl/>
              </w:rPr>
              <w:t>בהודיה כדי להכריע, אם היא ניתנה מרצונו החופשי של הנאשם</w:t>
            </w:r>
            <w:r w:rsidRPr="00612A8C">
              <w:rPr>
                <w:rFonts w:cs="David"/>
              </w:rPr>
              <w:t>.</w:t>
            </w:r>
          </w:p>
          <w:p w:rsidR="00612A8C" w:rsidRDefault="00612A8C" w:rsidP="00CB7B26">
            <w:pPr>
              <w:pStyle w:val="a3"/>
              <w:spacing w:line="360" w:lineRule="auto"/>
              <w:jc w:val="both"/>
              <w:rPr>
                <w:rFonts w:cs="David" w:hint="cs"/>
                <w:rtl/>
              </w:rPr>
            </w:pPr>
            <w:r w:rsidRPr="00612A8C">
              <w:rPr>
                <w:rFonts w:cs="David"/>
                <w:rtl/>
              </w:rPr>
              <w:t>אם נותק הקשר הסיבתי בין האמצעים הפסולים לבין ההודאה שנתן הנחקר, אין ההודאה פסולה, ולא תעמוד לנאשם הטענה, שהוא נתן הודאה, או הודאות נוספות, מאחר שהיה סבור, שכבר נגרם לו נזק שלא ניתן לתקנ</w:t>
            </w:r>
            <w:r w:rsidR="00B80716">
              <w:rPr>
                <w:rFonts w:cs="David"/>
                <w:rtl/>
              </w:rPr>
              <w:t>ו על-ידי ההודאה הראשונה הפסולה.</w:t>
            </w:r>
          </w:p>
          <w:p w:rsidR="00CB7B26" w:rsidRDefault="00CB7B26" w:rsidP="00CB7B26">
            <w:pPr>
              <w:pStyle w:val="a3"/>
              <w:spacing w:line="360" w:lineRule="auto"/>
              <w:jc w:val="both"/>
              <w:rPr>
                <w:rFonts w:cs="David" w:hint="cs"/>
                <w:rtl/>
              </w:rPr>
            </w:pPr>
            <w:r>
              <w:rPr>
                <w:rFonts w:cs="David" w:hint="cs"/>
                <w:rtl/>
              </w:rPr>
              <w:t xml:space="preserve">הלכה: יש לבחון בכל מקרה לגופו אם האמצעי שננקט שלל את חופשיות הרצון של מוסר ההודאה. </w:t>
            </w:r>
          </w:p>
        </w:tc>
      </w:tr>
      <w:tr w:rsidR="00B80716" w:rsidTr="00923E1D">
        <w:tc>
          <w:tcPr>
            <w:tcW w:w="1893" w:type="dxa"/>
          </w:tcPr>
          <w:p w:rsidR="00B80716" w:rsidRDefault="00B80716" w:rsidP="00CB7B26">
            <w:pPr>
              <w:pStyle w:val="a3"/>
              <w:spacing w:line="360" w:lineRule="auto"/>
              <w:jc w:val="both"/>
              <w:rPr>
                <w:rFonts w:cs="David" w:hint="cs"/>
                <w:rtl/>
              </w:rPr>
            </w:pPr>
            <w:r>
              <w:rPr>
                <w:rFonts w:cs="David" w:hint="cs"/>
                <w:rtl/>
              </w:rPr>
              <w:lastRenderedPageBreak/>
              <w:t>קייס</w:t>
            </w:r>
          </w:p>
        </w:tc>
        <w:tc>
          <w:tcPr>
            <w:tcW w:w="2787" w:type="dxa"/>
          </w:tcPr>
          <w:p w:rsidR="00B80716" w:rsidRDefault="00B80716" w:rsidP="00CB7B26">
            <w:pPr>
              <w:pStyle w:val="a3"/>
              <w:spacing w:line="360" w:lineRule="auto"/>
              <w:jc w:val="both"/>
              <w:rPr>
                <w:rFonts w:cs="David" w:hint="cs"/>
                <w:rtl/>
              </w:rPr>
            </w:pPr>
          </w:p>
        </w:tc>
        <w:tc>
          <w:tcPr>
            <w:tcW w:w="6805" w:type="dxa"/>
          </w:tcPr>
          <w:p w:rsidR="00B80716" w:rsidRDefault="00B80716" w:rsidP="00CB7B26">
            <w:pPr>
              <w:pStyle w:val="a3"/>
              <w:spacing w:line="360" w:lineRule="auto"/>
              <w:jc w:val="both"/>
              <w:rPr>
                <w:rFonts w:cs="David" w:hint="cs"/>
                <w:rtl/>
              </w:rPr>
            </w:pPr>
            <w:r>
              <w:rPr>
                <w:rFonts w:cs="David" w:hint="cs"/>
                <w:rtl/>
              </w:rPr>
              <w:t xml:space="preserve">הודיה-גישה מרחיבה. כל אמרה של נאשם מחוץ לכותלי ביהמ"ש שהיא נוגעת לעניין ויש לה, לכאורה, משקל ראייתי להוכחת האשמה, באה בגדר "הודיה". הודיה לפי ס' 12 צריכה להיעשות בדרך של התבטאות, לרבות התבטאות בתנועות ובסימנים. ההודיה לא חייבת להיות מפורשת והיא עשויה להשתמע גם מכללא. </w:t>
            </w:r>
          </w:p>
          <w:p w:rsidR="00CB7B26" w:rsidRDefault="00CB7B26" w:rsidP="00CB7B26">
            <w:pPr>
              <w:pStyle w:val="a3"/>
              <w:spacing w:line="360" w:lineRule="auto"/>
              <w:jc w:val="both"/>
              <w:rPr>
                <w:rFonts w:cs="David" w:hint="cs"/>
                <w:rtl/>
              </w:rPr>
            </w:pPr>
            <w:r>
              <w:rPr>
                <w:rFonts w:cs="David" w:hint="cs"/>
                <w:rtl/>
              </w:rPr>
              <w:t>ניתן לברר אם בדעת הנאשם להסכים להצגת הודייתו או שהוא מתנגד לכך, התנגדות אשר עשויה לחייב קיומו של משפט זוטא. בהקשר זה, דין היעדר התנגדות אינו כדין הסכמה ולא היה בכך כדי למנוע בעדו להעלות התנגדותו ולדרוש לקיים משפט זוטא בשלב מאוחר יותר, כאשר ההגנה ביקשה להציג את ההודיה כראיה.</w:t>
            </w:r>
          </w:p>
          <w:p w:rsidR="00CB7B26" w:rsidRDefault="00CB7B26" w:rsidP="00CB7B26">
            <w:pPr>
              <w:pStyle w:val="a3"/>
              <w:spacing w:line="360" w:lineRule="auto"/>
              <w:jc w:val="both"/>
              <w:rPr>
                <w:rFonts w:cs="David" w:hint="cs"/>
                <w:rtl/>
              </w:rPr>
            </w:pPr>
            <w:r>
              <w:rPr>
                <w:rFonts w:cs="David" w:hint="cs"/>
                <w:rtl/>
              </w:rPr>
              <w:t>משפט זוטא- דיון מקדמי כאשר ישנה התנגדות לקבילותה של הודיה.</w:t>
            </w:r>
          </w:p>
          <w:p w:rsidR="00CB7B26" w:rsidRDefault="00CB7B26" w:rsidP="00CB7B26">
            <w:pPr>
              <w:pStyle w:val="a3"/>
              <w:spacing w:line="360" w:lineRule="auto"/>
              <w:jc w:val="both"/>
              <w:rPr>
                <w:rFonts w:cs="David" w:hint="cs"/>
                <w:rtl/>
              </w:rPr>
            </w:pPr>
            <w:r w:rsidRPr="00CB7B26">
              <w:rPr>
                <w:rFonts w:cs="David" w:hint="cs"/>
                <w:rtl/>
              </w:rPr>
              <w:t xml:space="preserve">ההלכה היא שקבלת הודיה כראיה ללא קיום משפט זוטא אף שהוצגה התנגדות לקבילותה, אינה מביאה לפסילת ההודיה באופן אוטומטי. אם בית-המשפט שלערעור ימצא כי בנסיבות העניין לא נגרם לנאשם עוול בשל אי-קיום משפט </w:t>
            </w:r>
            <w:proofErr w:type="spellStart"/>
            <w:r w:rsidRPr="00CB7B26">
              <w:rPr>
                <w:rFonts w:cs="David" w:hint="cs"/>
                <w:rtl/>
              </w:rPr>
              <w:t>הזוטא</w:t>
            </w:r>
            <w:proofErr w:type="spellEnd"/>
            <w:r w:rsidRPr="00CB7B26">
              <w:rPr>
                <w:rFonts w:cs="David" w:hint="cs"/>
                <w:rtl/>
              </w:rPr>
              <w:t>, והגנתו לא קופחה, ההודיה לא תיפסל</w:t>
            </w:r>
            <w:r>
              <w:rPr>
                <w:rFonts w:cs="David" w:hint="cs"/>
                <w:rtl/>
              </w:rPr>
              <w:t>.</w:t>
            </w:r>
          </w:p>
        </w:tc>
      </w:tr>
      <w:tr w:rsidR="0061633D" w:rsidTr="00923E1D">
        <w:tc>
          <w:tcPr>
            <w:tcW w:w="1893" w:type="dxa"/>
          </w:tcPr>
          <w:p w:rsidR="0061633D" w:rsidRDefault="0061633D" w:rsidP="00CB7B26">
            <w:pPr>
              <w:pStyle w:val="a3"/>
              <w:spacing w:line="360" w:lineRule="auto"/>
              <w:jc w:val="both"/>
              <w:rPr>
                <w:rFonts w:cs="David" w:hint="cs"/>
                <w:rtl/>
              </w:rPr>
            </w:pPr>
            <w:proofErr w:type="spellStart"/>
            <w:r>
              <w:rPr>
                <w:rFonts w:cs="David" w:hint="cs"/>
                <w:rtl/>
              </w:rPr>
              <w:t>מילשטיין</w:t>
            </w:r>
            <w:proofErr w:type="spellEnd"/>
          </w:p>
        </w:tc>
        <w:tc>
          <w:tcPr>
            <w:tcW w:w="2787" w:type="dxa"/>
          </w:tcPr>
          <w:p w:rsidR="0061633D" w:rsidRDefault="0061633D" w:rsidP="00CB7B26">
            <w:pPr>
              <w:pStyle w:val="a3"/>
              <w:spacing w:line="360" w:lineRule="auto"/>
              <w:jc w:val="both"/>
              <w:rPr>
                <w:rFonts w:cs="David" w:hint="cs"/>
                <w:rtl/>
              </w:rPr>
            </w:pPr>
          </w:p>
        </w:tc>
        <w:tc>
          <w:tcPr>
            <w:tcW w:w="6805" w:type="dxa"/>
          </w:tcPr>
          <w:p w:rsidR="0061633D" w:rsidRDefault="0061633D" w:rsidP="0061633D">
            <w:pPr>
              <w:pStyle w:val="a3"/>
              <w:spacing w:line="360" w:lineRule="auto"/>
              <w:jc w:val="both"/>
              <w:rPr>
                <w:rFonts w:cs="David" w:hint="cs"/>
                <w:rtl/>
              </w:rPr>
            </w:pPr>
            <w:r>
              <w:rPr>
                <w:rFonts w:cs="David" w:hint="cs"/>
                <w:rtl/>
              </w:rPr>
              <w:t xml:space="preserve">ניתן לראות בס' 162 </w:t>
            </w:r>
            <w:proofErr w:type="spellStart"/>
            <w:r>
              <w:rPr>
                <w:rFonts w:cs="David" w:hint="cs"/>
                <w:rtl/>
              </w:rPr>
              <w:t>לחסד"פ</w:t>
            </w:r>
            <w:proofErr w:type="spellEnd"/>
            <w:r>
              <w:rPr>
                <w:rFonts w:cs="David" w:hint="cs"/>
                <w:rtl/>
              </w:rPr>
              <w:t xml:space="preserve"> מקור חוקי לראות בשתיקת הנאשם במשפטו "דבר מה </w:t>
            </w:r>
            <w:r>
              <w:rPr>
                <w:rFonts w:cs="David" w:hint="cs"/>
                <w:rtl/>
              </w:rPr>
              <w:lastRenderedPageBreak/>
              <w:t xml:space="preserve">נוסף" להודאה שמסר מחוץ לכותלי ביהמ"ש. יחד עם זאת, משיקולי מדיניות משפטית, ראוי שעל דרך הכלל, שתיקתו של נאשם במשפטו לא תהווה "דבר מה נוסף, להודאה שמסר בחקירתו אלא במקרים חריגים. אולם בניגוד לעמדת השופט לוי הסבור כי החריג יחול רק לגבי חקירות שתועדו בהקלטת וידיאו, יש להותיר לביהמ"ש מתחם רחב יותר של </w:t>
            </w:r>
            <w:proofErr w:type="spellStart"/>
            <w:r>
              <w:rPr>
                <w:rFonts w:cs="David" w:hint="cs"/>
                <w:rtl/>
              </w:rPr>
              <w:t>שק"ד</w:t>
            </w:r>
            <w:proofErr w:type="spellEnd"/>
            <w:r>
              <w:rPr>
                <w:rFonts w:cs="David" w:hint="cs"/>
                <w:rtl/>
              </w:rPr>
              <w:t>, תוך קביעת אמות מידה באשר לאופן המרוסן והזהיר שבו יש להפעילו:</w:t>
            </w:r>
          </w:p>
          <w:p w:rsidR="0061633D" w:rsidRDefault="0061633D" w:rsidP="0061633D">
            <w:pPr>
              <w:pStyle w:val="a3"/>
              <w:spacing w:line="360" w:lineRule="auto"/>
              <w:jc w:val="both"/>
              <w:rPr>
                <w:rFonts w:cs="David" w:hint="cs"/>
                <w:rtl/>
              </w:rPr>
            </w:pPr>
            <w:bookmarkStart w:id="2" w:name="_GoBack"/>
            <w:r w:rsidRPr="0061633D">
              <w:rPr>
                <w:rFonts w:cs="David" w:hint="cs"/>
                <w:rtl/>
              </w:rPr>
              <w:t>ראשית</w:t>
            </w:r>
            <w:r w:rsidRPr="0061633D">
              <w:rPr>
                <w:rFonts w:cs="David"/>
                <w:rtl/>
              </w:rPr>
              <w:t xml:space="preserve">, </w:t>
            </w:r>
            <w:r w:rsidRPr="0061633D">
              <w:rPr>
                <w:rFonts w:cs="David" w:hint="cs"/>
                <w:rtl/>
              </w:rPr>
              <w:t>על</w:t>
            </w:r>
            <w:r w:rsidRPr="0061633D">
              <w:rPr>
                <w:rFonts w:cs="David"/>
                <w:rtl/>
              </w:rPr>
              <w:t xml:space="preserve"> </w:t>
            </w:r>
            <w:r w:rsidRPr="0061633D">
              <w:rPr>
                <w:rFonts w:cs="David" w:hint="cs"/>
                <w:rtl/>
              </w:rPr>
              <w:t>ההודאה</w:t>
            </w:r>
            <w:r w:rsidRPr="0061633D">
              <w:rPr>
                <w:rFonts w:cs="David"/>
                <w:rtl/>
              </w:rPr>
              <w:t xml:space="preserve"> </w:t>
            </w:r>
            <w:r w:rsidRPr="0061633D">
              <w:rPr>
                <w:rFonts w:cs="David" w:hint="cs"/>
                <w:rtl/>
              </w:rPr>
              <w:t>עצמה</w:t>
            </w:r>
            <w:r w:rsidRPr="0061633D">
              <w:rPr>
                <w:rFonts w:cs="David"/>
                <w:rtl/>
              </w:rPr>
              <w:t xml:space="preserve"> </w:t>
            </w:r>
            <w:r w:rsidRPr="0061633D">
              <w:rPr>
                <w:rFonts w:cs="David" w:hint="cs"/>
                <w:rtl/>
              </w:rPr>
              <w:t>להיות</w:t>
            </w:r>
            <w:r w:rsidRPr="0061633D">
              <w:rPr>
                <w:rFonts w:cs="David"/>
                <w:rtl/>
              </w:rPr>
              <w:t xml:space="preserve"> </w:t>
            </w:r>
            <w:r w:rsidRPr="0061633D">
              <w:rPr>
                <w:rFonts w:cs="David" w:hint="cs"/>
                <w:rtl/>
              </w:rPr>
              <w:t>בעלת</w:t>
            </w:r>
            <w:r w:rsidRPr="0061633D">
              <w:rPr>
                <w:rFonts w:cs="David"/>
                <w:rtl/>
              </w:rPr>
              <w:t xml:space="preserve"> </w:t>
            </w:r>
            <w:r w:rsidRPr="0061633D">
              <w:rPr>
                <w:rFonts w:cs="David" w:hint="cs"/>
                <w:rtl/>
              </w:rPr>
              <w:t>משקל</w:t>
            </w:r>
            <w:r w:rsidRPr="0061633D">
              <w:rPr>
                <w:rFonts w:cs="David"/>
                <w:rtl/>
              </w:rPr>
              <w:t xml:space="preserve"> </w:t>
            </w:r>
            <w:r w:rsidRPr="0061633D">
              <w:rPr>
                <w:rFonts w:cs="David" w:hint="cs"/>
                <w:rtl/>
              </w:rPr>
              <w:t>פנימי</w:t>
            </w:r>
            <w:r w:rsidRPr="0061633D">
              <w:rPr>
                <w:rFonts w:cs="David"/>
                <w:rtl/>
              </w:rPr>
              <w:t xml:space="preserve"> </w:t>
            </w:r>
            <w:r w:rsidRPr="0061633D">
              <w:rPr>
                <w:rFonts w:cs="David" w:hint="cs"/>
                <w:rtl/>
              </w:rPr>
              <w:t>גבוה</w:t>
            </w:r>
            <w:r w:rsidRPr="0061633D">
              <w:rPr>
                <w:rFonts w:cs="David"/>
                <w:rtl/>
              </w:rPr>
              <w:t xml:space="preserve"> </w:t>
            </w:r>
            <w:r w:rsidRPr="0061633D">
              <w:rPr>
                <w:rFonts w:cs="David" w:hint="cs"/>
                <w:rtl/>
              </w:rPr>
              <w:t>במיוחד</w:t>
            </w:r>
            <w:r w:rsidRPr="0061633D">
              <w:rPr>
                <w:rFonts w:cs="David"/>
                <w:rtl/>
              </w:rPr>
              <w:t xml:space="preserve">, </w:t>
            </w:r>
            <w:r w:rsidRPr="0061633D">
              <w:rPr>
                <w:rFonts w:cs="David" w:hint="cs"/>
                <w:rtl/>
              </w:rPr>
              <w:t>באופן</w:t>
            </w:r>
            <w:r w:rsidRPr="0061633D">
              <w:rPr>
                <w:rFonts w:cs="David"/>
                <w:rtl/>
              </w:rPr>
              <w:t xml:space="preserve"> </w:t>
            </w:r>
            <w:r w:rsidRPr="0061633D">
              <w:rPr>
                <w:rFonts w:cs="David" w:hint="cs"/>
                <w:rtl/>
              </w:rPr>
              <w:t>ששכנע</w:t>
            </w:r>
            <w:r w:rsidRPr="0061633D">
              <w:rPr>
                <w:rFonts w:cs="David"/>
                <w:rtl/>
              </w:rPr>
              <w:t xml:space="preserve"> </w:t>
            </w:r>
            <w:r w:rsidRPr="0061633D">
              <w:rPr>
                <w:rFonts w:cs="David" w:hint="cs"/>
                <w:rtl/>
              </w:rPr>
              <w:t>את</w:t>
            </w:r>
            <w:r w:rsidRPr="0061633D">
              <w:rPr>
                <w:rFonts w:cs="David"/>
                <w:rtl/>
              </w:rPr>
              <w:t xml:space="preserve"> </w:t>
            </w:r>
            <w:r w:rsidRPr="0061633D">
              <w:rPr>
                <w:rFonts w:cs="David" w:hint="cs"/>
                <w:rtl/>
              </w:rPr>
              <w:t>בית</w:t>
            </w:r>
            <w:r w:rsidRPr="0061633D">
              <w:rPr>
                <w:rFonts w:cs="David"/>
                <w:rtl/>
              </w:rPr>
              <w:t>-</w:t>
            </w:r>
            <w:r w:rsidRPr="0061633D">
              <w:rPr>
                <w:rFonts w:cs="David" w:hint="cs"/>
                <w:rtl/>
              </w:rPr>
              <w:t>המשפט</w:t>
            </w:r>
            <w:r w:rsidRPr="0061633D">
              <w:rPr>
                <w:rFonts w:cs="David"/>
                <w:rtl/>
              </w:rPr>
              <w:t xml:space="preserve"> </w:t>
            </w:r>
            <w:r w:rsidRPr="0061633D">
              <w:rPr>
                <w:rFonts w:cs="David" w:hint="cs"/>
                <w:rtl/>
              </w:rPr>
              <w:t>כי</w:t>
            </w:r>
            <w:r w:rsidRPr="0061633D">
              <w:rPr>
                <w:rFonts w:cs="David"/>
                <w:rtl/>
              </w:rPr>
              <w:t xml:space="preserve"> </w:t>
            </w:r>
            <w:r w:rsidRPr="0061633D">
              <w:rPr>
                <w:rFonts w:cs="David" w:hint="cs"/>
                <w:rtl/>
              </w:rPr>
              <w:t>מדובר</w:t>
            </w:r>
            <w:r w:rsidRPr="0061633D">
              <w:rPr>
                <w:rFonts w:cs="David"/>
                <w:rtl/>
              </w:rPr>
              <w:t xml:space="preserve"> </w:t>
            </w:r>
            <w:r w:rsidRPr="0061633D">
              <w:rPr>
                <w:rFonts w:cs="David" w:hint="cs"/>
                <w:rtl/>
              </w:rPr>
              <w:t>ב</w:t>
            </w:r>
            <w:r w:rsidRPr="0061633D">
              <w:rPr>
                <w:rFonts w:cs="David"/>
                <w:rtl/>
              </w:rPr>
              <w:t>"</w:t>
            </w:r>
            <w:r w:rsidRPr="0061633D">
              <w:rPr>
                <w:rFonts w:cs="David" w:hint="cs"/>
                <w:rtl/>
              </w:rPr>
              <w:t>הודאה</w:t>
            </w:r>
            <w:r w:rsidRPr="0061633D">
              <w:rPr>
                <w:rFonts w:cs="David"/>
                <w:rtl/>
              </w:rPr>
              <w:t xml:space="preserve"> </w:t>
            </w:r>
            <w:r w:rsidRPr="0061633D">
              <w:rPr>
                <w:rFonts w:cs="David" w:hint="cs"/>
                <w:rtl/>
              </w:rPr>
              <w:t>העומדת</w:t>
            </w:r>
            <w:r w:rsidRPr="0061633D">
              <w:rPr>
                <w:rFonts w:cs="David"/>
                <w:rtl/>
              </w:rPr>
              <w:t xml:space="preserve"> </w:t>
            </w:r>
            <w:r w:rsidRPr="0061633D">
              <w:rPr>
                <w:rFonts w:cs="David" w:hint="cs"/>
                <w:rtl/>
              </w:rPr>
              <w:t>בפני</w:t>
            </w:r>
            <w:r w:rsidRPr="0061633D">
              <w:rPr>
                <w:rFonts w:cs="David"/>
                <w:rtl/>
              </w:rPr>
              <w:t xml:space="preserve"> </w:t>
            </w:r>
            <w:r w:rsidRPr="0061633D">
              <w:rPr>
                <w:rFonts w:cs="David" w:hint="cs"/>
                <w:rtl/>
              </w:rPr>
              <w:t>עצמה</w:t>
            </w:r>
            <w:r w:rsidRPr="0061633D">
              <w:rPr>
                <w:rFonts w:cs="David"/>
                <w:rtl/>
              </w:rPr>
              <w:t xml:space="preserve"> </w:t>
            </w:r>
            <w:r w:rsidRPr="0061633D">
              <w:rPr>
                <w:rFonts w:cs="David" w:hint="cs"/>
                <w:rtl/>
              </w:rPr>
              <w:t>לאור</w:t>
            </w:r>
            <w:r w:rsidRPr="0061633D">
              <w:rPr>
                <w:rFonts w:cs="David"/>
                <w:rtl/>
              </w:rPr>
              <w:t xml:space="preserve"> </w:t>
            </w:r>
            <w:r w:rsidRPr="0061633D">
              <w:rPr>
                <w:rFonts w:cs="David" w:hint="cs"/>
                <w:rtl/>
              </w:rPr>
              <w:t>משקלה</w:t>
            </w:r>
            <w:r w:rsidRPr="0061633D">
              <w:rPr>
                <w:rFonts w:cs="David"/>
                <w:rtl/>
              </w:rPr>
              <w:t xml:space="preserve"> </w:t>
            </w:r>
            <w:r w:rsidRPr="0061633D">
              <w:rPr>
                <w:rFonts w:cs="David" w:hint="cs"/>
                <w:rtl/>
              </w:rPr>
              <w:t>העצמי</w:t>
            </w:r>
            <w:r w:rsidRPr="0061633D">
              <w:rPr>
                <w:rFonts w:cs="David"/>
                <w:rtl/>
              </w:rPr>
              <w:t xml:space="preserve">". </w:t>
            </w:r>
            <w:r w:rsidRPr="0061633D">
              <w:rPr>
                <w:rFonts w:cs="David" w:hint="cs"/>
                <w:rtl/>
              </w:rPr>
              <w:t>שנית</w:t>
            </w:r>
            <w:r w:rsidRPr="0061633D">
              <w:rPr>
                <w:rFonts w:cs="David"/>
                <w:rtl/>
              </w:rPr>
              <w:t xml:space="preserve">, </w:t>
            </w:r>
            <w:r w:rsidRPr="0061633D">
              <w:rPr>
                <w:rFonts w:cs="David" w:hint="cs"/>
                <w:rtl/>
              </w:rPr>
              <w:t>מידת</w:t>
            </w:r>
            <w:r w:rsidRPr="0061633D">
              <w:rPr>
                <w:rFonts w:cs="David"/>
                <w:rtl/>
              </w:rPr>
              <w:t xml:space="preserve"> </w:t>
            </w:r>
            <w:r w:rsidRPr="0061633D">
              <w:rPr>
                <w:rFonts w:cs="David" w:hint="cs"/>
                <w:rtl/>
              </w:rPr>
              <w:t>יכולתו</w:t>
            </w:r>
            <w:r w:rsidRPr="0061633D">
              <w:rPr>
                <w:rFonts w:cs="David"/>
                <w:rtl/>
              </w:rPr>
              <w:t xml:space="preserve"> </w:t>
            </w:r>
            <w:r w:rsidRPr="0061633D">
              <w:rPr>
                <w:rFonts w:cs="David" w:hint="cs"/>
                <w:rtl/>
              </w:rPr>
              <w:t>של</w:t>
            </w:r>
            <w:r w:rsidRPr="0061633D">
              <w:rPr>
                <w:rFonts w:cs="David"/>
                <w:rtl/>
              </w:rPr>
              <w:t xml:space="preserve"> </w:t>
            </w:r>
            <w:r w:rsidRPr="0061633D">
              <w:rPr>
                <w:rFonts w:cs="David" w:hint="cs"/>
                <w:rtl/>
              </w:rPr>
              <w:t>בית</w:t>
            </w:r>
            <w:r w:rsidRPr="0061633D">
              <w:rPr>
                <w:rFonts w:cs="David"/>
                <w:rtl/>
              </w:rPr>
              <w:t>-</w:t>
            </w:r>
            <w:r w:rsidRPr="0061633D">
              <w:rPr>
                <w:rFonts w:cs="David" w:hint="cs"/>
                <w:rtl/>
              </w:rPr>
              <w:t>המשפט</w:t>
            </w:r>
            <w:r w:rsidRPr="0061633D">
              <w:rPr>
                <w:rFonts w:cs="David"/>
                <w:rtl/>
              </w:rPr>
              <w:t xml:space="preserve">, </w:t>
            </w:r>
            <w:r w:rsidRPr="0061633D">
              <w:rPr>
                <w:rFonts w:cs="David" w:hint="cs"/>
                <w:rtl/>
              </w:rPr>
              <w:t>על</w:t>
            </w:r>
            <w:r w:rsidRPr="0061633D">
              <w:rPr>
                <w:rFonts w:cs="David"/>
                <w:rtl/>
              </w:rPr>
              <w:t xml:space="preserve"> </w:t>
            </w:r>
            <w:r w:rsidRPr="0061633D">
              <w:rPr>
                <w:rFonts w:cs="David" w:hint="cs"/>
                <w:rtl/>
              </w:rPr>
              <w:t>סמך</w:t>
            </w:r>
            <w:r w:rsidRPr="0061633D">
              <w:rPr>
                <w:rFonts w:cs="David"/>
                <w:rtl/>
              </w:rPr>
              <w:t xml:space="preserve"> </w:t>
            </w:r>
            <w:r w:rsidRPr="0061633D">
              <w:rPr>
                <w:rFonts w:cs="David" w:hint="cs"/>
                <w:rtl/>
              </w:rPr>
              <w:t>מכלול</w:t>
            </w:r>
            <w:r w:rsidRPr="0061633D">
              <w:rPr>
                <w:rFonts w:cs="David"/>
                <w:rtl/>
              </w:rPr>
              <w:t xml:space="preserve"> </w:t>
            </w:r>
            <w:r w:rsidRPr="0061633D">
              <w:rPr>
                <w:rFonts w:cs="David" w:hint="cs"/>
                <w:rtl/>
              </w:rPr>
              <w:t>נסיבות</w:t>
            </w:r>
            <w:r w:rsidRPr="0061633D">
              <w:rPr>
                <w:rFonts w:cs="David"/>
                <w:rtl/>
              </w:rPr>
              <w:t xml:space="preserve"> </w:t>
            </w:r>
            <w:r w:rsidRPr="0061633D">
              <w:rPr>
                <w:rFonts w:cs="David" w:hint="cs"/>
                <w:rtl/>
              </w:rPr>
              <w:t>החיצוניות</w:t>
            </w:r>
            <w:r w:rsidRPr="0061633D">
              <w:rPr>
                <w:rFonts w:cs="David"/>
                <w:rtl/>
              </w:rPr>
              <w:t xml:space="preserve"> </w:t>
            </w:r>
            <w:r w:rsidRPr="0061633D">
              <w:rPr>
                <w:rFonts w:cs="David" w:hint="cs"/>
                <w:rtl/>
              </w:rPr>
              <w:t>להודאה</w:t>
            </w:r>
            <w:r w:rsidRPr="0061633D">
              <w:rPr>
                <w:rFonts w:cs="David"/>
                <w:rtl/>
              </w:rPr>
              <w:t xml:space="preserve">, </w:t>
            </w:r>
            <w:r w:rsidRPr="0061633D">
              <w:rPr>
                <w:rFonts w:cs="David" w:hint="cs"/>
                <w:rtl/>
              </w:rPr>
              <w:t>לשלול</w:t>
            </w:r>
            <w:r w:rsidRPr="0061633D">
              <w:rPr>
                <w:rFonts w:cs="David"/>
                <w:rtl/>
              </w:rPr>
              <w:t xml:space="preserve"> - </w:t>
            </w:r>
            <w:r w:rsidRPr="0061633D">
              <w:rPr>
                <w:rFonts w:cs="David" w:hint="cs"/>
                <w:rtl/>
              </w:rPr>
              <w:t>במידת</w:t>
            </w:r>
            <w:r w:rsidRPr="0061633D">
              <w:rPr>
                <w:rFonts w:cs="David"/>
                <w:rtl/>
              </w:rPr>
              <w:t xml:space="preserve"> </w:t>
            </w:r>
            <w:r w:rsidRPr="0061633D">
              <w:rPr>
                <w:rFonts w:cs="David" w:hint="cs"/>
                <w:rtl/>
              </w:rPr>
              <w:t>הוודאות</w:t>
            </w:r>
            <w:r w:rsidRPr="0061633D">
              <w:rPr>
                <w:rFonts w:cs="David"/>
                <w:rtl/>
              </w:rPr>
              <w:t xml:space="preserve"> </w:t>
            </w:r>
            <w:r w:rsidRPr="0061633D">
              <w:rPr>
                <w:rFonts w:cs="David" w:hint="cs"/>
                <w:rtl/>
              </w:rPr>
              <w:t>האפשרית</w:t>
            </w:r>
            <w:r w:rsidRPr="0061633D">
              <w:rPr>
                <w:rFonts w:cs="David"/>
                <w:rtl/>
              </w:rPr>
              <w:t xml:space="preserve"> - </w:t>
            </w:r>
            <w:r w:rsidRPr="0061633D">
              <w:rPr>
                <w:rFonts w:cs="David" w:hint="cs"/>
                <w:rtl/>
              </w:rPr>
              <w:t>את</w:t>
            </w:r>
            <w:r w:rsidRPr="0061633D">
              <w:rPr>
                <w:rFonts w:cs="David"/>
                <w:rtl/>
              </w:rPr>
              <w:t xml:space="preserve"> </w:t>
            </w:r>
            <w:r w:rsidRPr="0061633D">
              <w:rPr>
                <w:rFonts w:cs="David" w:hint="cs"/>
                <w:rtl/>
              </w:rPr>
              <w:t>האפשרות</w:t>
            </w:r>
            <w:r w:rsidRPr="0061633D">
              <w:rPr>
                <w:rFonts w:cs="David"/>
                <w:rtl/>
              </w:rPr>
              <w:t xml:space="preserve"> </w:t>
            </w:r>
            <w:r w:rsidRPr="0061633D">
              <w:rPr>
                <w:rFonts w:cs="David" w:hint="cs"/>
                <w:rtl/>
              </w:rPr>
              <w:t>שמא</w:t>
            </w:r>
            <w:r w:rsidRPr="0061633D">
              <w:rPr>
                <w:rFonts w:cs="David"/>
                <w:rtl/>
              </w:rPr>
              <w:t xml:space="preserve"> </w:t>
            </w:r>
            <w:r w:rsidRPr="0061633D">
              <w:rPr>
                <w:rFonts w:cs="David" w:hint="cs"/>
                <w:rtl/>
              </w:rPr>
              <w:t>הנאשם</w:t>
            </w:r>
            <w:r w:rsidRPr="0061633D">
              <w:rPr>
                <w:rFonts w:cs="David"/>
                <w:rtl/>
              </w:rPr>
              <w:t xml:space="preserve"> </w:t>
            </w:r>
            <w:r w:rsidRPr="0061633D">
              <w:rPr>
                <w:rFonts w:cs="David" w:hint="cs"/>
                <w:rtl/>
              </w:rPr>
              <w:t>פעל</w:t>
            </w:r>
            <w:r w:rsidRPr="0061633D">
              <w:rPr>
                <w:rFonts w:cs="David"/>
                <w:rtl/>
              </w:rPr>
              <w:t xml:space="preserve"> </w:t>
            </w:r>
            <w:r w:rsidRPr="0061633D">
              <w:rPr>
                <w:rFonts w:cs="David" w:hint="cs"/>
                <w:rtl/>
              </w:rPr>
              <w:t>מתוך</w:t>
            </w:r>
            <w:r w:rsidRPr="0061633D">
              <w:rPr>
                <w:rFonts w:cs="David"/>
                <w:rtl/>
              </w:rPr>
              <w:t xml:space="preserve"> </w:t>
            </w:r>
            <w:r w:rsidRPr="0061633D">
              <w:rPr>
                <w:rFonts w:cs="David" w:hint="cs"/>
                <w:rtl/>
              </w:rPr>
              <w:t>לחץ</w:t>
            </w:r>
            <w:r w:rsidRPr="0061633D">
              <w:rPr>
                <w:rFonts w:cs="David"/>
                <w:rtl/>
              </w:rPr>
              <w:t xml:space="preserve"> "</w:t>
            </w:r>
            <w:r w:rsidRPr="0061633D">
              <w:rPr>
                <w:rFonts w:cs="David" w:hint="cs"/>
                <w:rtl/>
              </w:rPr>
              <w:t>פנימי</w:t>
            </w:r>
            <w:r w:rsidRPr="0061633D">
              <w:rPr>
                <w:rFonts w:cs="David"/>
                <w:rtl/>
              </w:rPr>
              <w:t xml:space="preserve">" </w:t>
            </w:r>
            <w:r w:rsidRPr="0061633D">
              <w:rPr>
                <w:rFonts w:cs="David" w:hint="cs"/>
                <w:rtl/>
              </w:rPr>
              <w:t>אשר</w:t>
            </w:r>
            <w:r w:rsidRPr="0061633D">
              <w:rPr>
                <w:rFonts w:cs="David"/>
                <w:rtl/>
              </w:rPr>
              <w:t xml:space="preserve"> </w:t>
            </w:r>
            <w:r w:rsidRPr="0061633D">
              <w:rPr>
                <w:rFonts w:cs="David" w:hint="cs"/>
                <w:rtl/>
              </w:rPr>
              <w:t>הביא</w:t>
            </w:r>
            <w:r w:rsidRPr="0061633D">
              <w:rPr>
                <w:rFonts w:cs="David"/>
                <w:rtl/>
              </w:rPr>
              <w:t xml:space="preserve"> </w:t>
            </w:r>
            <w:r w:rsidRPr="0061633D">
              <w:rPr>
                <w:rFonts w:cs="David" w:hint="cs"/>
                <w:rtl/>
              </w:rPr>
              <w:t>אותו</w:t>
            </w:r>
            <w:r w:rsidRPr="0061633D">
              <w:rPr>
                <w:rFonts w:cs="David"/>
                <w:rtl/>
              </w:rPr>
              <w:t xml:space="preserve"> </w:t>
            </w:r>
            <w:r w:rsidRPr="0061633D">
              <w:rPr>
                <w:rFonts w:cs="David" w:hint="cs"/>
                <w:rtl/>
              </w:rPr>
              <w:t>לידי</w:t>
            </w:r>
            <w:r w:rsidRPr="0061633D">
              <w:rPr>
                <w:rFonts w:cs="David"/>
                <w:rtl/>
              </w:rPr>
              <w:t xml:space="preserve"> </w:t>
            </w:r>
            <w:r w:rsidRPr="0061633D">
              <w:rPr>
                <w:rFonts w:cs="David" w:hint="cs"/>
                <w:rtl/>
              </w:rPr>
              <w:t>כך</w:t>
            </w:r>
            <w:r w:rsidRPr="0061633D">
              <w:rPr>
                <w:rFonts w:cs="David"/>
                <w:rtl/>
              </w:rPr>
              <w:t xml:space="preserve"> </w:t>
            </w:r>
            <w:r w:rsidRPr="0061633D">
              <w:rPr>
                <w:rFonts w:cs="David" w:hint="cs"/>
                <w:rtl/>
              </w:rPr>
              <w:t>שייטול</w:t>
            </w:r>
            <w:r w:rsidRPr="0061633D">
              <w:rPr>
                <w:rFonts w:cs="David"/>
                <w:rtl/>
              </w:rPr>
              <w:t xml:space="preserve"> </w:t>
            </w:r>
            <w:r w:rsidRPr="0061633D">
              <w:rPr>
                <w:rFonts w:cs="David" w:hint="cs"/>
                <w:rtl/>
              </w:rPr>
              <w:t>על</w:t>
            </w:r>
            <w:r w:rsidRPr="0061633D">
              <w:rPr>
                <w:rFonts w:cs="David"/>
                <w:rtl/>
              </w:rPr>
              <w:t xml:space="preserve"> </w:t>
            </w:r>
            <w:r w:rsidRPr="0061633D">
              <w:rPr>
                <w:rFonts w:cs="David" w:hint="cs"/>
                <w:rtl/>
              </w:rPr>
              <w:t>עצמו</w:t>
            </w:r>
            <w:r w:rsidRPr="0061633D">
              <w:rPr>
                <w:rFonts w:cs="David"/>
                <w:rtl/>
              </w:rPr>
              <w:t xml:space="preserve"> </w:t>
            </w:r>
            <w:r w:rsidRPr="0061633D">
              <w:rPr>
                <w:rFonts w:cs="David" w:hint="cs"/>
                <w:rtl/>
              </w:rPr>
              <w:t>אחריות</w:t>
            </w:r>
            <w:r w:rsidRPr="0061633D">
              <w:rPr>
                <w:rFonts w:cs="David"/>
                <w:rtl/>
              </w:rPr>
              <w:t xml:space="preserve"> </w:t>
            </w:r>
            <w:r w:rsidRPr="0061633D">
              <w:rPr>
                <w:rFonts w:cs="David" w:hint="cs"/>
                <w:rtl/>
              </w:rPr>
              <w:t>לביצוע</w:t>
            </w:r>
            <w:r w:rsidRPr="0061633D">
              <w:rPr>
                <w:rFonts w:cs="David"/>
                <w:rtl/>
              </w:rPr>
              <w:t xml:space="preserve"> </w:t>
            </w:r>
            <w:r w:rsidRPr="0061633D">
              <w:rPr>
                <w:rFonts w:cs="David" w:hint="cs"/>
                <w:rtl/>
              </w:rPr>
              <w:t>מעשה</w:t>
            </w:r>
            <w:r w:rsidRPr="0061633D">
              <w:rPr>
                <w:rFonts w:cs="David"/>
                <w:rtl/>
              </w:rPr>
              <w:t xml:space="preserve"> </w:t>
            </w:r>
            <w:r w:rsidRPr="0061633D">
              <w:rPr>
                <w:rFonts w:cs="David" w:hint="cs"/>
                <w:rtl/>
              </w:rPr>
              <w:t>שלא</w:t>
            </w:r>
            <w:r w:rsidRPr="0061633D">
              <w:rPr>
                <w:rFonts w:cs="David"/>
                <w:rtl/>
              </w:rPr>
              <w:t xml:space="preserve"> </w:t>
            </w:r>
            <w:r w:rsidRPr="0061633D">
              <w:rPr>
                <w:rFonts w:cs="David" w:hint="cs"/>
                <w:rtl/>
              </w:rPr>
              <w:t>עשה</w:t>
            </w:r>
            <w:r w:rsidRPr="0061633D">
              <w:rPr>
                <w:rFonts w:cs="David"/>
                <w:rtl/>
              </w:rPr>
              <w:t xml:space="preserve"> </w:t>
            </w:r>
            <w:r w:rsidRPr="0061633D">
              <w:rPr>
                <w:rFonts w:cs="David" w:hint="cs"/>
                <w:rtl/>
              </w:rPr>
              <w:t>או</w:t>
            </w:r>
            <w:r w:rsidRPr="0061633D">
              <w:rPr>
                <w:rFonts w:cs="David"/>
                <w:rtl/>
              </w:rPr>
              <w:t xml:space="preserve"> </w:t>
            </w:r>
            <w:r w:rsidRPr="0061633D">
              <w:rPr>
                <w:rFonts w:cs="David" w:hint="cs"/>
                <w:rtl/>
              </w:rPr>
              <w:t>שלא</w:t>
            </w:r>
            <w:r w:rsidRPr="0061633D">
              <w:rPr>
                <w:rFonts w:cs="David"/>
                <w:rtl/>
              </w:rPr>
              <w:t xml:space="preserve"> </w:t>
            </w:r>
            <w:r w:rsidRPr="0061633D">
              <w:rPr>
                <w:rFonts w:cs="David" w:hint="cs"/>
                <w:rtl/>
              </w:rPr>
              <w:t>נעשה</w:t>
            </w:r>
            <w:r w:rsidRPr="0061633D">
              <w:rPr>
                <w:rFonts w:cs="David"/>
                <w:rtl/>
              </w:rPr>
              <w:t xml:space="preserve"> </w:t>
            </w:r>
            <w:r w:rsidRPr="0061633D">
              <w:rPr>
                <w:rFonts w:cs="David" w:hint="cs"/>
                <w:rtl/>
              </w:rPr>
              <w:t>כלל</w:t>
            </w:r>
            <w:r w:rsidRPr="0061633D">
              <w:rPr>
                <w:rFonts w:cs="David"/>
                <w:rtl/>
              </w:rPr>
              <w:t xml:space="preserve">. </w:t>
            </w:r>
            <w:r w:rsidRPr="0061633D">
              <w:rPr>
                <w:rFonts w:cs="David" w:hint="cs"/>
                <w:rtl/>
              </w:rPr>
              <w:t>שלישית</w:t>
            </w:r>
            <w:r w:rsidRPr="0061633D">
              <w:rPr>
                <w:rFonts w:cs="David"/>
                <w:rtl/>
              </w:rPr>
              <w:t xml:space="preserve">, </w:t>
            </w:r>
            <w:r w:rsidRPr="0061633D">
              <w:rPr>
                <w:rFonts w:cs="David" w:hint="cs"/>
                <w:rtl/>
              </w:rPr>
              <w:t>על</w:t>
            </w:r>
            <w:r w:rsidRPr="0061633D">
              <w:rPr>
                <w:rFonts w:cs="David"/>
                <w:rtl/>
              </w:rPr>
              <w:t xml:space="preserve"> </w:t>
            </w:r>
            <w:r w:rsidRPr="0061633D">
              <w:rPr>
                <w:rFonts w:cs="David" w:hint="cs"/>
                <w:rtl/>
              </w:rPr>
              <w:t>בית</w:t>
            </w:r>
            <w:r w:rsidRPr="0061633D">
              <w:rPr>
                <w:rFonts w:cs="David"/>
                <w:rtl/>
              </w:rPr>
              <w:t>-</w:t>
            </w:r>
            <w:r w:rsidRPr="0061633D">
              <w:rPr>
                <w:rFonts w:cs="David" w:hint="cs"/>
                <w:rtl/>
              </w:rPr>
              <w:t>המשפט</w:t>
            </w:r>
            <w:r w:rsidRPr="0061633D">
              <w:rPr>
                <w:rFonts w:cs="David"/>
                <w:rtl/>
              </w:rPr>
              <w:t xml:space="preserve"> </w:t>
            </w:r>
            <w:r w:rsidRPr="0061633D">
              <w:rPr>
                <w:rFonts w:cs="David" w:hint="cs"/>
                <w:rtl/>
              </w:rPr>
              <w:t>להשתכנע</w:t>
            </w:r>
            <w:r w:rsidRPr="0061633D">
              <w:rPr>
                <w:rFonts w:cs="David"/>
                <w:rtl/>
              </w:rPr>
              <w:t xml:space="preserve">, </w:t>
            </w:r>
            <w:r w:rsidRPr="0061633D">
              <w:rPr>
                <w:rFonts w:cs="David" w:hint="cs"/>
                <w:rtl/>
              </w:rPr>
              <w:t>על</w:t>
            </w:r>
            <w:r w:rsidRPr="0061633D">
              <w:rPr>
                <w:rFonts w:cs="David"/>
                <w:rtl/>
              </w:rPr>
              <w:t xml:space="preserve"> </w:t>
            </w:r>
            <w:r w:rsidRPr="0061633D">
              <w:rPr>
                <w:rFonts w:cs="David" w:hint="cs"/>
                <w:rtl/>
              </w:rPr>
              <w:t>בסיס</w:t>
            </w:r>
            <w:r w:rsidRPr="0061633D">
              <w:rPr>
                <w:rFonts w:cs="David"/>
                <w:rtl/>
              </w:rPr>
              <w:t xml:space="preserve"> </w:t>
            </w:r>
            <w:r w:rsidRPr="0061633D">
              <w:rPr>
                <w:rFonts w:cs="David" w:hint="cs"/>
                <w:rtl/>
              </w:rPr>
              <w:t>מכלול</w:t>
            </w:r>
            <w:r w:rsidRPr="0061633D">
              <w:rPr>
                <w:rFonts w:cs="David"/>
                <w:rtl/>
              </w:rPr>
              <w:t xml:space="preserve"> </w:t>
            </w:r>
            <w:r w:rsidRPr="0061633D">
              <w:rPr>
                <w:rFonts w:cs="David" w:hint="cs"/>
                <w:rtl/>
              </w:rPr>
              <w:t>נסיבות</w:t>
            </w:r>
            <w:r w:rsidRPr="0061633D">
              <w:rPr>
                <w:rFonts w:cs="David"/>
                <w:rtl/>
              </w:rPr>
              <w:t xml:space="preserve"> </w:t>
            </w:r>
            <w:r w:rsidRPr="0061633D">
              <w:rPr>
                <w:rFonts w:cs="David" w:hint="cs"/>
                <w:rtl/>
              </w:rPr>
              <w:t>העניין</w:t>
            </w:r>
            <w:r w:rsidRPr="0061633D">
              <w:rPr>
                <w:rFonts w:cs="David"/>
                <w:rtl/>
              </w:rPr>
              <w:t xml:space="preserve">, </w:t>
            </w:r>
            <w:r w:rsidRPr="0061633D">
              <w:rPr>
                <w:rFonts w:cs="David" w:hint="cs"/>
                <w:rtl/>
              </w:rPr>
              <w:t>כי</w:t>
            </w:r>
            <w:r w:rsidRPr="0061633D">
              <w:rPr>
                <w:rFonts w:cs="David"/>
                <w:rtl/>
              </w:rPr>
              <w:t xml:space="preserve"> </w:t>
            </w:r>
            <w:r w:rsidRPr="0061633D">
              <w:rPr>
                <w:rFonts w:cs="David" w:hint="cs"/>
                <w:rtl/>
              </w:rPr>
              <w:t>שתיקתו</w:t>
            </w:r>
            <w:r w:rsidRPr="0061633D">
              <w:rPr>
                <w:rFonts w:cs="David"/>
                <w:rtl/>
              </w:rPr>
              <w:t xml:space="preserve"> </w:t>
            </w:r>
            <w:r w:rsidRPr="0061633D">
              <w:rPr>
                <w:rFonts w:cs="David" w:hint="cs"/>
                <w:rtl/>
              </w:rPr>
              <w:t>של</w:t>
            </w:r>
            <w:r w:rsidRPr="0061633D">
              <w:rPr>
                <w:rFonts w:cs="David"/>
                <w:rtl/>
              </w:rPr>
              <w:t xml:space="preserve"> </w:t>
            </w:r>
            <w:r w:rsidRPr="0061633D">
              <w:rPr>
                <w:rFonts w:cs="David" w:hint="cs"/>
                <w:rtl/>
              </w:rPr>
              <w:t>הנאשם</w:t>
            </w:r>
            <w:r w:rsidRPr="0061633D">
              <w:rPr>
                <w:rFonts w:cs="David"/>
                <w:rtl/>
              </w:rPr>
              <w:t xml:space="preserve"> </w:t>
            </w:r>
            <w:r w:rsidRPr="0061633D">
              <w:rPr>
                <w:rFonts w:cs="David" w:hint="cs"/>
                <w:rtl/>
              </w:rPr>
              <w:t>אינה</w:t>
            </w:r>
            <w:r w:rsidRPr="0061633D">
              <w:rPr>
                <w:rFonts w:cs="David"/>
                <w:rtl/>
              </w:rPr>
              <w:t xml:space="preserve"> </w:t>
            </w:r>
            <w:r w:rsidRPr="0061633D">
              <w:rPr>
                <w:rFonts w:cs="David" w:hint="cs"/>
                <w:rtl/>
              </w:rPr>
              <w:t>נובעת</w:t>
            </w:r>
            <w:r w:rsidRPr="0061633D">
              <w:rPr>
                <w:rFonts w:cs="David"/>
                <w:rtl/>
              </w:rPr>
              <w:t xml:space="preserve"> </w:t>
            </w:r>
            <w:r w:rsidRPr="0061633D">
              <w:rPr>
                <w:rFonts w:cs="David" w:hint="cs"/>
                <w:rtl/>
              </w:rPr>
              <w:t>ממניע</w:t>
            </w:r>
            <w:r w:rsidRPr="0061633D">
              <w:rPr>
                <w:rFonts w:cs="David"/>
                <w:rtl/>
              </w:rPr>
              <w:t xml:space="preserve"> </w:t>
            </w:r>
            <w:r w:rsidRPr="0061633D">
              <w:rPr>
                <w:rFonts w:cs="David" w:hint="cs"/>
                <w:rtl/>
              </w:rPr>
              <w:t>תמים</w:t>
            </w:r>
            <w:r w:rsidRPr="0061633D">
              <w:rPr>
                <w:rFonts w:cs="David"/>
                <w:rtl/>
              </w:rPr>
              <w:t xml:space="preserve">, </w:t>
            </w:r>
            <w:r w:rsidRPr="0061633D">
              <w:rPr>
                <w:rFonts w:cs="David" w:hint="cs"/>
                <w:rtl/>
              </w:rPr>
              <w:t>ועל</w:t>
            </w:r>
            <w:r w:rsidRPr="0061633D">
              <w:rPr>
                <w:rFonts w:cs="David"/>
                <w:rtl/>
              </w:rPr>
              <w:t xml:space="preserve"> </w:t>
            </w:r>
            <w:r w:rsidRPr="0061633D">
              <w:rPr>
                <w:rFonts w:cs="David" w:hint="cs"/>
                <w:rtl/>
              </w:rPr>
              <w:t>כן</w:t>
            </w:r>
            <w:r w:rsidRPr="0061633D">
              <w:rPr>
                <w:rFonts w:cs="David"/>
                <w:rtl/>
              </w:rPr>
              <w:t xml:space="preserve">, </w:t>
            </w:r>
            <w:r w:rsidRPr="0061633D">
              <w:rPr>
                <w:rFonts w:cs="David" w:hint="cs"/>
                <w:rtl/>
              </w:rPr>
              <w:t>כי</w:t>
            </w:r>
            <w:r w:rsidRPr="0061633D">
              <w:rPr>
                <w:rFonts w:cs="David"/>
                <w:rtl/>
              </w:rPr>
              <w:t xml:space="preserve"> </w:t>
            </w:r>
            <w:r w:rsidRPr="0061633D">
              <w:rPr>
                <w:rFonts w:cs="David" w:hint="cs"/>
                <w:rtl/>
              </w:rPr>
              <w:t>המסקנה</w:t>
            </w:r>
            <w:r w:rsidRPr="0061633D">
              <w:rPr>
                <w:rFonts w:cs="David"/>
                <w:rtl/>
              </w:rPr>
              <w:t xml:space="preserve"> </w:t>
            </w:r>
            <w:r w:rsidRPr="0061633D">
              <w:rPr>
                <w:rFonts w:cs="David" w:hint="cs"/>
                <w:rtl/>
              </w:rPr>
              <w:t>המתבקשת</w:t>
            </w:r>
            <w:r w:rsidRPr="0061633D">
              <w:rPr>
                <w:rFonts w:cs="David"/>
                <w:rtl/>
              </w:rPr>
              <w:t xml:space="preserve"> </w:t>
            </w:r>
            <w:r w:rsidRPr="0061633D">
              <w:rPr>
                <w:rFonts w:cs="David" w:hint="cs"/>
                <w:rtl/>
              </w:rPr>
              <w:t>ממנה</w:t>
            </w:r>
            <w:r w:rsidRPr="0061633D">
              <w:rPr>
                <w:rFonts w:cs="David"/>
                <w:rtl/>
              </w:rPr>
              <w:t xml:space="preserve"> </w:t>
            </w:r>
            <w:r w:rsidRPr="0061633D">
              <w:rPr>
                <w:rFonts w:cs="David" w:hint="cs"/>
                <w:rtl/>
              </w:rPr>
              <w:t>היא</w:t>
            </w:r>
            <w:r w:rsidRPr="0061633D">
              <w:rPr>
                <w:rFonts w:cs="David"/>
                <w:rtl/>
              </w:rPr>
              <w:t xml:space="preserve"> </w:t>
            </w:r>
            <w:r w:rsidRPr="0061633D">
              <w:rPr>
                <w:rFonts w:cs="David" w:hint="cs"/>
                <w:rtl/>
              </w:rPr>
              <w:t>שאכן</w:t>
            </w:r>
            <w:r w:rsidRPr="0061633D">
              <w:rPr>
                <w:rFonts w:cs="David"/>
                <w:rtl/>
              </w:rPr>
              <w:t xml:space="preserve"> </w:t>
            </w:r>
            <w:r w:rsidRPr="0061633D">
              <w:rPr>
                <w:rFonts w:cs="David" w:hint="cs"/>
                <w:rtl/>
              </w:rPr>
              <w:t>אין</w:t>
            </w:r>
            <w:r w:rsidRPr="0061633D">
              <w:rPr>
                <w:rFonts w:cs="David"/>
                <w:rtl/>
              </w:rPr>
              <w:t xml:space="preserve"> </w:t>
            </w:r>
            <w:r w:rsidRPr="0061633D">
              <w:rPr>
                <w:rFonts w:cs="David" w:hint="cs"/>
                <w:rtl/>
              </w:rPr>
              <w:t>לו</w:t>
            </w:r>
            <w:r w:rsidRPr="0061633D">
              <w:rPr>
                <w:rFonts w:cs="David"/>
                <w:rtl/>
              </w:rPr>
              <w:t xml:space="preserve"> </w:t>
            </w:r>
            <w:r w:rsidRPr="0061633D">
              <w:rPr>
                <w:rFonts w:cs="David" w:hint="cs"/>
                <w:rtl/>
              </w:rPr>
              <w:t>תשובה</w:t>
            </w:r>
            <w:r w:rsidRPr="0061633D">
              <w:rPr>
                <w:rFonts w:cs="David"/>
                <w:rtl/>
              </w:rPr>
              <w:t xml:space="preserve"> </w:t>
            </w:r>
            <w:r w:rsidRPr="0061633D">
              <w:rPr>
                <w:rFonts w:cs="David" w:hint="cs"/>
                <w:rtl/>
              </w:rPr>
              <w:t>נגד</w:t>
            </w:r>
            <w:r w:rsidRPr="0061633D">
              <w:rPr>
                <w:rFonts w:cs="David"/>
                <w:rtl/>
              </w:rPr>
              <w:t xml:space="preserve"> </w:t>
            </w:r>
            <w:r w:rsidRPr="0061633D">
              <w:rPr>
                <w:rFonts w:cs="David" w:hint="cs"/>
                <w:rtl/>
              </w:rPr>
              <w:t>ההאשמות</w:t>
            </w:r>
            <w:r w:rsidRPr="0061633D">
              <w:rPr>
                <w:rFonts w:cs="David"/>
                <w:rtl/>
              </w:rPr>
              <w:t xml:space="preserve"> </w:t>
            </w:r>
            <w:r w:rsidRPr="0061633D">
              <w:rPr>
                <w:rFonts w:cs="David" w:hint="cs"/>
                <w:rtl/>
              </w:rPr>
              <w:t>המופנות</w:t>
            </w:r>
            <w:r w:rsidRPr="0061633D">
              <w:rPr>
                <w:rFonts w:cs="David"/>
                <w:rtl/>
              </w:rPr>
              <w:t xml:space="preserve"> </w:t>
            </w:r>
            <w:r w:rsidRPr="0061633D">
              <w:rPr>
                <w:rFonts w:cs="David" w:hint="cs"/>
                <w:rtl/>
              </w:rPr>
              <w:t>כלפיו</w:t>
            </w:r>
            <w:r w:rsidRPr="0061633D">
              <w:rPr>
                <w:rFonts w:cs="David"/>
                <w:rtl/>
              </w:rPr>
              <w:t xml:space="preserve">, </w:t>
            </w:r>
            <w:r w:rsidRPr="0061633D">
              <w:rPr>
                <w:rFonts w:cs="David" w:hint="cs"/>
                <w:rtl/>
              </w:rPr>
              <w:t>אשר</w:t>
            </w:r>
            <w:r w:rsidRPr="0061633D">
              <w:rPr>
                <w:rFonts w:cs="David"/>
                <w:rtl/>
              </w:rPr>
              <w:t xml:space="preserve"> </w:t>
            </w:r>
            <w:r w:rsidRPr="0061633D">
              <w:rPr>
                <w:rFonts w:cs="David" w:hint="cs"/>
                <w:rtl/>
              </w:rPr>
              <w:t>ביחס</w:t>
            </w:r>
            <w:r w:rsidRPr="0061633D">
              <w:rPr>
                <w:rFonts w:cs="David"/>
                <w:rtl/>
              </w:rPr>
              <w:t xml:space="preserve"> </w:t>
            </w:r>
            <w:r w:rsidRPr="0061633D">
              <w:rPr>
                <w:rFonts w:cs="David" w:hint="cs"/>
                <w:rtl/>
              </w:rPr>
              <w:t>אליהן</w:t>
            </w:r>
            <w:r w:rsidRPr="0061633D">
              <w:rPr>
                <w:rFonts w:cs="David"/>
                <w:rtl/>
              </w:rPr>
              <w:t xml:space="preserve"> </w:t>
            </w:r>
            <w:r w:rsidRPr="0061633D">
              <w:rPr>
                <w:rFonts w:cs="David" w:hint="cs"/>
                <w:rtl/>
              </w:rPr>
              <w:t>הודה</w:t>
            </w:r>
            <w:r w:rsidRPr="0061633D">
              <w:rPr>
                <w:rFonts w:cs="David"/>
                <w:rtl/>
              </w:rPr>
              <w:t xml:space="preserve"> </w:t>
            </w:r>
            <w:r w:rsidRPr="0061633D">
              <w:rPr>
                <w:rFonts w:cs="David" w:hint="cs"/>
                <w:rtl/>
              </w:rPr>
              <w:t>בחקירתו</w:t>
            </w:r>
            <w:r w:rsidRPr="0061633D">
              <w:rPr>
                <w:rFonts w:cs="David"/>
                <w:rtl/>
              </w:rPr>
              <w:t xml:space="preserve">. </w:t>
            </w:r>
            <w:bookmarkEnd w:id="2"/>
            <w:r w:rsidRPr="0061633D">
              <w:rPr>
                <w:rFonts w:cs="David" w:hint="cs"/>
                <w:rtl/>
              </w:rPr>
              <w:t>בהתקיימן</w:t>
            </w:r>
            <w:r w:rsidRPr="0061633D">
              <w:rPr>
                <w:rFonts w:cs="David"/>
                <w:rtl/>
              </w:rPr>
              <w:t xml:space="preserve"> </w:t>
            </w:r>
            <w:r w:rsidRPr="0061633D">
              <w:rPr>
                <w:rFonts w:cs="David" w:hint="cs"/>
                <w:rtl/>
              </w:rPr>
              <w:t>במצטבר</w:t>
            </w:r>
            <w:r w:rsidRPr="0061633D">
              <w:rPr>
                <w:rFonts w:cs="David"/>
                <w:rtl/>
              </w:rPr>
              <w:t xml:space="preserve"> </w:t>
            </w:r>
            <w:r w:rsidRPr="0061633D">
              <w:rPr>
                <w:rFonts w:cs="David" w:hint="cs"/>
                <w:rtl/>
              </w:rPr>
              <w:t>של</w:t>
            </w:r>
            <w:r w:rsidRPr="0061633D">
              <w:rPr>
                <w:rFonts w:cs="David"/>
                <w:rtl/>
              </w:rPr>
              <w:t xml:space="preserve"> </w:t>
            </w:r>
            <w:r w:rsidRPr="0061633D">
              <w:rPr>
                <w:rFonts w:cs="David" w:hint="cs"/>
                <w:rtl/>
              </w:rPr>
              <w:t>שלוש</w:t>
            </w:r>
            <w:r w:rsidRPr="0061633D">
              <w:rPr>
                <w:rFonts w:cs="David"/>
                <w:rtl/>
              </w:rPr>
              <w:t xml:space="preserve"> </w:t>
            </w:r>
            <w:r w:rsidRPr="0061633D">
              <w:rPr>
                <w:rFonts w:cs="David" w:hint="cs"/>
                <w:rtl/>
              </w:rPr>
              <w:t>אמות</w:t>
            </w:r>
            <w:r w:rsidRPr="0061633D">
              <w:rPr>
                <w:rFonts w:cs="David"/>
                <w:rtl/>
              </w:rPr>
              <w:t>-</w:t>
            </w:r>
            <w:r w:rsidRPr="0061633D">
              <w:rPr>
                <w:rFonts w:cs="David" w:hint="cs"/>
                <w:rtl/>
              </w:rPr>
              <w:t>מידה</w:t>
            </w:r>
            <w:r w:rsidRPr="0061633D">
              <w:rPr>
                <w:rFonts w:cs="David"/>
                <w:rtl/>
              </w:rPr>
              <w:t xml:space="preserve"> </w:t>
            </w:r>
            <w:r w:rsidRPr="0061633D">
              <w:rPr>
                <w:rFonts w:cs="David" w:hint="cs"/>
                <w:rtl/>
              </w:rPr>
              <w:t>אלו</w:t>
            </w:r>
            <w:r w:rsidRPr="0061633D">
              <w:rPr>
                <w:rFonts w:cs="David"/>
                <w:rtl/>
              </w:rPr>
              <w:t xml:space="preserve">, </w:t>
            </w:r>
            <w:r w:rsidRPr="0061633D">
              <w:rPr>
                <w:rFonts w:cs="David" w:hint="cs"/>
                <w:rtl/>
              </w:rPr>
              <w:t>אשר</w:t>
            </w:r>
            <w:r w:rsidRPr="0061633D">
              <w:rPr>
                <w:rFonts w:cs="David"/>
                <w:rtl/>
              </w:rPr>
              <w:t xml:space="preserve"> </w:t>
            </w:r>
            <w:r w:rsidRPr="0061633D">
              <w:rPr>
                <w:rFonts w:cs="David" w:hint="cs"/>
                <w:rtl/>
              </w:rPr>
              <w:t>נועדו</w:t>
            </w:r>
            <w:r w:rsidRPr="0061633D">
              <w:rPr>
                <w:rFonts w:cs="David"/>
                <w:rtl/>
              </w:rPr>
              <w:t xml:space="preserve">, </w:t>
            </w:r>
            <w:r w:rsidRPr="0061633D">
              <w:rPr>
                <w:rFonts w:cs="David" w:hint="cs"/>
                <w:rtl/>
              </w:rPr>
              <w:t>בעיקרן</w:t>
            </w:r>
            <w:r w:rsidRPr="0061633D">
              <w:rPr>
                <w:rFonts w:cs="David"/>
                <w:rtl/>
              </w:rPr>
              <w:t xml:space="preserve">, </w:t>
            </w:r>
            <w:r w:rsidRPr="0061633D">
              <w:rPr>
                <w:rFonts w:cs="David" w:hint="cs"/>
                <w:rtl/>
              </w:rPr>
              <w:t>לשמש</w:t>
            </w:r>
            <w:r w:rsidRPr="0061633D">
              <w:rPr>
                <w:rFonts w:cs="David"/>
                <w:rtl/>
              </w:rPr>
              <w:t xml:space="preserve"> </w:t>
            </w:r>
            <w:r w:rsidRPr="0061633D">
              <w:rPr>
                <w:rFonts w:cs="David" w:hint="cs"/>
                <w:rtl/>
              </w:rPr>
              <w:t>כקווים</w:t>
            </w:r>
            <w:r w:rsidRPr="0061633D">
              <w:rPr>
                <w:rFonts w:cs="David"/>
                <w:rtl/>
              </w:rPr>
              <w:t xml:space="preserve"> </w:t>
            </w:r>
            <w:r w:rsidRPr="0061633D">
              <w:rPr>
                <w:rFonts w:cs="David" w:hint="cs"/>
                <w:rtl/>
              </w:rPr>
              <w:t>מנחים</w:t>
            </w:r>
            <w:r w:rsidRPr="0061633D">
              <w:rPr>
                <w:rFonts w:cs="David"/>
                <w:rtl/>
              </w:rPr>
              <w:t xml:space="preserve">, </w:t>
            </w:r>
            <w:r w:rsidRPr="0061633D">
              <w:rPr>
                <w:rFonts w:cs="David" w:hint="cs"/>
                <w:rtl/>
              </w:rPr>
              <w:t>יוכל</w:t>
            </w:r>
            <w:r w:rsidRPr="0061633D">
              <w:rPr>
                <w:rFonts w:cs="David"/>
                <w:rtl/>
              </w:rPr>
              <w:t xml:space="preserve"> </w:t>
            </w:r>
            <w:r w:rsidRPr="0061633D">
              <w:rPr>
                <w:rFonts w:cs="David" w:hint="cs"/>
                <w:rtl/>
              </w:rPr>
              <w:t>בית</w:t>
            </w:r>
            <w:r w:rsidRPr="0061633D">
              <w:rPr>
                <w:rFonts w:cs="David"/>
                <w:rtl/>
              </w:rPr>
              <w:t>-</w:t>
            </w:r>
            <w:r w:rsidRPr="0061633D">
              <w:rPr>
                <w:rFonts w:cs="David" w:hint="cs"/>
                <w:rtl/>
              </w:rPr>
              <w:t>המשפט</w:t>
            </w:r>
            <w:r w:rsidRPr="0061633D">
              <w:rPr>
                <w:rFonts w:cs="David"/>
                <w:rtl/>
              </w:rPr>
              <w:t xml:space="preserve"> </w:t>
            </w:r>
            <w:r w:rsidRPr="0061633D">
              <w:rPr>
                <w:rFonts w:cs="David" w:hint="cs"/>
                <w:rtl/>
              </w:rPr>
              <w:t>לקבוע</w:t>
            </w:r>
            <w:r w:rsidRPr="0061633D">
              <w:rPr>
                <w:rFonts w:cs="David"/>
                <w:rtl/>
              </w:rPr>
              <w:t xml:space="preserve"> </w:t>
            </w:r>
            <w:r w:rsidRPr="0061633D">
              <w:rPr>
                <w:rFonts w:cs="David" w:hint="cs"/>
                <w:rtl/>
              </w:rPr>
              <w:t>כי</w:t>
            </w:r>
            <w:r w:rsidRPr="0061633D">
              <w:rPr>
                <w:rFonts w:cs="David"/>
                <w:rtl/>
              </w:rPr>
              <w:t xml:space="preserve"> </w:t>
            </w:r>
            <w:r w:rsidRPr="0061633D">
              <w:rPr>
                <w:rFonts w:cs="David" w:hint="cs"/>
                <w:rtl/>
              </w:rPr>
              <w:t>יש</w:t>
            </w:r>
            <w:r w:rsidRPr="0061633D">
              <w:rPr>
                <w:rFonts w:cs="David"/>
                <w:rtl/>
              </w:rPr>
              <w:t xml:space="preserve"> </w:t>
            </w:r>
            <w:r w:rsidRPr="0061633D">
              <w:rPr>
                <w:rFonts w:cs="David" w:hint="cs"/>
                <w:rtl/>
              </w:rPr>
              <w:t>בכוחה</w:t>
            </w:r>
            <w:r w:rsidRPr="0061633D">
              <w:rPr>
                <w:rFonts w:cs="David"/>
                <w:rtl/>
              </w:rPr>
              <w:t xml:space="preserve"> </w:t>
            </w:r>
            <w:r w:rsidRPr="0061633D">
              <w:rPr>
                <w:rFonts w:cs="David" w:hint="cs"/>
                <w:rtl/>
              </w:rPr>
              <w:t>של</w:t>
            </w:r>
            <w:r w:rsidRPr="0061633D">
              <w:rPr>
                <w:rFonts w:cs="David"/>
                <w:rtl/>
              </w:rPr>
              <w:t xml:space="preserve"> </w:t>
            </w:r>
            <w:r w:rsidRPr="0061633D">
              <w:rPr>
                <w:rFonts w:cs="David" w:hint="cs"/>
                <w:rtl/>
              </w:rPr>
              <w:t>שתיקת</w:t>
            </w:r>
            <w:r w:rsidRPr="0061633D">
              <w:rPr>
                <w:rFonts w:cs="David"/>
                <w:rtl/>
              </w:rPr>
              <w:t xml:space="preserve"> </w:t>
            </w:r>
            <w:r w:rsidRPr="0061633D">
              <w:rPr>
                <w:rFonts w:cs="David" w:hint="cs"/>
                <w:rtl/>
              </w:rPr>
              <w:t>הנאשם</w:t>
            </w:r>
            <w:r w:rsidRPr="0061633D">
              <w:rPr>
                <w:rFonts w:cs="David"/>
                <w:rtl/>
              </w:rPr>
              <w:t xml:space="preserve"> </w:t>
            </w:r>
            <w:r w:rsidRPr="0061633D">
              <w:rPr>
                <w:rFonts w:cs="David" w:hint="cs"/>
                <w:rtl/>
              </w:rPr>
              <w:t>במשפטו</w:t>
            </w:r>
            <w:r w:rsidRPr="0061633D">
              <w:rPr>
                <w:rFonts w:cs="David"/>
                <w:rtl/>
              </w:rPr>
              <w:t xml:space="preserve"> </w:t>
            </w:r>
            <w:r w:rsidRPr="0061633D">
              <w:rPr>
                <w:rFonts w:cs="David" w:hint="cs"/>
                <w:rtl/>
              </w:rPr>
              <w:t>להוות</w:t>
            </w:r>
            <w:r w:rsidRPr="0061633D">
              <w:rPr>
                <w:rFonts w:cs="David"/>
                <w:rtl/>
              </w:rPr>
              <w:t xml:space="preserve"> </w:t>
            </w:r>
            <w:r w:rsidRPr="0061633D">
              <w:rPr>
                <w:rFonts w:cs="David" w:hint="cs"/>
                <w:rtl/>
              </w:rPr>
              <w:t>את</w:t>
            </w:r>
            <w:r w:rsidRPr="0061633D">
              <w:rPr>
                <w:rFonts w:cs="David"/>
                <w:rtl/>
              </w:rPr>
              <w:t xml:space="preserve"> </w:t>
            </w:r>
            <w:r w:rsidRPr="0061633D">
              <w:rPr>
                <w:rFonts w:cs="David" w:hint="cs"/>
                <w:rtl/>
              </w:rPr>
              <w:t>ה</w:t>
            </w:r>
            <w:r w:rsidRPr="0061633D">
              <w:rPr>
                <w:rFonts w:cs="David"/>
                <w:rtl/>
              </w:rPr>
              <w:t>"</w:t>
            </w:r>
            <w:r w:rsidRPr="0061633D">
              <w:rPr>
                <w:rFonts w:cs="David" w:hint="cs"/>
                <w:rtl/>
              </w:rPr>
              <w:t>דבר</w:t>
            </w:r>
            <w:r w:rsidRPr="0061633D">
              <w:rPr>
                <w:rFonts w:cs="David"/>
                <w:rtl/>
              </w:rPr>
              <w:t xml:space="preserve"> </w:t>
            </w:r>
            <w:r w:rsidRPr="0061633D">
              <w:rPr>
                <w:rFonts w:cs="David" w:hint="cs"/>
                <w:rtl/>
              </w:rPr>
              <w:t>מה</w:t>
            </w:r>
            <w:r w:rsidRPr="0061633D">
              <w:rPr>
                <w:rFonts w:cs="David"/>
                <w:rtl/>
              </w:rPr>
              <w:t xml:space="preserve"> </w:t>
            </w:r>
            <w:r w:rsidRPr="0061633D">
              <w:rPr>
                <w:rFonts w:cs="David" w:hint="cs"/>
                <w:rtl/>
              </w:rPr>
              <w:t>הנוסף</w:t>
            </w:r>
            <w:r w:rsidRPr="0061633D">
              <w:rPr>
                <w:rFonts w:cs="David"/>
                <w:rtl/>
              </w:rPr>
              <w:t xml:space="preserve">" </w:t>
            </w:r>
            <w:r w:rsidRPr="0061633D">
              <w:rPr>
                <w:rFonts w:cs="David" w:hint="cs"/>
                <w:rtl/>
              </w:rPr>
              <w:t>הנדרש</w:t>
            </w:r>
            <w:r w:rsidRPr="0061633D">
              <w:rPr>
                <w:rFonts w:cs="David"/>
                <w:rtl/>
              </w:rPr>
              <w:t xml:space="preserve"> </w:t>
            </w:r>
            <w:r w:rsidRPr="0061633D">
              <w:rPr>
                <w:rFonts w:cs="David" w:hint="cs"/>
                <w:rtl/>
              </w:rPr>
              <w:t>להודאתו</w:t>
            </w:r>
            <w:r w:rsidRPr="0061633D">
              <w:rPr>
                <w:rFonts w:cs="David"/>
                <w:rtl/>
              </w:rPr>
              <w:t>.</w:t>
            </w:r>
          </w:p>
          <w:p w:rsidR="0061633D" w:rsidRDefault="0061633D" w:rsidP="0061633D">
            <w:pPr>
              <w:pStyle w:val="a3"/>
              <w:spacing w:line="360" w:lineRule="auto"/>
              <w:jc w:val="both"/>
              <w:rPr>
                <w:rFonts w:cs="David" w:hint="cs"/>
                <w:rtl/>
              </w:rPr>
            </w:pPr>
            <w:r>
              <w:rPr>
                <w:rFonts w:cs="David" w:hint="cs"/>
                <w:rtl/>
              </w:rPr>
              <w:t xml:space="preserve">השופט לוי: </w:t>
            </w:r>
            <w:r w:rsidRPr="0061633D">
              <w:rPr>
                <w:rFonts w:cs="David"/>
                <w:rtl/>
              </w:rPr>
              <w:t>שתיקתו של הנאשם עשויה – אך לא חייבת – להוות "דבר מה נוסף" להודאה שמסר בחקירתו, בכפוף לכך שהחקירה תועדה בצילום וידיאו, ובית-המשפט שחזה בהקלטה של החקירה, התרשם כי מונחת בפניו הודאת אמת. כאשר אחד משני תנאים אלה אינו מתקיים – אין בשתיקתו של הנאשם כדי להוות "דבר מה נוסף" להודאתו.</w:t>
            </w:r>
          </w:p>
        </w:tc>
      </w:tr>
      <w:tr w:rsidR="0061633D" w:rsidTr="00923E1D">
        <w:tc>
          <w:tcPr>
            <w:tcW w:w="1893" w:type="dxa"/>
          </w:tcPr>
          <w:p w:rsidR="0061633D" w:rsidRDefault="0061633D" w:rsidP="00CB7B26">
            <w:pPr>
              <w:pStyle w:val="a3"/>
              <w:spacing w:line="360" w:lineRule="auto"/>
              <w:jc w:val="both"/>
              <w:rPr>
                <w:rFonts w:cs="David" w:hint="cs"/>
                <w:rtl/>
              </w:rPr>
            </w:pPr>
            <w:proofErr w:type="spellStart"/>
            <w:r>
              <w:rPr>
                <w:rFonts w:cs="David" w:hint="cs"/>
                <w:rtl/>
              </w:rPr>
              <w:lastRenderedPageBreak/>
              <w:t>סטקלר</w:t>
            </w:r>
            <w:proofErr w:type="spellEnd"/>
          </w:p>
        </w:tc>
        <w:tc>
          <w:tcPr>
            <w:tcW w:w="2787" w:type="dxa"/>
          </w:tcPr>
          <w:p w:rsidR="0061633D" w:rsidRDefault="0061633D" w:rsidP="00CB7B26">
            <w:pPr>
              <w:pStyle w:val="a3"/>
              <w:spacing w:line="360" w:lineRule="auto"/>
              <w:jc w:val="both"/>
              <w:rPr>
                <w:rFonts w:cs="David" w:hint="cs"/>
                <w:rtl/>
              </w:rPr>
            </w:pPr>
          </w:p>
        </w:tc>
        <w:tc>
          <w:tcPr>
            <w:tcW w:w="6805" w:type="dxa"/>
          </w:tcPr>
          <w:p w:rsidR="0061633D" w:rsidRDefault="0061633D" w:rsidP="0061633D">
            <w:pPr>
              <w:pStyle w:val="a3"/>
              <w:spacing w:line="360" w:lineRule="auto"/>
              <w:jc w:val="both"/>
              <w:rPr>
                <w:rFonts w:cs="David" w:hint="cs"/>
                <w:rtl/>
              </w:rPr>
            </w:pPr>
          </w:p>
        </w:tc>
      </w:tr>
    </w:tbl>
    <w:p w:rsidR="00086D6F" w:rsidRPr="00086D6F" w:rsidRDefault="00086D6F" w:rsidP="00CB7B26">
      <w:pPr>
        <w:pStyle w:val="a3"/>
        <w:spacing w:line="360" w:lineRule="auto"/>
        <w:jc w:val="both"/>
        <w:rPr>
          <w:rFonts w:cs="David"/>
        </w:rPr>
      </w:pPr>
    </w:p>
    <w:sectPr w:rsidR="00086D6F" w:rsidRPr="00086D6F" w:rsidSect="009275F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21BD6"/>
    <w:multiLevelType w:val="hybridMultilevel"/>
    <w:tmpl w:val="F1584720"/>
    <w:lvl w:ilvl="0" w:tplc="EB54B03E">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E245B"/>
    <w:multiLevelType w:val="hybridMultilevel"/>
    <w:tmpl w:val="7A78E31A"/>
    <w:lvl w:ilvl="0" w:tplc="BA525F1E">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BA102F"/>
    <w:multiLevelType w:val="hybridMultilevel"/>
    <w:tmpl w:val="B6C2C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614D5E"/>
    <w:multiLevelType w:val="hybridMultilevel"/>
    <w:tmpl w:val="7C6481E0"/>
    <w:lvl w:ilvl="0" w:tplc="94AC289E">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AF6F79"/>
    <w:multiLevelType w:val="hybridMultilevel"/>
    <w:tmpl w:val="F59E6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98700C"/>
    <w:multiLevelType w:val="hybridMultilevel"/>
    <w:tmpl w:val="5FB89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E0133E"/>
    <w:multiLevelType w:val="hybridMultilevel"/>
    <w:tmpl w:val="D37A83DC"/>
    <w:lvl w:ilvl="0" w:tplc="8AEADD92">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083A1E"/>
    <w:multiLevelType w:val="hybridMultilevel"/>
    <w:tmpl w:val="A5704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F83761"/>
    <w:multiLevelType w:val="hybridMultilevel"/>
    <w:tmpl w:val="4F40E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B26468"/>
    <w:multiLevelType w:val="hybridMultilevel"/>
    <w:tmpl w:val="ECE259EC"/>
    <w:lvl w:ilvl="0" w:tplc="9A400E54">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C81468"/>
    <w:multiLevelType w:val="hybridMultilevel"/>
    <w:tmpl w:val="A29CD300"/>
    <w:lvl w:ilvl="0" w:tplc="7270BA38">
      <w:numFmt w:val="bullet"/>
      <w:lvlText w:val="-"/>
      <w:lvlJc w:val="left"/>
      <w:pPr>
        <w:ind w:left="720" w:hanging="360"/>
      </w:pPr>
      <w:rPr>
        <w:rFonts w:asciiTheme="minorHAnsi" w:eastAsiaTheme="minorHAnsi" w:hAnsiTheme="minorHAnsi"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0F7C44"/>
    <w:multiLevelType w:val="hybridMultilevel"/>
    <w:tmpl w:val="2E3C3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1"/>
  </w:num>
  <w:num w:numId="4">
    <w:abstractNumId w:val="9"/>
  </w:num>
  <w:num w:numId="5">
    <w:abstractNumId w:val="3"/>
  </w:num>
  <w:num w:numId="6">
    <w:abstractNumId w:val="0"/>
  </w:num>
  <w:num w:numId="7">
    <w:abstractNumId w:val="7"/>
  </w:num>
  <w:num w:numId="8">
    <w:abstractNumId w:val="11"/>
  </w:num>
  <w:num w:numId="9">
    <w:abstractNumId w:val="2"/>
  </w:num>
  <w:num w:numId="10">
    <w:abstractNumId w:val="5"/>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D6F"/>
    <w:rsid w:val="000000B5"/>
    <w:rsid w:val="000014AB"/>
    <w:rsid w:val="00001D82"/>
    <w:rsid w:val="00001F2E"/>
    <w:rsid w:val="0000217B"/>
    <w:rsid w:val="000026D2"/>
    <w:rsid w:val="00010299"/>
    <w:rsid w:val="0001358B"/>
    <w:rsid w:val="000167D3"/>
    <w:rsid w:val="00016A36"/>
    <w:rsid w:val="00030372"/>
    <w:rsid w:val="000321E4"/>
    <w:rsid w:val="00036333"/>
    <w:rsid w:val="00036810"/>
    <w:rsid w:val="00040433"/>
    <w:rsid w:val="00043136"/>
    <w:rsid w:val="00043E27"/>
    <w:rsid w:val="00050621"/>
    <w:rsid w:val="000515D3"/>
    <w:rsid w:val="000554F4"/>
    <w:rsid w:val="00061BF0"/>
    <w:rsid w:val="0006250A"/>
    <w:rsid w:val="00063548"/>
    <w:rsid w:val="00064187"/>
    <w:rsid w:val="0006554F"/>
    <w:rsid w:val="00071A51"/>
    <w:rsid w:val="00073E9D"/>
    <w:rsid w:val="00074299"/>
    <w:rsid w:val="0007634E"/>
    <w:rsid w:val="000838A5"/>
    <w:rsid w:val="00086D6F"/>
    <w:rsid w:val="000913FD"/>
    <w:rsid w:val="0009613E"/>
    <w:rsid w:val="000B08A0"/>
    <w:rsid w:val="000B0C47"/>
    <w:rsid w:val="000B0D72"/>
    <w:rsid w:val="000B5D2C"/>
    <w:rsid w:val="000B72AC"/>
    <w:rsid w:val="000C1959"/>
    <w:rsid w:val="000C5696"/>
    <w:rsid w:val="000D3D60"/>
    <w:rsid w:val="000E0EE6"/>
    <w:rsid w:val="000E3CF4"/>
    <w:rsid w:val="000E5F28"/>
    <w:rsid w:val="000F7398"/>
    <w:rsid w:val="00101B7F"/>
    <w:rsid w:val="00102A88"/>
    <w:rsid w:val="001043C6"/>
    <w:rsid w:val="0010591B"/>
    <w:rsid w:val="00117E8F"/>
    <w:rsid w:val="001200DC"/>
    <w:rsid w:val="00120A1D"/>
    <w:rsid w:val="001264F6"/>
    <w:rsid w:val="00126720"/>
    <w:rsid w:val="001308D0"/>
    <w:rsid w:val="00131C83"/>
    <w:rsid w:val="00134D3D"/>
    <w:rsid w:val="0013666A"/>
    <w:rsid w:val="00141A48"/>
    <w:rsid w:val="001473CD"/>
    <w:rsid w:val="001554A2"/>
    <w:rsid w:val="0016062D"/>
    <w:rsid w:val="00162160"/>
    <w:rsid w:val="00163AE6"/>
    <w:rsid w:val="00166EE3"/>
    <w:rsid w:val="0017211E"/>
    <w:rsid w:val="00175836"/>
    <w:rsid w:val="00176F19"/>
    <w:rsid w:val="00181833"/>
    <w:rsid w:val="001860B2"/>
    <w:rsid w:val="00186A55"/>
    <w:rsid w:val="001875CF"/>
    <w:rsid w:val="001875D0"/>
    <w:rsid w:val="001A0BB7"/>
    <w:rsid w:val="001A11DA"/>
    <w:rsid w:val="001A4716"/>
    <w:rsid w:val="001C08AA"/>
    <w:rsid w:val="001C0C3C"/>
    <w:rsid w:val="001C1E5C"/>
    <w:rsid w:val="001C2B05"/>
    <w:rsid w:val="001C76A3"/>
    <w:rsid w:val="001C7CDB"/>
    <w:rsid w:val="001C7E1B"/>
    <w:rsid w:val="001D0D83"/>
    <w:rsid w:val="001D16E8"/>
    <w:rsid w:val="001D34DC"/>
    <w:rsid w:val="001D63E1"/>
    <w:rsid w:val="001E2C8E"/>
    <w:rsid w:val="001F39B4"/>
    <w:rsid w:val="001F477F"/>
    <w:rsid w:val="00203517"/>
    <w:rsid w:val="00205C89"/>
    <w:rsid w:val="00207D67"/>
    <w:rsid w:val="00211C18"/>
    <w:rsid w:val="00212D76"/>
    <w:rsid w:val="00216607"/>
    <w:rsid w:val="00216636"/>
    <w:rsid w:val="00220AEA"/>
    <w:rsid w:val="00220D33"/>
    <w:rsid w:val="0022331A"/>
    <w:rsid w:val="00223FBD"/>
    <w:rsid w:val="002245F8"/>
    <w:rsid w:val="002309A7"/>
    <w:rsid w:val="00235667"/>
    <w:rsid w:val="00243628"/>
    <w:rsid w:val="00243A58"/>
    <w:rsid w:val="00262005"/>
    <w:rsid w:val="00262676"/>
    <w:rsid w:val="00263C23"/>
    <w:rsid w:val="00266C9C"/>
    <w:rsid w:val="002745CC"/>
    <w:rsid w:val="0027687B"/>
    <w:rsid w:val="00276F1E"/>
    <w:rsid w:val="002779E2"/>
    <w:rsid w:val="00277DC4"/>
    <w:rsid w:val="002827A5"/>
    <w:rsid w:val="00292E47"/>
    <w:rsid w:val="00296AE5"/>
    <w:rsid w:val="002A0885"/>
    <w:rsid w:val="002A17FA"/>
    <w:rsid w:val="002B1039"/>
    <w:rsid w:val="002B1537"/>
    <w:rsid w:val="002B1ED8"/>
    <w:rsid w:val="002B2C09"/>
    <w:rsid w:val="002B3243"/>
    <w:rsid w:val="002C468B"/>
    <w:rsid w:val="002C536A"/>
    <w:rsid w:val="002C6911"/>
    <w:rsid w:val="002E3B68"/>
    <w:rsid w:val="002E72E2"/>
    <w:rsid w:val="002F15C0"/>
    <w:rsid w:val="002F4BA7"/>
    <w:rsid w:val="002F571A"/>
    <w:rsid w:val="00300DC4"/>
    <w:rsid w:val="00303845"/>
    <w:rsid w:val="00305DF9"/>
    <w:rsid w:val="003073E8"/>
    <w:rsid w:val="003131B1"/>
    <w:rsid w:val="00313BC0"/>
    <w:rsid w:val="00314FB1"/>
    <w:rsid w:val="0033135A"/>
    <w:rsid w:val="003333BA"/>
    <w:rsid w:val="0033354F"/>
    <w:rsid w:val="0033465B"/>
    <w:rsid w:val="0035254F"/>
    <w:rsid w:val="00353FC5"/>
    <w:rsid w:val="0035682A"/>
    <w:rsid w:val="00361A2D"/>
    <w:rsid w:val="00370F47"/>
    <w:rsid w:val="00387A74"/>
    <w:rsid w:val="003932A2"/>
    <w:rsid w:val="003A2ECE"/>
    <w:rsid w:val="003A3250"/>
    <w:rsid w:val="003A6436"/>
    <w:rsid w:val="003A6F9F"/>
    <w:rsid w:val="003B12E6"/>
    <w:rsid w:val="003D16AB"/>
    <w:rsid w:val="003D51CB"/>
    <w:rsid w:val="003D5B0E"/>
    <w:rsid w:val="003F1950"/>
    <w:rsid w:val="003F3919"/>
    <w:rsid w:val="003F66BC"/>
    <w:rsid w:val="003F7E78"/>
    <w:rsid w:val="00404B22"/>
    <w:rsid w:val="0040584F"/>
    <w:rsid w:val="00407DEC"/>
    <w:rsid w:val="00411D06"/>
    <w:rsid w:val="004160F5"/>
    <w:rsid w:val="00420D21"/>
    <w:rsid w:val="00420E9A"/>
    <w:rsid w:val="004212F0"/>
    <w:rsid w:val="004231CC"/>
    <w:rsid w:val="00426C80"/>
    <w:rsid w:val="004278CF"/>
    <w:rsid w:val="00427D8A"/>
    <w:rsid w:val="00433CC6"/>
    <w:rsid w:val="00436E6D"/>
    <w:rsid w:val="00445217"/>
    <w:rsid w:val="00447A9E"/>
    <w:rsid w:val="00447EBF"/>
    <w:rsid w:val="00452156"/>
    <w:rsid w:val="00453A18"/>
    <w:rsid w:val="004555D7"/>
    <w:rsid w:val="00465411"/>
    <w:rsid w:val="00470A5E"/>
    <w:rsid w:val="0047370E"/>
    <w:rsid w:val="0047674A"/>
    <w:rsid w:val="00476FC4"/>
    <w:rsid w:val="0048291D"/>
    <w:rsid w:val="00487589"/>
    <w:rsid w:val="00491248"/>
    <w:rsid w:val="00494168"/>
    <w:rsid w:val="00495243"/>
    <w:rsid w:val="004A3748"/>
    <w:rsid w:val="004B2790"/>
    <w:rsid w:val="004B2CB2"/>
    <w:rsid w:val="004B3171"/>
    <w:rsid w:val="004B7A23"/>
    <w:rsid w:val="004C2F52"/>
    <w:rsid w:val="004C342F"/>
    <w:rsid w:val="004C44A8"/>
    <w:rsid w:val="004C5E0D"/>
    <w:rsid w:val="004D3FD1"/>
    <w:rsid w:val="004D46CB"/>
    <w:rsid w:val="004D57D3"/>
    <w:rsid w:val="004E1FC7"/>
    <w:rsid w:val="004E2621"/>
    <w:rsid w:val="004E3080"/>
    <w:rsid w:val="004E36C1"/>
    <w:rsid w:val="004E5E5E"/>
    <w:rsid w:val="004F155F"/>
    <w:rsid w:val="004F48B7"/>
    <w:rsid w:val="004F61E6"/>
    <w:rsid w:val="004F63B8"/>
    <w:rsid w:val="00522823"/>
    <w:rsid w:val="00523CDC"/>
    <w:rsid w:val="0052757E"/>
    <w:rsid w:val="00536E13"/>
    <w:rsid w:val="0054324B"/>
    <w:rsid w:val="005446B9"/>
    <w:rsid w:val="00547E1A"/>
    <w:rsid w:val="00554C0E"/>
    <w:rsid w:val="00561703"/>
    <w:rsid w:val="0056321D"/>
    <w:rsid w:val="00564DA3"/>
    <w:rsid w:val="0057397B"/>
    <w:rsid w:val="00577F7F"/>
    <w:rsid w:val="00580FD0"/>
    <w:rsid w:val="00586F31"/>
    <w:rsid w:val="005A142D"/>
    <w:rsid w:val="005A3F95"/>
    <w:rsid w:val="005A5267"/>
    <w:rsid w:val="005B1F39"/>
    <w:rsid w:val="005B5249"/>
    <w:rsid w:val="005C20E6"/>
    <w:rsid w:val="005C2376"/>
    <w:rsid w:val="005C67C5"/>
    <w:rsid w:val="005C7326"/>
    <w:rsid w:val="005D2A6B"/>
    <w:rsid w:val="005D42EC"/>
    <w:rsid w:val="005E5A27"/>
    <w:rsid w:val="005E5D86"/>
    <w:rsid w:val="005E693F"/>
    <w:rsid w:val="005E76BE"/>
    <w:rsid w:val="006013F1"/>
    <w:rsid w:val="00601DC5"/>
    <w:rsid w:val="00610830"/>
    <w:rsid w:val="00611B48"/>
    <w:rsid w:val="00612A8C"/>
    <w:rsid w:val="00613B2A"/>
    <w:rsid w:val="00614099"/>
    <w:rsid w:val="006140CA"/>
    <w:rsid w:val="00614185"/>
    <w:rsid w:val="00615399"/>
    <w:rsid w:val="0061633D"/>
    <w:rsid w:val="0061635D"/>
    <w:rsid w:val="006310BC"/>
    <w:rsid w:val="00635C9D"/>
    <w:rsid w:val="00640B57"/>
    <w:rsid w:val="00643206"/>
    <w:rsid w:val="006458A5"/>
    <w:rsid w:val="006553C4"/>
    <w:rsid w:val="00655EEA"/>
    <w:rsid w:val="00661EBF"/>
    <w:rsid w:val="00664957"/>
    <w:rsid w:val="006779E4"/>
    <w:rsid w:val="00683A6F"/>
    <w:rsid w:val="006928AD"/>
    <w:rsid w:val="00694C40"/>
    <w:rsid w:val="006A0B47"/>
    <w:rsid w:val="006A0E94"/>
    <w:rsid w:val="006A0F1B"/>
    <w:rsid w:val="006A3F0D"/>
    <w:rsid w:val="006A499C"/>
    <w:rsid w:val="006B1052"/>
    <w:rsid w:val="006B2928"/>
    <w:rsid w:val="006C1756"/>
    <w:rsid w:val="006C5287"/>
    <w:rsid w:val="006D012D"/>
    <w:rsid w:val="006E5348"/>
    <w:rsid w:val="006E5D0C"/>
    <w:rsid w:val="006E6420"/>
    <w:rsid w:val="006E6AA8"/>
    <w:rsid w:val="006E79AD"/>
    <w:rsid w:val="006F070C"/>
    <w:rsid w:val="006F0927"/>
    <w:rsid w:val="006F1368"/>
    <w:rsid w:val="006F2918"/>
    <w:rsid w:val="006F515C"/>
    <w:rsid w:val="006F7750"/>
    <w:rsid w:val="00702272"/>
    <w:rsid w:val="00704CD3"/>
    <w:rsid w:val="00706B19"/>
    <w:rsid w:val="00707C36"/>
    <w:rsid w:val="00712CF8"/>
    <w:rsid w:val="00712DE1"/>
    <w:rsid w:val="007171C5"/>
    <w:rsid w:val="00721275"/>
    <w:rsid w:val="007230DA"/>
    <w:rsid w:val="007308BA"/>
    <w:rsid w:val="00735BC5"/>
    <w:rsid w:val="00736F0F"/>
    <w:rsid w:val="007372F7"/>
    <w:rsid w:val="00737D28"/>
    <w:rsid w:val="0074632E"/>
    <w:rsid w:val="007500BA"/>
    <w:rsid w:val="00751838"/>
    <w:rsid w:val="007546A6"/>
    <w:rsid w:val="007701DC"/>
    <w:rsid w:val="00771120"/>
    <w:rsid w:val="00775A2D"/>
    <w:rsid w:val="00781EB1"/>
    <w:rsid w:val="007836B5"/>
    <w:rsid w:val="00786F52"/>
    <w:rsid w:val="007874D9"/>
    <w:rsid w:val="007876F1"/>
    <w:rsid w:val="007939A2"/>
    <w:rsid w:val="00796018"/>
    <w:rsid w:val="00796130"/>
    <w:rsid w:val="007A029B"/>
    <w:rsid w:val="007A0805"/>
    <w:rsid w:val="007A43D2"/>
    <w:rsid w:val="007A6548"/>
    <w:rsid w:val="007B3BA0"/>
    <w:rsid w:val="007B3E8A"/>
    <w:rsid w:val="007C12CA"/>
    <w:rsid w:val="007C618B"/>
    <w:rsid w:val="007D1B1D"/>
    <w:rsid w:val="007D3AAA"/>
    <w:rsid w:val="007D4B0B"/>
    <w:rsid w:val="007D5241"/>
    <w:rsid w:val="007D672A"/>
    <w:rsid w:val="007D6C3A"/>
    <w:rsid w:val="007D6FF7"/>
    <w:rsid w:val="007E4208"/>
    <w:rsid w:val="007E6656"/>
    <w:rsid w:val="007E6792"/>
    <w:rsid w:val="007E7B63"/>
    <w:rsid w:val="007F21DF"/>
    <w:rsid w:val="0080560D"/>
    <w:rsid w:val="00820933"/>
    <w:rsid w:val="00821FF3"/>
    <w:rsid w:val="0082552C"/>
    <w:rsid w:val="008308C2"/>
    <w:rsid w:val="008315DC"/>
    <w:rsid w:val="00832EEA"/>
    <w:rsid w:val="00834F11"/>
    <w:rsid w:val="0084164D"/>
    <w:rsid w:val="008445F9"/>
    <w:rsid w:val="00847859"/>
    <w:rsid w:val="00847F8C"/>
    <w:rsid w:val="008501B7"/>
    <w:rsid w:val="008506AE"/>
    <w:rsid w:val="00853D45"/>
    <w:rsid w:val="00855BDC"/>
    <w:rsid w:val="00857C71"/>
    <w:rsid w:val="00861B02"/>
    <w:rsid w:val="0086686E"/>
    <w:rsid w:val="00872D9D"/>
    <w:rsid w:val="008731D6"/>
    <w:rsid w:val="00883135"/>
    <w:rsid w:val="00886B5E"/>
    <w:rsid w:val="00890812"/>
    <w:rsid w:val="008918CE"/>
    <w:rsid w:val="0089242D"/>
    <w:rsid w:val="00893637"/>
    <w:rsid w:val="008A0529"/>
    <w:rsid w:val="008A53A6"/>
    <w:rsid w:val="008B2214"/>
    <w:rsid w:val="008B3179"/>
    <w:rsid w:val="008B45CD"/>
    <w:rsid w:val="008B7C70"/>
    <w:rsid w:val="008C2107"/>
    <w:rsid w:val="008C3164"/>
    <w:rsid w:val="008C3C56"/>
    <w:rsid w:val="008C71B5"/>
    <w:rsid w:val="008C7427"/>
    <w:rsid w:val="008D3B40"/>
    <w:rsid w:val="008D6D7D"/>
    <w:rsid w:val="008E4CB0"/>
    <w:rsid w:val="008E56B4"/>
    <w:rsid w:val="008E6A4B"/>
    <w:rsid w:val="008F25CC"/>
    <w:rsid w:val="008F358E"/>
    <w:rsid w:val="008F3821"/>
    <w:rsid w:val="008F6C2D"/>
    <w:rsid w:val="008F7124"/>
    <w:rsid w:val="0091090E"/>
    <w:rsid w:val="00911F75"/>
    <w:rsid w:val="009156AA"/>
    <w:rsid w:val="00920A45"/>
    <w:rsid w:val="00921B5E"/>
    <w:rsid w:val="00923E1D"/>
    <w:rsid w:val="00926CD1"/>
    <w:rsid w:val="009275FE"/>
    <w:rsid w:val="0094241D"/>
    <w:rsid w:val="009427D9"/>
    <w:rsid w:val="0095194D"/>
    <w:rsid w:val="00952A24"/>
    <w:rsid w:val="00952CB4"/>
    <w:rsid w:val="009539F3"/>
    <w:rsid w:val="00954679"/>
    <w:rsid w:val="00956F05"/>
    <w:rsid w:val="0096077F"/>
    <w:rsid w:val="00970BAB"/>
    <w:rsid w:val="0097194B"/>
    <w:rsid w:val="00976907"/>
    <w:rsid w:val="00976EFF"/>
    <w:rsid w:val="00980C63"/>
    <w:rsid w:val="009955CC"/>
    <w:rsid w:val="009A11E5"/>
    <w:rsid w:val="009A21D5"/>
    <w:rsid w:val="009A2A95"/>
    <w:rsid w:val="009A762F"/>
    <w:rsid w:val="009A7A35"/>
    <w:rsid w:val="009B22FD"/>
    <w:rsid w:val="009B74B8"/>
    <w:rsid w:val="009C0C82"/>
    <w:rsid w:val="009C4E30"/>
    <w:rsid w:val="009D1C39"/>
    <w:rsid w:val="009D3F99"/>
    <w:rsid w:val="009F31A2"/>
    <w:rsid w:val="00A00D89"/>
    <w:rsid w:val="00A037E4"/>
    <w:rsid w:val="00A12913"/>
    <w:rsid w:val="00A13766"/>
    <w:rsid w:val="00A13DD2"/>
    <w:rsid w:val="00A15D8A"/>
    <w:rsid w:val="00A2200C"/>
    <w:rsid w:val="00A23B1B"/>
    <w:rsid w:val="00A24492"/>
    <w:rsid w:val="00A24681"/>
    <w:rsid w:val="00A2623A"/>
    <w:rsid w:val="00A30BBD"/>
    <w:rsid w:val="00A311CF"/>
    <w:rsid w:val="00A35577"/>
    <w:rsid w:val="00A373B0"/>
    <w:rsid w:val="00A47D14"/>
    <w:rsid w:val="00A5388E"/>
    <w:rsid w:val="00A53F9E"/>
    <w:rsid w:val="00A55331"/>
    <w:rsid w:val="00A56AAF"/>
    <w:rsid w:val="00A5794A"/>
    <w:rsid w:val="00A60B03"/>
    <w:rsid w:val="00A6127C"/>
    <w:rsid w:val="00A626D4"/>
    <w:rsid w:val="00A65DBC"/>
    <w:rsid w:val="00A65FBF"/>
    <w:rsid w:val="00A7471E"/>
    <w:rsid w:val="00A74A2E"/>
    <w:rsid w:val="00A83BA5"/>
    <w:rsid w:val="00A845A6"/>
    <w:rsid w:val="00AA2F09"/>
    <w:rsid w:val="00AA3732"/>
    <w:rsid w:val="00AA3D91"/>
    <w:rsid w:val="00AB030D"/>
    <w:rsid w:val="00AB404E"/>
    <w:rsid w:val="00AB5331"/>
    <w:rsid w:val="00AC0E7B"/>
    <w:rsid w:val="00AD3E5F"/>
    <w:rsid w:val="00AD5053"/>
    <w:rsid w:val="00AE202D"/>
    <w:rsid w:val="00AE59AA"/>
    <w:rsid w:val="00AF041C"/>
    <w:rsid w:val="00AF4CAD"/>
    <w:rsid w:val="00B07B48"/>
    <w:rsid w:val="00B10B80"/>
    <w:rsid w:val="00B13E33"/>
    <w:rsid w:val="00B17A72"/>
    <w:rsid w:val="00B31377"/>
    <w:rsid w:val="00B32C26"/>
    <w:rsid w:val="00B340D9"/>
    <w:rsid w:val="00B35557"/>
    <w:rsid w:val="00B37BEC"/>
    <w:rsid w:val="00B41611"/>
    <w:rsid w:val="00B62FF0"/>
    <w:rsid w:val="00B67A0E"/>
    <w:rsid w:val="00B757D2"/>
    <w:rsid w:val="00B76817"/>
    <w:rsid w:val="00B806AE"/>
    <w:rsid w:val="00B80716"/>
    <w:rsid w:val="00B86741"/>
    <w:rsid w:val="00B876F4"/>
    <w:rsid w:val="00B951CA"/>
    <w:rsid w:val="00BA0E8A"/>
    <w:rsid w:val="00BA0F71"/>
    <w:rsid w:val="00BA6CEB"/>
    <w:rsid w:val="00BA7727"/>
    <w:rsid w:val="00BB0390"/>
    <w:rsid w:val="00BB327E"/>
    <w:rsid w:val="00BB60BF"/>
    <w:rsid w:val="00BB61D4"/>
    <w:rsid w:val="00BB7B45"/>
    <w:rsid w:val="00BC27FE"/>
    <w:rsid w:val="00BC2C61"/>
    <w:rsid w:val="00BC2F63"/>
    <w:rsid w:val="00BD2097"/>
    <w:rsid w:val="00BD675C"/>
    <w:rsid w:val="00BE45D3"/>
    <w:rsid w:val="00BE6F44"/>
    <w:rsid w:val="00BF4290"/>
    <w:rsid w:val="00BF7A3A"/>
    <w:rsid w:val="00C01E2E"/>
    <w:rsid w:val="00C0233A"/>
    <w:rsid w:val="00C02560"/>
    <w:rsid w:val="00C02D87"/>
    <w:rsid w:val="00C03620"/>
    <w:rsid w:val="00C036E4"/>
    <w:rsid w:val="00C0406E"/>
    <w:rsid w:val="00C13A5E"/>
    <w:rsid w:val="00C13D86"/>
    <w:rsid w:val="00C15EE8"/>
    <w:rsid w:val="00C17727"/>
    <w:rsid w:val="00C17DC8"/>
    <w:rsid w:val="00C2635E"/>
    <w:rsid w:val="00C3010A"/>
    <w:rsid w:val="00C3237C"/>
    <w:rsid w:val="00C34DF5"/>
    <w:rsid w:val="00C430A0"/>
    <w:rsid w:val="00C454ED"/>
    <w:rsid w:val="00C5693A"/>
    <w:rsid w:val="00C6157E"/>
    <w:rsid w:val="00C671B8"/>
    <w:rsid w:val="00C70A48"/>
    <w:rsid w:val="00C73BBA"/>
    <w:rsid w:val="00C75DC4"/>
    <w:rsid w:val="00C75F75"/>
    <w:rsid w:val="00C772CE"/>
    <w:rsid w:val="00C83522"/>
    <w:rsid w:val="00C86F9A"/>
    <w:rsid w:val="00C87A88"/>
    <w:rsid w:val="00C953A6"/>
    <w:rsid w:val="00CA08B1"/>
    <w:rsid w:val="00CA0AA5"/>
    <w:rsid w:val="00CA3BFA"/>
    <w:rsid w:val="00CA3F67"/>
    <w:rsid w:val="00CA560E"/>
    <w:rsid w:val="00CA7AC5"/>
    <w:rsid w:val="00CB3F2F"/>
    <w:rsid w:val="00CB7B26"/>
    <w:rsid w:val="00CC310A"/>
    <w:rsid w:val="00CC6359"/>
    <w:rsid w:val="00CC6F9D"/>
    <w:rsid w:val="00CD0655"/>
    <w:rsid w:val="00CD1432"/>
    <w:rsid w:val="00CD31AB"/>
    <w:rsid w:val="00CD55AC"/>
    <w:rsid w:val="00CD7CFD"/>
    <w:rsid w:val="00CE214F"/>
    <w:rsid w:val="00CE4853"/>
    <w:rsid w:val="00CF0E39"/>
    <w:rsid w:val="00CF2279"/>
    <w:rsid w:val="00CF312F"/>
    <w:rsid w:val="00CF6EAE"/>
    <w:rsid w:val="00D16636"/>
    <w:rsid w:val="00D241F6"/>
    <w:rsid w:val="00D27C82"/>
    <w:rsid w:val="00D30931"/>
    <w:rsid w:val="00D35099"/>
    <w:rsid w:val="00D40D9B"/>
    <w:rsid w:val="00D44158"/>
    <w:rsid w:val="00D44E22"/>
    <w:rsid w:val="00D52530"/>
    <w:rsid w:val="00D5449A"/>
    <w:rsid w:val="00D54915"/>
    <w:rsid w:val="00D54D25"/>
    <w:rsid w:val="00D551C9"/>
    <w:rsid w:val="00D55FFB"/>
    <w:rsid w:val="00D637EE"/>
    <w:rsid w:val="00D71D3B"/>
    <w:rsid w:val="00D73183"/>
    <w:rsid w:val="00D81000"/>
    <w:rsid w:val="00D87726"/>
    <w:rsid w:val="00D87DEC"/>
    <w:rsid w:val="00D97A77"/>
    <w:rsid w:val="00DA553D"/>
    <w:rsid w:val="00DA5FC8"/>
    <w:rsid w:val="00DB3A73"/>
    <w:rsid w:val="00DB50C3"/>
    <w:rsid w:val="00DB7E76"/>
    <w:rsid w:val="00DC29D1"/>
    <w:rsid w:val="00DC6050"/>
    <w:rsid w:val="00DD66EA"/>
    <w:rsid w:val="00DD6A6F"/>
    <w:rsid w:val="00DE2475"/>
    <w:rsid w:val="00DE3E9E"/>
    <w:rsid w:val="00DE6C85"/>
    <w:rsid w:val="00DE6D83"/>
    <w:rsid w:val="00DF13C8"/>
    <w:rsid w:val="00DF469A"/>
    <w:rsid w:val="00E03884"/>
    <w:rsid w:val="00E043D7"/>
    <w:rsid w:val="00E0709C"/>
    <w:rsid w:val="00E120D9"/>
    <w:rsid w:val="00E124EB"/>
    <w:rsid w:val="00E150DA"/>
    <w:rsid w:val="00E22127"/>
    <w:rsid w:val="00E311C6"/>
    <w:rsid w:val="00E31891"/>
    <w:rsid w:val="00E34949"/>
    <w:rsid w:val="00E35F58"/>
    <w:rsid w:val="00E37555"/>
    <w:rsid w:val="00E4468D"/>
    <w:rsid w:val="00E564F4"/>
    <w:rsid w:val="00E62190"/>
    <w:rsid w:val="00E6793A"/>
    <w:rsid w:val="00E71036"/>
    <w:rsid w:val="00E752A4"/>
    <w:rsid w:val="00E77211"/>
    <w:rsid w:val="00E77C9F"/>
    <w:rsid w:val="00E806F4"/>
    <w:rsid w:val="00E8107C"/>
    <w:rsid w:val="00E8476E"/>
    <w:rsid w:val="00E9769D"/>
    <w:rsid w:val="00EA09D8"/>
    <w:rsid w:val="00EA54CC"/>
    <w:rsid w:val="00EB0903"/>
    <w:rsid w:val="00EB69F2"/>
    <w:rsid w:val="00EC3E01"/>
    <w:rsid w:val="00EC7B2A"/>
    <w:rsid w:val="00EC7E5B"/>
    <w:rsid w:val="00EE329D"/>
    <w:rsid w:val="00EE4CAD"/>
    <w:rsid w:val="00EE6E28"/>
    <w:rsid w:val="00EE7331"/>
    <w:rsid w:val="00F1123C"/>
    <w:rsid w:val="00F16DBE"/>
    <w:rsid w:val="00F21213"/>
    <w:rsid w:val="00F22ADA"/>
    <w:rsid w:val="00F2310A"/>
    <w:rsid w:val="00F24849"/>
    <w:rsid w:val="00F25C9B"/>
    <w:rsid w:val="00F3125B"/>
    <w:rsid w:val="00F31408"/>
    <w:rsid w:val="00F31B57"/>
    <w:rsid w:val="00F33019"/>
    <w:rsid w:val="00F34678"/>
    <w:rsid w:val="00F364EB"/>
    <w:rsid w:val="00F44D81"/>
    <w:rsid w:val="00F466FF"/>
    <w:rsid w:val="00F46E3F"/>
    <w:rsid w:val="00F51D68"/>
    <w:rsid w:val="00F536E2"/>
    <w:rsid w:val="00F553DA"/>
    <w:rsid w:val="00F57E43"/>
    <w:rsid w:val="00F6796D"/>
    <w:rsid w:val="00F87773"/>
    <w:rsid w:val="00F91630"/>
    <w:rsid w:val="00F9731D"/>
    <w:rsid w:val="00FA4357"/>
    <w:rsid w:val="00FB2BC4"/>
    <w:rsid w:val="00FB4CE5"/>
    <w:rsid w:val="00FB50F6"/>
    <w:rsid w:val="00FC3C44"/>
    <w:rsid w:val="00FD59DF"/>
    <w:rsid w:val="00FF0B77"/>
    <w:rsid w:val="00FF1C57"/>
    <w:rsid w:val="00FF3A95"/>
    <w:rsid w:val="00FF3AD2"/>
    <w:rsid w:val="00FF5B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86D6F"/>
    <w:pPr>
      <w:bidi/>
      <w:spacing w:after="0" w:line="240" w:lineRule="auto"/>
    </w:pPr>
  </w:style>
  <w:style w:type="table" w:styleId="a4">
    <w:name w:val="Table Grid"/>
    <w:basedOn w:val="a1"/>
    <w:uiPriority w:val="59"/>
    <w:rsid w:val="00086D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Quote"/>
    <w:basedOn w:val="a"/>
    <w:next w:val="a"/>
    <w:link w:val="a6"/>
    <w:uiPriority w:val="29"/>
    <w:qFormat/>
    <w:rsid w:val="0095194D"/>
    <w:rPr>
      <w:i/>
      <w:iCs/>
      <w:color w:val="000000" w:themeColor="text1"/>
    </w:rPr>
  </w:style>
  <w:style w:type="character" w:customStyle="1" w:styleId="a6">
    <w:name w:val="ציטוט תו"/>
    <w:basedOn w:val="a0"/>
    <w:link w:val="a5"/>
    <w:uiPriority w:val="29"/>
    <w:rsid w:val="0095194D"/>
    <w:rPr>
      <w:i/>
      <w:iCs/>
      <w:color w:val="000000" w:themeColor="text1"/>
    </w:rPr>
  </w:style>
  <w:style w:type="paragraph" w:styleId="a7">
    <w:name w:val="header"/>
    <w:basedOn w:val="a"/>
    <w:link w:val="a8"/>
    <w:rsid w:val="005C2376"/>
    <w:pPr>
      <w:tabs>
        <w:tab w:val="center" w:pos="4153"/>
        <w:tab w:val="right" w:pos="8306"/>
      </w:tabs>
      <w:bidi w:val="0"/>
      <w:spacing w:after="0" w:line="240" w:lineRule="auto"/>
    </w:pPr>
    <w:rPr>
      <w:rFonts w:ascii="Times New Roman" w:eastAsia="Times New Roman" w:hAnsi="Times New Roman" w:cs="Times New Roman"/>
      <w:sz w:val="24"/>
      <w:szCs w:val="24"/>
      <w:lang w:eastAsia="he-IL"/>
    </w:rPr>
  </w:style>
  <w:style w:type="character" w:customStyle="1" w:styleId="a8">
    <w:name w:val="כותרת עליונה תו"/>
    <w:basedOn w:val="a0"/>
    <w:link w:val="a7"/>
    <w:rsid w:val="005C2376"/>
    <w:rPr>
      <w:rFonts w:ascii="Times New Roman" w:eastAsia="Times New Roman" w:hAnsi="Times New Roman" w:cs="Times New Roman"/>
      <w:sz w:val="24"/>
      <w:szCs w:val="24"/>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86D6F"/>
    <w:pPr>
      <w:bidi/>
      <w:spacing w:after="0" w:line="240" w:lineRule="auto"/>
    </w:pPr>
  </w:style>
  <w:style w:type="table" w:styleId="a4">
    <w:name w:val="Table Grid"/>
    <w:basedOn w:val="a1"/>
    <w:uiPriority w:val="59"/>
    <w:rsid w:val="00086D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Quote"/>
    <w:basedOn w:val="a"/>
    <w:next w:val="a"/>
    <w:link w:val="a6"/>
    <w:uiPriority w:val="29"/>
    <w:qFormat/>
    <w:rsid w:val="0095194D"/>
    <w:rPr>
      <w:i/>
      <w:iCs/>
      <w:color w:val="000000" w:themeColor="text1"/>
    </w:rPr>
  </w:style>
  <w:style w:type="character" w:customStyle="1" w:styleId="a6">
    <w:name w:val="ציטוט תו"/>
    <w:basedOn w:val="a0"/>
    <w:link w:val="a5"/>
    <w:uiPriority w:val="29"/>
    <w:rsid w:val="0095194D"/>
    <w:rPr>
      <w:i/>
      <w:iCs/>
      <w:color w:val="000000" w:themeColor="text1"/>
    </w:rPr>
  </w:style>
  <w:style w:type="paragraph" w:styleId="a7">
    <w:name w:val="header"/>
    <w:basedOn w:val="a"/>
    <w:link w:val="a8"/>
    <w:rsid w:val="005C2376"/>
    <w:pPr>
      <w:tabs>
        <w:tab w:val="center" w:pos="4153"/>
        <w:tab w:val="right" w:pos="8306"/>
      </w:tabs>
      <w:bidi w:val="0"/>
      <w:spacing w:after="0" w:line="240" w:lineRule="auto"/>
    </w:pPr>
    <w:rPr>
      <w:rFonts w:ascii="Times New Roman" w:eastAsia="Times New Roman" w:hAnsi="Times New Roman" w:cs="Times New Roman"/>
      <w:sz w:val="24"/>
      <w:szCs w:val="24"/>
      <w:lang w:eastAsia="he-IL"/>
    </w:rPr>
  </w:style>
  <w:style w:type="character" w:customStyle="1" w:styleId="a8">
    <w:name w:val="כותרת עליונה תו"/>
    <w:basedOn w:val="a0"/>
    <w:link w:val="a7"/>
    <w:rsid w:val="005C2376"/>
    <w:rPr>
      <w:rFonts w:ascii="Times New Roman" w:eastAsia="Times New Roman" w:hAnsi="Times New Roman" w:cs="Times New Roman"/>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97569">
      <w:bodyDiv w:val="1"/>
      <w:marLeft w:val="0"/>
      <w:marRight w:val="0"/>
      <w:marTop w:val="0"/>
      <w:marBottom w:val="0"/>
      <w:divBdr>
        <w:top w:val="none" w:sz="0" w:space="0" w:color="auto"/>
        <w:left w:val="none" w:sz="0" w:space="0" w:color="auto"/>
        <w:bottom w:val="none" w:sz="0" w:space="0" w:color="auto"/>
        <w:right w:val="none" w:sz="0" w:space="0" w:color="auto"/>
      </w:divBdr>
    </w:div>
    <w:div w:id="546063605">
      <w:bodyDiv w:val="1"/>
      <w:marLeft w:val="0"/>
      <w:marRight w:val="0"/>
      <w:marTop w:val="0"/>
      <w:marBottom w:val="0"/>
      <w:divBdr>
        <w:top w:val="none" w:sz="0" w:space="0" w:color="auto"/>
        <w:left w:val="none" w:sz="0" w:space="0" w:color="auto"/>
        <w:bottom w:val="none" w:sz="0" w:space="0" w:color="auto"/>
        <w:right w:val="none" w:sz="0" w:space="0" w:color="auto"/>
      </w:divBdr>
    </w:div>
    <w:div w:id="803350048">
      <w:bodyDiv w:val="1"/>
      <w:marLeft w:val="0"/>
      <w:marRight w:val="0"/>
      <w:marTop w:val="0"/>
      <w:marBottom w:val="0"/>
      <w:divBdr>
        <w:top w:val="none" w:sz="0" w:space="0" w:color="auto"/>
        <w:left w:val="none" w:sz="0" w:space="0" w:color="auto"/>
        <w:bottom w:val="none" w:sz="0" w:space="0" w:color="auto"/>
        <w:right w:val="none" w:sz="0" w:space="0" w:color="auto"/>
      </w:divBdr>
    </w:div>
    <w:div w:id="1407533660">
      <w:bodyDiv w:val="1"/>
      <w:marLeft w:val="0"/>
      <w:marRight w:val="0"/>
      <w:marTop w:val="0"/>
      <w:marBottom w:val="0"/>
      <w:divBdr>
        <w:top w:val="none" w:sz="0" w:space="0" w:color="auto"/>
        <w:left w:val="none" w:sz="0" w:space="0" w:color="auto"/>
        <w:bottom w:val="none" w:sz="0" w:space="0" w:color="auto"/>
        <w:right w:val="none" w:sz="0" w:space="0" w:color="auto"/>
      </w:divBdr>
    </w:div>
    <w:div w:id="1540358639">
      <w:bodyDiv w:val="1"/>
      <w:marLeft w:val="0"/>
      <w:marRight w:val="0"/>
      <w:marTop w:val="0"/>
      <w:marBottom w:val="0"/>
      <w:divBdr>
        <w:top w:val="none" w:sz="0" w:space="0" w:color="auto"/>
        <w:left w:val="none" w:sz="0" w:space="0" w:color="auto"/>
        <w:bottom w:val="none" w:sz="0" w:space="0" w:color="auto"/>
        <w:right w:val="none" w:sz="0" w:space="0" w:color="auto"/>
      </w:divBdr>
    </w:div>
    <w:div w:id="205069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8D9D02-688A-4405-B408-A5D4A2CFA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13</Pages>
  <Words>5210</Words>
  <Characters>26050</Characters>
  <Application>Microsoft Office Word</Application>
  <DocSecurity>0</DocSecurity>
  <Lines>217</Lines>
  <Paragraphs>62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31198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זעפרני</dc:creator>
  <cp:lastModifiedBy>זעפרני</cp:lastModifiedBy>
  <cp:revision>44</cp:revision>
  <dcterms:created xsi:type="dcterms:W3CDTF">2011-11-04T08:33:00Z</dcterms:created>
  <dcterms:modified xsi:type="dcterms:W3CDTF">2012-01-10T13:24:00Z</dcterms:modified>
</cp:coreProperties>
</file>