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479D8" w14:textId="7333CB2C" w:rsidR="00D505BB" w:rsidRDefault="00D505BB" w:rsidP="002B4CC2">
      <w:pPr>
        <w:rPr>
          <w:b/>
        </w:rPr>
      </w:pPr>
      <w:r>
        <w:rPr>
          <w:b/>
        </w:rPr>
        <w:t xml:space="preserve">Online </w:t>
      </w:r>
      <w:r w:rsidR="00513FDD">
        <w:rPr>
          <w:b/>
        </w:rPr>
        <w:t>Appendixes</w:t>
      </w:r>
      <w:r w:rsidR="00962EF2">
        <w:rPr>
          <w:b/>
        </w:rPr>
        <w:t xml:space="preserve"> for Steinsaltz et al. Very short term Blood Pressure Variability and long-term Mortality.</w:t>
      </w:r>
    </w:p>
    <w:p w14:paraId="5ADDFFF2" w14:textId="277FEEF3" w:rsidR="00513FDD" w:rsidRDefault="00513FDD" w:rsidP="002B4CC2">
      <w:pPr>
        <w:rPr>
          <w:b/>
        </w:rPr>
      </w:pPr>
      <w:r>
        <w:rPr>
          <w:b/>
        </w:rPr>
        <w:t>Appendix 1. Addressing errors in blood pressure measurement</w:t>
      </w:r>
    </w:p>
    <w:p w14:paraId="57FD1E97" w14:textId="72D1976A" w:rsidR="00513FDD" w:rsidRDefault="00506489" w:rsidP="00513FDD">
      <w:r>
        <w:t>The blood pressure errors were found in the at home</w:t>
      </w:r>
      <w:r w:rsidR="00513FDD">
        <w:t xml:space="preserve"> measurements. While these did not destr</w:t>
      </w:r>
      <w:r>
        <w:t>oy the usefulness of the home</w:t>
      </w:r>
      <w:r w:rsidR="00513FDD">
        <w:t xml:space="preserve"> measurements, they did require some attention and decisions </w:t>
      </w:r>
      <w:r>
        <w:t>for</w:t>
      </w:r>
      <w:r w:rsidR="00513FDD">
        <w:t xml:space="preserve"> how to work with these defects. We also consider them inherently interesting, and worth registering for future researchers working on these or similar data. In particular, the problem we have called “pseudo-repetition” was entirely unexpected</w:t>
      </w:r>
      <w:r w:rsidR="009E309F">
        <w:t>, although not unprescedented</w:t>
      </w:r>
      <w:r w:rsidR="00513FDD">
        <w:t>, and is of particular concern to researchers trying to estimate individual variation in clinically relevant measures.</w:t>
      </w:r>
    </w:p>
    <w:p w14:paraId="248B6A96" w14:textId="77777777" w:rsidR="00513FDD" w:rsidRDefault="00513FDD" w:rsidP="00513FDD">
      <w:r w:rsidRPr="002B4CC2">
        <w:rPr>
          <w:b/>
        </w:rPr>
        <w:t>Last digit preference.</w:t>
      </w:r>
      <w:r>
        <w:t xml:space="preserve"> Mild tendency for observers to prefer certain last digits in reporting BP measurements has been reported in other studies, though an analysis of the 1999 wave of NHANES reported no last-digit preference.</w:t>
      </w:r>
      <w:r w:rsidRPr="00CB52C2">
        <w:rPr>
          <w:rStyle w:val="EndnoteReference"/>
        </w:rPr>
        <w:t xml:space="preserve"> </w:t>
      </w:r>
      <w:r>
        <w:rPr>
          <w:rStyle w:val="EndnoteReference"/>
        </w:rPr>
        <w:endnoteReference w:id="1"/>
      </w:r>
      <w:r>
        <w:t xml:space="preserve"> The last-digit preference in NHANES III, on the other hand, is substantial, with about 26% of all the diastolic BP measurements ending in 0, but only about 30% ending in 4 or 6. A more complete analysis of this phenomenon is included in the appendix. Because the shifts due to last-digit preference are presumably small, we expect them to have little effect on the main effects that we are examining in this paper, but they do increase the probability of two measurements being rounded to the same value, something that needs to be taken into account in examining the problem of pseudo-repetition.</w:t>
      </w:r>
    </w:p>
    <w:p w14:paraId="1384CD45" w14:textId="77777777" w:rsidR="00513FDD" w:rsidRPr="00EA5401" w:rsidRDefault="00513FDD" w:rsidP="00513FDD">
      <w:r>
        <w:rPr>
          <w:b/>
        </w:rPr>
        <w:t xml:space="preserve">Pseudo-replicates. </w:t>
      </w:r>
      <w:r>
        <w:t xml:space="preserve"> While the protocol calls for each subject to have three independent BP measures taken, it is clear from looking at the distribution of the results that this is not what happened, in many cases, in the home measurements. Instead, one or two measurements were taken correctly, and the remaining “observations” were either copied in, or matched the earlier results because of the observer’s inclination to expect the same number to come up. We analyze this problem at length in the Appendix, showing that approximately 16% of all the subjects were corrupted by some amount of copying (whether intentional or inadvertent). This is a significant problem, because copying affects the variance of the reported measurements, shifting it consistently downward, to an extent that may be very large, and is impossible to reconstruct. The effect is to create a class of spurious low-variance individuals that dilute the effect of variance on survival. As we describe later, this phenomenon may have played a role in causing the negative result reported by Muntner </w:t>
      </w:r>
      <w:r>
        <w:rPr>
          <w:i/>
        </w:rPr>
        <w:t>et al.</w:t>
      </w:r>
    </w:p>
    <w:p w14:paraId="68C37C32" w14:textId="77777777" w:rsidR="00513FDD" w:rsidRDefault="00513FDD" w:rsidP="00513FDD">
      <w:r>
        <w:rPr>
          <w:b/>
        </w:rPr>
        <w:t>Missing or implausible measurements</w:t>
      </w:r>
      <w:r>
        <w:t xml:space="preserve">: Some of the reported measures were extremely implausible, particularly for diastolic BP. 262 subjects had at least one diastolic BP measure recorded as 0, in addition to the 2108 subjects who were missing at least one measurement. We excluded all of these subjects, and indeed any subject who had at least one measurement recorded outside the ranges (40,140) for diastolic and (60,250) for systolic BP, as recommended by the CDC. There was just one subject with systolic BP measures that were too low, but 271 subjects with low diastolic BP (in addition to those with measures recorded as 0). One subject was excluded for diastolic BP 156, and three were excluded for systolic BP that was too high, with the maximum being 264. After excluding the subjects for whom there </w:t>
      </w:r>
      <w:r>
        <w:lastRenderedPageBreak/>
        <w:t>is no follow-up information, we are left with 15602 of the originally 18155 subjects. We refer to this as population B.</w:t>
      </w:r>
    </w:p>
    <w:p w14:paraId="2E8089D8" w14:textId="77777777" w:rsidR="00513FDD" w:rsidRDefault="00513FDD" w:rsidP="00513FDD">
      <w:r>
        <w:t>The empirical means of the home and clinic measures in population B are tabulated in Table 1. We note that the home measures are systematically higher than the clinic measures, within every demographic group, with greater differences for subjects who are white or Mexican, and female. The average difference is about 2.3 for diastolic and 2.7 for systolic, which is small compared with the general range of the differences, which have SD of 10.1 (diastolic) and 14.0 (systolic).</w:t>
      </w:r>
    </w:p>
    <w:p w14:paraId="44608FDA" w14:textId="70FBF724" w:rsidR="00F14A5A" w:rsidRDefault="00F14A5A" w:rsidP="00CB4C36">
      <w:pPr>
        <w:pStyle w:val="Caption"/>
      </w:pPr>
      <w:r>
        <w:t>Appendix 1 Table 1 Mean BP (with SD of individual means in parentheses) by sex and ethnicity.</w:t>
      </w:r>
    </w:p>
    <w:tbl>
      <w:tblPr>
        <w:tblStyle w:val="TableGrid"/>
        <w:tblW w:w="0" w:type="auto"/>
        <w:tblLook w:val="04A0" w:firstRow="1" w:lastRow="0" w:firstColumn="1" w:lastColumn="0" w:noHBand="0" w:noVBand="1"/>
      </w:tblPr>
      <w:tblGrid>
        <w:gridCol w:w="1482"/>
        <w:gridCol w:w="1429"/>
        <w:gridCol w:w="1596"/>
        <w:gridCol w:w="1596"/>
        <w:gridCol w:w="1623"/>
        <w:gridCol w:w="1624"/>
      </w:tblGrid>
      <w:tr w:rsidR="00513FDD" w14:paraId="04C3AE88" w14:textId="77777777" w:rsidTr="005E012A">
        <w:tc>
          <w:tcPr>
            <w:tcW w:w="1534" w:type="dxa"/>
          </w:tcPr>
          <w:p w14:paraId="1434EABB" w14:textId="77777777" w:rsidR="00513FDD" w:rsidRDefault="00513FDD" w:rsidP="005E012A">
            <w:pPr>
              <w:jc w:val="center"/>
            </w:pPr>
            <w:r>
              <w:t>Sex</w:t>
            </w:r>
          </w:p>
        </w:tc>
        <w:tc>
          <w:tcPr>
            <w:tcW w:w="1453" w:type="dxa"/>
          </w:tcPr>
          <w:p w14:paraId="4D1DB172" w14:textId="77777777" w:rsidR="00513FDD" w:rsidRDefault="00513FDD" w:rsidP="005E012A">
            <w:pPr>
              <w:jc w:val="center"/>
            </w:pPr>
            <w:r>
              <w:t>Ethnicity</w:t>
            </w:r>
          </w:p>
        </w:tc>
        <w:tc>
          <w:tcPr>
            <w:tcW w:w="1635" w:type="dxa"/>
          </w:tcPr>
          <w:p w14:paraId="072D2E05" w14:textId="77777777" w:rsidR="00513FDD" w:rsidRDefault="00513FDD" w:rsidP="005E012A">
            <w:pPr>
              <w:jc w:val="center"/>
            </w:pPr>
            <w:r>
              <w:t>Home Systolic</w:t>
            </w:r>
          </w:p>
        </w:tc>
        <w:tc>
          <w:tcPr>
            <w:tcW w:w="1635" w:type="dxa"/>
          </w:tcPr>
          <w:p w14:paraId="6B4B33DB" w14:textId="77777777" w:rsidR="00513FDD" w:rsidRDefault="00513FDD" w:rsidP="005E012A">
            <w:pPr>
              <w:jc w:val="center"/>
            </w:pPr>
            <w:r>
              <w:t>Clinic Systolic</w:t>
            </w:r>
          </w:p>
        </w:tc>
        <w:tc>
          <w:tcPr>
            <w:tcW w:w="1659" w:type="dxa"/>
          </w:tcPr>
          <w:p w14:paraId="3F1141AF" w14:textId="77777777" w:rsidR="00513FDD" w:rsidRDefault="00513FDD" w:rsidP="005E012A">
            <w:pPr>
              <w:jc w:val="center"/>
            </w:pPr>
            <w:r>
              <w:t>Home Diastolic</w:t>
            </w:r>
          </w:p>
        </w:tc>
        <w:tc>
          <w:tcPr>
            <w:tcW w:w="1660" w:type="dxa"/>
          </w:tcPr>
          <w:p w14:paraId="1411AA6C" w14:textId="77777777" w:rsidR="00513FDD" w:rsidRDefault="00513FDD" w:rsidP="005E012A">
            <w:pPr>
              <w:jc w:val="center"/>
            </w:pPr>
            <w:r>
              <w:t>Clinic Diastolic</w:t>
            </w:r>
          </w:p>
        </w:tc>
      </w:tr>
      <w:tr w:rsidR="00513FDD" w14:paraId="07D65744" w14:textId="77777777" w:rsidTr="005E012A">
        <w:tc>
          <w:tcPr>
            <w:tcW w:w="1534" w:type="dxa"/>
          </w:tcPr>
          <w:p w14:paraId="620B3AD8" w14:textId="77777777" w:rsidR="00513FDD" w:rsidRDefault="00513FDD" w:rsidP="005E012A">
            <w:pPr>
              <w:jc w:val="center"/>
            </w:pPr>
            <w:r>
              <w:t>M</w:t>
            </w:r>
          </w:p>
        </w:tc>
        <w:tc>
          <w:tcPr>
            <w:tcW w:w="1453" w:type="dxa"/>
          </w:tcPr>
          <w:p w14:paraId="63DD6D73" w14:textId="77777777" w:rsidR="00513FDD" w:rsidRDefault="00513FDD" w:rsidP="005E012A">
            <w:pPr>
              <w:jc w:val="center"/>
            </w:pPr>
            <w:r>
              <w:t>Black</w:t>
            </w:r>
          </w:p>
        </w:tc>
        <w:tc>
          <w:tcPr>
            <w:tcW w:w="1635" w:type="dxa"/>
          </w:tcPr>
          <w:p w14:paraId="40BCADB8" w14:textId="77777777" w:rsidR="00513FDD" w:rsidRDefault="00513FDD" w:rsidP="005E012A">
            <w:pPr>
              <w:jc w:val="center"/>
            </w:pPr>
            <w:r>
              <w:t>128.4 (18.9)</w:t>
            </w:r>
          </w:p>
        </w:tc>
        <w:tc>
          <w:tcPr>
            <w:tcW w:w="1635" w:type="dxa"/>
          </w:tcPr>
          <w:p w14:paraId="216136A0" w14:textId="77777777" w:rsidR="00513FDD" w:rsidRDefault="00513FDD" w:rsidP="005E012A">
            <w:pPr>
              <w:jc w:val="center"/>
            </w:pPr>
            <w:r>
              <w:t>127.4 (19.4)</w:t>
            </w:r>
          </w:p>
        </w:tc>
        <w:tc>
          <w:tcPr>
            <w:tcW w:w="1659" w:type="dxa"/>
          </w:tcPr>
          <w:p w14:paraId="2979563E" w14:textId="77777777" w:rsidR="00513FDD" w:rsidRDefault="00513FDD" w:rsidP="005E012A">
            <w:pPr>
              <w:jc w:val="center"/>
            </w:pPr>
            <w:r>
              <w:t>78.1 (13.1)</w:t>
            </w:r>
          </w:p>
        </w:tc>
        <w:tc>
          <w:tcPr>
            <w:tcW w:w="1660" w:type="dxa"/>
          </w:tcPr>
          <w:p w14:paraId="2EEE5241" w14:textId="77777777" w:rsidR="00513FDD" w:rsidRDefault="00513FDD" w:rsidP="005E012A">
            <w:pPr>
              <w:jc w:val="center"/>
            </w:pPr>
            <w:r>
              <w:t>77.4 (12.3)</w:t>
            </w:r>
          </w:p>
        </w:tc>
      </w:tr>
      <w:tr w:rsidR="00513FDD" w14:paraId="028B8446" w14:textId="77777777" w:rsidTr="005E012A">
        <w:tc>
          <w:tcPr>
            <w:tcW w:w="1534" w:type="dxa"/>
          </w:tcPr>
          <w:p w14:paraId="44DE8267" w14:textId="77777777" w:rsidR="00513FDD" w:rsidRDefault="00513FDD" w:rsidP="005E012A">
            <w:pPr>
              <w:jc w:val="center"/>
            </w:pPr>
          </w:p>
        </w:tc>
        <w:tc>
          <w:tcPr>
            <w:tcW w:w="1453" w:type="dxa"/>
          </w:tcPr>
          <w:p w14:paraId="273D73D3" w14:textId="77777777" w:rsidR="00513FDD" w:rsidRDefault="00513FDD" w:rsidP="005E012A">
            <w:pPr>
              <w:jc w:val="center"/>
            </w:pPr>
            <w:r>
              <w:t>White</w:t>
            </w:r>
          </w:p>
        </w:tc>
        <w:tc>
          <w:tcPr>
            <w:tcW w:w="1635" w:type="dxa"/>
          </w:tcPr>
          <w:p w14:paraId="7B912749" w14:textId="77777777" w:rsidR="00513FDD" w:rsidRDefault="00513FDD" w:rsidP="005E012A">
            <w:pPr>
              <w:jc w:val="center"/>
            </w:pPr>
            <w:r>
              <w:t>131.0 (19.2)</w:t>
            </w:r>
          </w:p>
        </w:tc>
        <w:tc>
          <w:tcPr>
            <w:tcW w:w="1635" w:type="dxa"/>
          </w:tcPr>
          <w:p w14:paraId="0A9D2039" w14:textId="77777777" w:rsidR="00513FDD" w:rsidRDefault="00513FDD" w:rsidP="005E012A">
            <w:pPr>
              <w:jc w:val="center"/>
            </w:pPr>
            <w:r>
              <w:t>127.8 (19.2)</w:t>
            </w:r>
          </w:p>
        </w:tc>
        <w:tc>
          <w:tcPr>
            <w:tcW w:w="1659" w:type="dxa"/>
          </w:tcPr>
          <w:p w14:paraId="48E9D232" w14:textId="77777777" w:rsidR="00513FDD" w:rsidRDefault="00513FDD" w:rsidP="005E012A">
            <w:pPr>
              <w:jc w:val="center"/>
            </w:pPr>
            <w:r>
              <w:t>76.8 (11.2)</w:t>
            </w:r>
          </w:p>
        </w:tc>
        <w:tc>
          <w:tcPr>
            <w:tcW w:w="1660" w:type="dxa"/>
          </w:tcPr>
          <w:p w14:paraId="4D319770" w14:textId="77777777" w:rsidR="00513FDD" w:rsidRDefault="00513FDD" w:rsidP="005E012A">
            <w:pPr>
              <w:jc w:val="center"/>
            </w:pPr>
            <w:r>
              <w:t>75.2 (10.7)</w:t>
            </w:r>
          </w:p>
        </w:tc>
      </w:tr>
      <w:tr w:rsidR="00513FDD" w14:paraId="540333FD" w14:textId="77777777" w:rsidTr="005E012A">
        <w:tc>
          <w:tcPr>
            <w:tcW w:w="1534" w:type="dxa"/>
          </w:tcPr>
          <w:p w14:paraId="3D5E2A13" w14:textId="77777777" w:rsidR="00513FDD" w:rsidRDefault="00513FDD" w:rsidP="005E012A">
            <w:pPr>
              <w:jc w:val="center"/>
            </w:pPr>
          </w:p>
        </w:tc>
        <w:tc>
          <w:tcPr>
            <w:tcW w:w="1453" w:type="dxa"/>
          </w:tcPr>
          <w:p w14:paraId="60810108" w14:textId="77777777" w:rsidR="00513FDD" w:rsidRDefault="00513FDD" w:rsidP="005E012A">
            <w:pPr>
              <w:jc w:val="center"/>
            </w:pPr>
            <w:r>
              <w:t>Mexican</w:t>
            </w:r>
          </w:p>
        </w:tc>
        <w:tc>
          <w:tcPr>
            <w:tcW w:w="1635" w:type="dxa"/>
          </w:tcPr>
          <w:p w14:paraId="5011707D" w14:textId="77777777" w:rsidR="00513FDD" w:rsidRDefault="00513FDD" w:rsidP="005E012A">
            <w:pPr>
              <w:jc w:val="center"/>
            </w:pPr>
            <w:r>
              <w:t>126.7 (17.6)</w:t>
            </w:r>
          </w:p>
        </w:tc>
        <w:tc>
          <w:tcPr>
            <w:tcW w:w="1635" w:type="dxa"/>
          </w:tcPr>
          <w:p w14:paraId="48154A6B" w14:textId="77777777" w:rsidR="00513FDD" w:rsidRDefault="00513FDD" w:rsidP="005E012A">
            <w:pPr>
              <w:jc w:val="center"/>
            </w:pPr>
            <w:r>
              <w:t>123.2 (17.8)</w:t>
            </w:r>
          </w:p>
        </w:tc>
        <w:tc>
          <w:tcPr>
            <w:tcW w:w="1659" w:type="dxa"/>
          </w:tcPr>
          <w:p w14:paraId="73D4D0FF" w14:textId="77777777" w:rsidR="00513FDD" w:rsidRDefault="00513FDD" w:rsidP="005E012A">
            <w:pPr>
              <w:jc w:val="center"/>
            </w:pPr>
            <w:r>
              <w:t>76.1 (11.9)</w:t>
            </w:r>
          </w:p>
        </w:tc>
        <w:tc>
          <w:tcPr>
            <w:tcW w:w="1660" w:type="dxa"/>
          </w:tcPr>
          <w:p w14:paraId="4662B694" w14:textId="77777777" w:rsidR="00513FDD" w:rsidRDefault="00513FDD" w:rsidP="005E012A">
            <w:pPr>
              <w:jc w:val="center"/>
            </w:pPr>
            <w:r>
              <w:t>74.2 (11.7)</w:t>
            </w:r>
          </w:p>
        </w:tc>
      </w:tr>
      <w:tr w:rsidR="00513FDD" w14:paraId="2314891A" w14:textId="77777777" w:rsidTr="005E012A">
        <w:tc>
          <w:tcPr>
            <w:tcW w:w="1534" w:type="dxa"/>
          </w:tcPr>
          <w:p w14:paraId="19EE6427" w14:textId="77777777" w:rsidR="00513FDD" w:rsidRDefault="00513FDD" w:rsidP="005E012A">
            <w:pPr>
              <w:jc w:val="center"/>
            </w:pPr>
          </w:p>
        </w:tc>
        <w:tc>
          <w:tcPr>
            <w:tcW w:w="1453" w:type="dxa"/>
          </w:tcPr>
          <w:p w14:paraId="6984ED94" w14:textId="77777777" w:rsidR="00513FDD" w:rsidRDefault="00513FDD" w:rsidP="005E012A">
            <w:pPr>
              <w:jc w:val="center"/>
            </w:pPr>
            <w:r>
              <w:t>Other</w:t>
            </w:r>
          </w:p>
        </w:tc>
        <w:tc>
          <w:tcPr>
            <w:tcW w:w="1635" w:type="dxa"/>
          </w:tcPr>
          <w:p w14:paraId="2B9B368F" w14:textId="77777777" w:rsidR="00513FDD" w:rsidRDefault="00513FDD" w:rsidP="005E012A">
            <w:pPr>
              <w:jc w:val="center"/>
            </w:pPr>
            <w:r>
              <w:t>125.5 (18.4)</w:t>
            </w:r>
          </w:p>
        </w:tc>
        <w:tc>
          <w:tcPr>
            <w:tcW w:w="1635" w:type="dxa"/>
          </w:tcPr>
          <w:p w14:paraId="7C88E616" w14:textId="77777777" w:rsidR="00513FDD" w:rsidRDefault="00513FDD" w:rsidP="005E012A">
            <w:pPr>
              <w:jc w:val="center"/>
            </w:pPr>
            <w:r>
              <w:t>122.5 (17.9)</w:t>
            </w:r>
          </w:p>
        </w:tc>
        <w:tc>
          <w:tcPr>
            <w:tcW w:w="1659" w:type="dxa"/>
          </w:tcPr>
          <w:p w14:paraId="2AEFC78A" w14:textId="77777777" w:rsidR="00513FDD" w:rsidRDefault="00513FDD" w:rsidP="005E012A">
            <w:pPr>
              <w:jc w:val="center"/>
            </w:pPr>
            <w:r>
              <w:t>76.7 (11.8)</w:t>
            </w:r>
          </w:p>
        </w:tc>
        <w:tc>
          <w:tcPr>
            <w:tcW w:w="1660" w:type="dxa"/>
          </w:tcPr>
          <w:p w14:paraId="4BC6C230" w14:textId="77777777" w:rsidR="00513FDD" w:rsidRDefault="00513FDD" w:rsidP="005E012A">
            <w:pPr>
              <w:jc w:val="center"/>
            </w:pPr>
            <w:r>
              <w:t>75.3 (10.7)</w:t>
            </w:r>
          </w:p>
        </w:tc>
      </w:tr>
      <w:tr w:rsidR="00513FDD" w14:paraId="065F7850" w14:textId="77777777" w:rsidTr="005E012A">
        <w:tc>
          <w:tcPr>
            <w:tcW w:w="1534" w:type="dxa"/>
          </w:tcPr>
          <w:p w14:paraId="65DC5FDE" w14:textId="77777777" w:rsidR="00513FDD" w:rsidRDefault="00513FDD" w:rsidP="005E012A">
            <w:pPr>
              <w:jc w:val="center"/>
            </w:pPr>
            <w:r>
              <w:t>F</w:t>
            </w:r>
          </w:p>
        </w:tc>
        <w:tc>
          <w:tcPr>
            <w:tcW w:w="1453" w:type="dxa"/>
          </w:tcPr>
          <w:p w14:paraId="5256B50B" w14:textId="77777777" w:rsidR="00513FDD" w:rsidRDefault="00513FDD" w:rsidP="005E012A">
            <w:pPr>
              <w:jc w:val="center"/>
            </w:pPr>
            <w:r>
              <w:t>Black</w:t>
            </w:r>
          </w:p>
        </w:tc>
        <w:tc>
          <w:tcPr>
            <w:tcW w:w="1635" w:type="dxa"/>
          </w:tcPr>
          <w:p w14:paraId="636C4853" w14:textId="77777777" w:rsidR="00513FDD" w:rsidRDefault="00513FDD" w:rsidP="005E012A">
            <w:pPr>
              <w:jc w:val="center"/>
            </w:pPr>
            <w:r>
              <w:t>122.7 (21.6)</w:t>
            </w:r>
          </w:p>
        </w:tc>
        <w:tc>
          <w:tcPr>
            <w:tcW w:w="1635" w:type="dxa"/>
          </w:tcPr>
          <w:p w14:paraId="4C1F967B" w14:textId="77777777" w:rsidR="00513FDD" w:rsidRDefault="00513FDD" w:rsidP="005E012A">
            <w:pPr>
              <w:jc w:val="center"/>
            </w:pPr>
            <w:r>
              <w:t>121.9 (22.6)</w:t>
            </w:r>
          </w:p>
        </w:tc>
        <w:tc>
          <w:tcPr>
            <w:tcW w:w="1659" w:type="dxa"/>
          </w:tcPr>
          <w:p w14:paraId="72DCCFF6" w14:textId="77777777" w:rsidR="00513FDD" w:rsidRDefault="00513FDD" w:rsidP="005E012A">
            <w:pPr>
              <w:jc w:val="center"/>
            </w:pPr>
            <w:r>
              <w:t>74.5 (13.0)</w:t>
            </w:r>
          </w:p>
        </w:tc>
        <w:tc>
          <w:tcPr>
            <w:tcW w:w="1660" w:type="dxa"/>
          </w:tcPr>
          <w:p w14:paraId="1C23040F" w14:textId="77777777" w:rsidR="00513FDD" w:rsidRDefault="00513FDD" w:rsidP="005E012A">
            <w:pPr>
              <w:jc w:val="center"/>
            </w:pPr>
            <w:r>
              <w:t>71.8 (12.7)</w:t>
            </w:r>
          </w:p>
        </w:tc>
      </w:tr>
      <w:tr w:rsidR="00513FDD" w14:paraId="3081E1E6" w14:textId="77777777" w:rsidTr="005E012A">
        <w:tc>
          <w:tcPr>
            <w:tcW w:w="1534" w:type="dxa"/>
          </w:tcPr>
          <w:p w14:paraId="179745C5" w14:textId="77777777" w:rsidR="00513FDD" w:rsidRDefault="00513FDD" w:rsidP="005E012A">
            <w:pPr>
              <w:jc w:val="center"/>
            </w:pPr>
          </w:p>
        </w:tc>
        <w:tc>
          <w:tcPr>
            <w:tcW w:w="1453" w:type="dxa"/>
          </w:tcPr>
          <w:p w14:paraId="215C4C98" w14:textId="77777777" w:rsidR="00513FDD" w:rsidRDefault="00513FDD" w:rsidP="005E012A">
            <w:pPr>
              <w:jc w:val="center"/>
            </w:pPr>
            <w:r>
              <w:t>White</w:t>
            </w:r>
          </w:p>
        </w:tc>
        <w:tc>
          <w:tcPr>
            <w:tcW w:w="1635" w:type="dxa"/>
          </w:tcPr>
          <w:p w14:paraId="6CF31545" w14:textId="77777777" w:rsidR="00513FDD" w:rsidRDefault="00513FDD" w:rsidP="005E012A">
            <w:pPr>
              <w:jc w:val="center"/>
            </w:pPr>
            <w:r>
              <w:t>126.9 (22.4)</w:t>
            </w:r>
          </w:p>
        </w:tc>
        <w:tc>
          <w:tcPr>
            <w:tcW w:w="1635" w:type="dxa"/>
          </w:tcPr>
          <w:p w14:paraId="4483DECB" w14:textId="77777777" w:rsidR="00513FDD" w:rsidRDefault="00513FDD" w:rsidP="005E012A">
            <w:pPr>
              <w:jc w:val="center"/>
            </w:pPr>
            <w:r>
              <w:t>123.1 (22.5)</w:t>
            </w:r>
          </w:p>
        </w:tc>
        <w:tc>
          <w:tcPr>
            <w:tcW w:w="1659" w:type="dxa"/>
          </w:tcPr>
          <w:p w14:paraId="1206ECC9" w14:textId="77777777" w:rsidR="00513FDD" w:rsidRDefault="00513FDD" w:rsidP="005E012A">
            <w:pPr>
              <w:jc w:val="center"/>
            </w:pPr>
            <w:r>
              <w:t>73.4 (10.6)</w:t>
            </w:r>
          </w:p>
        </w:tc>
        <w:tc>
          <w:tcPr>
            <w:tcW w:w="1660" w:type="dxa"/>
          </w:tcPr>
          <w:p w14:paraId="2EB6A919" w14:textId="77777777" w:rsidR="00513FDD" w:rsidRDefault="00513FDD" w:rsidP="005E012A">
            <w:pPr>
              <w:jc w:val="center"/>
            </w:pPr>
            <w:r>
              <w:t>70.1 (10.2)</w:t>
            </w:r>
          </w:p>
        </w:tc>
      </w:tr>
      <w:tr w:rsidR="00513FDD" w14:paraId="7F9362EC" w14:textId="77777777" w:rsidTr="005E012A">
        <w:tc>
          <w:tcPr>
            <w:tcW w:w="1534" w:type="dxa"/>
          </w:tcPr>
          <w:p w14:paraId="01C408C7" w14:textId="77777777" w:rsidR="00513FDD" w:rsidRDefault="00513FDD" w:rsidP="005E012A">
            <w:pPr>
              <w:jc w:val="center"/>
            </w:pPr>
          </w:p>
        </w:tc>
        <w:tc>
          <w:tcPr>
            <w:tcW w:w="1453" w:type="dxa"/>
          </w:tcPr>
          <w:p w14:paraId="58917410" w14:textId="77777777" w:rsidR="00513FDD" w:rsidRDefault="00513FDD" w:rsidP="005E012A">
            <w:pPr>
              <w:jc w:val="center"/>
            </w:pPr>
            <w:r>
              <w:t>Mexican</w:t>
            </w:r>
          </w:p>
        </w:tc>
        <w:tc>
          <w:tcPr>
            <w:tcW w:w="1635" w:type="dxa"/>
          </w:tcPr>
          <w:p w14:paraId="5F1E6560" w14:textId="77777777" w:rsidR="00513FDD" w:rsidRDefault="00513FDD" w:rsidP="005E012A">
            <w:pPr>
              <w:jc w:val="center"/>
            </w:pPr>
            <w:r>
              <w:t>120.7 (20.7)</w:t>
            </w:r>
          </w:p>
        </w:tc>
        <w:tc>
          <w:tcPr>
            <w:tcW w:w="1635" w:type="dxa"/>
          </w:tcPr>
          <w:p w14:paraId="2C24035F" w14:textId="77777777" w:rsidR="00513FDD" w:rsidRDefault="00513FDD" w:rsidP="005E012A">
            <w:pPr>
              <w:jc w:val="center"/>
            </w:pPr>
            <w:r>
              <w:t>117.4 (20.9)</w:t>
            </w:r>
          </w:p>
        </w:tc>
        <w:tc>
          <w:tcPr>
            <w:tcW w:w="1659" w:type="dxa"/>
          </w:tcPr>
          <w:p w14:paraId="7CA211C6" w14:textId="77777777" w:rsidR="00513FDD" w:rsidRDefault="00513FDD" w:rsidP="005E012A">
            <w:pPr>
              <w:jc w:val="center"/>
            </w:pPr>
            <w:r>
              <w:t>71.5 (10.9)</w:t>
            </w:r>
          </w:p>
        </w:tc>
        <w:tc>
          <w:tcPr>
            <w:tcW w:w="1660" w:type="dxa"/>
          </w:tcPr>
          <w:p w14:paraId="7090D6F5" w14:textId="77777777" w:rsidR="00513FDD" w:rsidRDefault="00513FDD" w:rsidP="005E012A">
            <w:pPr>
              <w:jc w:val="center"/>
            </w:pPr>
            <w:r>
              <w:t>68.6 (10.7)</w:t>
            </w:r>
          </w:p>
        </w:tc>
      </w:tr>
      <w:tr w:rsidR="00513FDD" w14:paraId="223E5794" w14:textId="77777777" w:rsidTr="005E012A">
        <w:tc>
          <w:tcPr>
            <w:tcW w:w="1534" w:type="dxa"/>
          </w:tcPr>
          <w:p w14:paraId="5446E38E" w14:textId="77777777" w:rsidR="00513FDD" w:rsidRDefault="00513FDD" w:rsidP="005E012A">
            <w:pPr>
              <w:jc w:val="center"/>
            </w:pPr>
          </w:p>
        </w:tc>
        <w:tc>
          <w:tcPr>
            <w:tcW w:w="1453" w:type="dxa"/>
          </w:tcPr>
          <w:p w14:paraId="3E94A71C" w14:textId="77777777" w:rsidR="00513FDD" w:rsidRDefault="00513FDD" w:rsidP="005E012A">
            <w:pPr>
              <w:jc w:val="center"/>
            </w:pPr>
            <w:r>
              <w:t>Other</w:t>
            </w:r>
          </w:p>
        </w:tc>
        <w:tc>
          <w:tcPr>
            <w:tcW w:w="1635" w:type="dxa"/>
          </w:tcPr>
          <w:p w14:paraId="67DBC5EB" w14:textId="77777777" w:rsidR="00513FDD" w:rsidRDefault="00513FDD" w:rsidP="005E012A">
            <w:pPr>
              <w:jc w:val="center"/>
            </w:pPr>
            <w:r>
              <w:t>119.0 (19.3)</w:t>
            </w:r>
          </w:p>
        </w:tc>
        <w:tc>
          <w:tcPr>
            <w:tcW w:w="1635" w:type="dxa"/>
          </w:tcPr>
          <w:p w14:paraId="7544C606" w14:textId="77777777" w:rsidR="00513FDD" w:rsidRDefault="00513FDD" w:rsidP="005E012A">
            <w:pPr>
              <w:jc w:val="center"/>
            </w:pPr>
            <w:r>
              <w:t>117.0 (21.0)</w:t>
            </w:r>
          </w:p>
        </w:tc>
        <w:tc>
          <w:tcPr>
            <w:tcW w:w="1659" w:type="dxa"/>
          </w:tcPr>
          <w:p w14:paraId="6A6DC578" w14:textId="77777777" w:rsidR="00513FDD" w:rsidRDefault="00513FDD" w:rsidP="005E012A">
            <w:pPr>
              <w:jc w:val="center"/>
            </w:pPr>
            <w:r>
              <w:t>72.5 (11.5)</w:t>
            </w:r>
          </w:p>
        </w:tc>
        <w:tc>
          <w:tcPr>
            <w:tcW w:w="1660" w:type="dxa"/>
          </w:tcPr>
          <w:p w14:paraId="103D7F03" w14:textId="77777777" w:rsidR="00513FDD" w:rsidRDefault="00513FDD" w:rsidP="005E012A">
            <w:pPr>
              <w:jc w:val="center"/>
            </w:pPr>
            <w:r>
              <w:t>69.1 (10.2)</w:t>
            </w:r>
          </w:p>
        </w:tc>
      </w:tr>
    </w:tbl>
    <w:p w14:paraId="3EDAB457" w14:textId="77777777" w:rsidR="009E309F" w:rsidRDefault="009E309F" w:rsidP="00F42629">
      <w:pPr>
        <w:rPr>
          <w:b/>
        </w:rPr>
      </w:pPr>
    </w:p>
    <w:p w14:paraId="187CA0FB" w14:textId="77777777" w:rsidR="00F42629" w:rsidRDefault="00F42629" w:rsidP="00F42629">
      <w:r>
        <w:rPr>
          <w:b/>
        </w:rPr>
        <w:t xml:space="preserve">Last-digit preference </w:t>
      </w:r>
      <w:r>
        <w:t xml:space="preserve">  One expects approximately 20% of the reported observations to end in each of the possible digits 0,2,4,6,8. These will be slightly modified by the overall distribution of blood pressure measurements. Since the true blood pressure values are spread over multiple decades – the range from first to ninth decile of diastolic BP measurements is (60,90), and for systolic BP is (104,156) – this effect will be very small. </w:t>
      </w:r>
    </w:p>
    <w:p w14:paraId="00388B7D" w14:textId="00EF77F3" w:rsidR="00F42629" w:rsidRDefault="00F42629" w:rsidP="00F42629">
      <w:r>
        <w:t>The actual distributions of final digits are summarized in Tabl</w:t>
      </w:r>
      <w:r w:rsidR="009E309F">
        <w:t>e 2</w:t>
      </w:r>
      <w:r>
        <w:t>. The clinic measures seem to fit the expectations fairly well, but the home measures show a substantial preference for final digits 0 and 8. These distortions agree broadly with those previously reported for a later wave of NHANES blood pressure measurements, but they are more extreme.</w:t>
      </w:r>
    </w:p>
    <w:p w14:paraId="5F94C16B" w14:textId="73903072" w:rsidR="00F14A5A" w:rsidRDefault="00F14A5A" w:rsidP="00CB4C36">
      <w:pPr>
        <w:pStyle w:val="Caption"/>
      </w:pPr>
      <w:r>
        <w:t>Appendix 1 Table 2: Fraction of measurements with each final digit.</w:t>
      </w:r>
    </w:p>
    <w:tbl>
      <w:tblPr>
        <w:tblStyle w:val="TableGrid"/>
        <w:tblW w:w="0" w:type="auto"/>
        <w:tblLook w:val="04A0" w:firstRow="1" w:lastRow="0" w:firstColumn="1" w:lastColumn="0" w:noHBand="0" w:noVBand="1"/>
      </w:tblPr>
      <w:tblGrid>
        <w:gridCol w:w="1231"/>
        <w:gridCol w:w="1301"/>
        <w:gridCol w:w="1469"/>
        <w:gridCol w:w="1337"/>
        <w:gridCol w:w="1337"/>
        <w:gridCol w:w="1337"/>
        <w:gridCol w:w="1338"/>
      </w:tblGrid>
      <w:tr w:rsidR="00F42629" w14:paraId="2083657D" w14:textId="77777777" w:rsidTr="00962EF2">
        <w:tc>
          <w:tcPr>
            <w:tcW w:w="1254" w:type="dxa"/>
          </w:tcPr>
          <w:p w14:paraId="144BE6C5" w14:textId="77777777" w:rsidR="00F42629" w:rsidRDefault="00F42629" w:rsidP="00962EF2">
            <w:pPr>
              <w:jc w:val="center"/>
            </w:pPr>
            <w:r>
              <w:t>Site</w:t>
            </w:r>
          </w:p>
        </w:tc>
        <w:tc>
          <w:tcPr>
            <w:tcW w:w="1338" w:type="dxa"/>
          </w:tcPr>
          <w:p w14:paraId="3EE0DB6D" w14:textId="77777777" w:rsidR="00F42629" w:rsidRDefault="00F42629" w:rsidP="00962EF2">
            <w:pPr>
              <w:jc w:val="center"/>
            </w:pPr>
          </w:p>
        </w:tc>
        <w:tc>
          <w:tcPr>
            <w:tcW w:w="1507" w:type="dxa"/>
          </w:tcPr>
          <w:p w14:paraId="534EADDC" w14:textId="77777777" w:rsidR="00F42629" w:rsidRDefault="00F42629" w:rsidP="00962EF2">
            <w:pPr>
              <w:jc w:val="center"/>
            </w:pPr>
            <w:r>
              <w:t>0</w:t>
            </w:r>
          </w:p>
        </w:tc>
        <w:tc>
          <w:tcPr>
            <w:tcW w:w="1369" w:type="dxa"/>
          </w:tcPr>
          <w:p w14:paraId="0C70A4FF" w14:textId="77777777" w:rsidR="00F42629" w:rsidRDefault="00F42629" w:rsidP="00962EF2">
            <w:pPr>
              <w:jc w:val="center"/>
            </w:pPr>
            <w:r>
              <w:t>2</w:t>
            </w:r>
          </w:p>
        </w:tc>
        <w:tc>
          <w:tcPr>
            <w:tcW w:w="1369" w:type="dxa"/>
          </w:tcPr>
          <w:p w14:paraId="58767678" w14:textId="77777777" w:rsidR="00F42629" w:rsidRDefault="00F42629" w:rsidP="00962EF2">
            <w:pPr>
              <w:jc w:val="center"/>
            </w:pPr>
            <w:r>
              <w:t>4</w:t>
            </w:r>
          </w:p>
        </w:tc>
        <w:tc>
          <w:tcPr>
            <w:tcW w:w="1369" w:type="dxa"/>
          </w:tcPr>
          <w:p w14:paraId="53ABBD66" w14:textId="77777777" w:rsidR="00F42629" w:rsidRDefault="00F42629" w:rsidP="00962EF2">
            <w:pPr>
              <w:jc w:val="center"/>
            </w:pPr>
            <w:r>
              <w:t>6</w:t>
            </w:r>
          </w:p>
        </w:tc>
        <w:tc>
          <w:tcPr>
            <w:tcW w:w="1370" w:type="dxa"/>
          </w:tcPr>
          <w:p w14:paraId="7E8DC9CB" w14:textId="77777777" w:rsidR="00F42629" w:rsidRDefault="00F42629" w:rsidP="00962EF2">
            <w:pPr>
              <w:jc w:val="center"/>
            </w:pPr>
            <w:r>
              <w:t>8</w:t>
            </w:r>
          </w:p>
        </w:tc>
      </w:tr>
      <w:tr w:rsidR="00F42629" w14:paraId="7F29C7BA" w14:textId="77777777" w:rsidTr="00962EF2">
        <w:tc>
          <w:tcPr>
            <w:tcW w:w="1254" w:type="dxa"/>
            <w:vMerge w:val="restart"/>
            <w:vAlign w:val="center"/>
          </w:tcPr>
          <w:p w14:paraId="6BD91FE2" w14:textId="77777777" w:rsidR="00F42629" w:rsidRDefault="00F42629" w:rsidP="00962EF2">
            <w:pPr>
              <w:jc w:val="center"/>
            </w:pPr>
            <w:r>
              <w:t>Home</w:t>
            </w:r>
          </w:p>
        </w:tc>
        <w:tc>
          <w:tcPr>
            <w:tcW w:w="1338" w:type="dxa"/>
          </w:tcPr>
          <w:p w14:paraId="03A91924" w14:textId="77777777" w:rsidR="00F42629" w:rsidRDefault="00F42629" w:rsidP="00962EF2">
            <w:pPr>
              <w:jc w:val="center"/>
            </w:pPr>
            <w:r>
              <w:t>SBP</w:t>
            </w:r>
          </w:p>
        </w:tc>
        <w:tc>
          <w:tcPr>
            <w:tcW w:w="1507" w:type="dxa"/>
          </w:tcPr>
          <w:p w14:paraId="09362D42" w14:textId="77777777" w:rsidR="00F42629" w:rsidRDefault="00F42629" w:rsidP="00962EF2">
            <w:pPr>
              <w:jc w:val="center"/>
            </w:pPr>
            <w:r>
              <w:t>0.239</w:t>
            </w:r>
          </w:p>
        </w:tc>
        <w:tc>
          <w:tcPr>
            <w:tcW w:w="1369" w:type="dxa"/>
          </w:tcPr>
          <w:p w14:paraId="7E72F2C6" w14:textId="77777777" w:rsidR="00F42629" w:rsidRDefault="00F42629" w:rsidP="00962EF2">
            <w:pPr>
              <w:jc w:val="center"/>
            </w:pPr>
            <w:r>
              <w:t>0.198</w:t>
            </w:r>
          </w:p>
        </w:tc>
        <w:tc>
          <w:tcPr>
            <w:tcW w:w="1369" w:type="dxa"/>
          </w:tcPr>
          <w:p w14:paraId="1AD87FCE" w14:textId="77777777" w:rsidR="00F42629" w:rsidRDefault="00F42629" w:rsidP="00962EF2">
            <w:pPr>
              <w:jc w:val="center"/>
            </w:pPr>
            <w:r>
              <w:t>0.159</w:t>
            </w:r>
          </w:p>
        </w:tc>
        <w:tc>
          <w:tcPr>
            <w:tcW w:w="1369" w:type="dxa"/>
          </w:tcPr>
          <w:p w14:paraId="7EABCEA2" w14:textId="77777777" w:rsidR="00F42629" w:rsidRDefault="00F42629" w:rsidP="00962EF2">
            <w:pPr>
              <w:jc w:val="center"/>
            </w:pPr>
            <w:r>
              <w:t>0.170</w:t>
            </w:r>
          </w:p>
        </w:tc>
        <w:tc>
          <w:tcPr>
            <w:tcW w:w="1370" w:type="dxa"/>
          </w:tcPr>
          <w:p w14:paraId="20232406" w14:textId="77777777" w:rsidR="00F42629" w:rsidRDefault="00F42629" w:rsidP="00962EF2">
            <w:pPr>
              <w:jc w:val="center"/>
            </w:pPr>
            <w:r>
              <w:t>0.234</w:t>
            </w:r>
          </w:p>
        </w:tc>
      </w:tr>
      <w:tr w:rsidR="00F42629" w14:paraId="18B7E847" w14:textId="77777777" w:rsidTr="00962EF2">
        <w:tc>
          <w:tcPr>
            <w:tcW w:w="1254" w:type="dxa"/>
            <w:vMerge/>
            <w:vAlign w:val="center"/>
          </w:tcPr>
          <w:p w14:paraId="00E02AB4" w14:textId="77777777" w:rsidR="00F42629" w:rsidRDefault="00F42629" w:rsidP="00962EF2">
            <w:pPr>
              <w:jc w:val="center"/>
            </w:pPr>
          </w:p>
        </w:tc>
        <w:tc>
          <w:tcPr>
            <w:tcW w:w="1338" w:type="dxa"/>
          </w:tcPr>
          <w:p w14:paraId="32D2DFE2" w14:textId="77777777" w:rsidR="00F42629" w:rsidRDefault="00F42629" w:rsidP="00962EF2">
            <w:pPr>
              <w:jc w:val="center"/>
            </w:pPr>
            <w:r>
              <w:t>DBP</w:t>
            </w:r>
          </w:p>
        </w:tc>
        <w:tc>
          <w:tcPr>
            <w:tcW w:w="1507" w:type="dxa"/>
          </w:tcPr>
          <w:p w14:paraId="5EE3A62F" w14:textId="77777777" w:rsidR="00F42629" w:rsidRDefault="00F42629" w:rsidP="00962EF2">
            <w:pPr>
              <w:jc w:val="center"/>
            </w:pPr>
            <w:r>
              <w:t>0.267</w:t>
            </w:r>
          </w:p>
        </w:tc>
        <w:tc>
          <w:tcPr>
            <w:tcW w:w="1369" w:type="dxa"/>
          </w:tcPr>
          <w:p w14:paraId="5E6B508C" w14:textId="77777777" w:rsidR="00F42629" w:rsidRDefault="00F42629" w:rsidP="00962EF2">
            <w:pPr>
              <w:jc w:val="center"/>
            </w:pPr>
            <w:r>
              <w:t>0.187</w:t>
            </w:r>
          </w:p>
        </w:tc>
        <w:tc>
          <w:tcPr>
            <w:tcW w:w="1369" w:type="dxa"/>
          </w:tcPr>
          <w:p w14:paraId="55FDE991" w14:textId="77777777" w:rsidR="00F42629" w:rsidRDefault="00F42629" w:rsidP="00962EF2">
            <w:pPr>
              <w:jc w:val="center"/>
            </w:pPr>
            <w:r>
              <w:t>0.160</w:t>
            </w:r>
          </w:p>
        </w:tc>
        <w:tc>
          <w:tcPr>
            <w:tcW w:w="1369" w:type="dxa"/>
          </w:tcPr>
          <w:p w14:paraId="08F6504C" w14:textId="77777777" w:rsidR="00F42629" w:rsidRDefault="00F42629" w:rsidP="00962EF2">
            <w:pPr>
              <w:jc w:val="center"/>
            </w:pPr>
            <w:r>
              <w:t>0.159</w:t>
            </w:r>
          </w:p>
        </w:tc>
        <w:tc>
          <w:tcPr>
            <w:tcW w:w="1370" w:type="dxa"/>
          </w:tcPr>
          <w:p w14:paraId="6C73274F" w14:textId="77777777" w:rsidR="00F42629" w:rsidRDefault="00F42629" w:rsidP="00962EF2">
            <w:pPr>
              <w:jc w:val="center"/>
            </w:pPr>
            <w:r>
              <w:t>0.227</w:t>
            </w:r>
          </w:p>
        </w:tc>
      </w:tr>
      <w:tr w:rsidR="00F42629" w14:paraId="233B2D2D" w14:textId="77777777" w:rsidTr="00962EF2">
        <w:tc>
          <w:tcPr>
            <w:tcW w:w="1254" w:type="dxa"/>
            <w:vMerge w:val="restart"/>
            <w:vAlign w:val="center"/>
          </w:tcPr>
          <w:p w14:paraId="6256B8E4" w14:textId="77777777" w:rsidR="00F42629" w:rsidRDefault="00F42629" w:rsidP="00962EF2">
            <w:pPr>
              <w:jc w:val="center"/>
            </w:pPr>
            <w:r>
              <w:t>Clinic</w:t>
            </w:r>
          </w:p>
        </w:tc>
        <w:tc>
          <w:tcPr>
            <w:tcW w:w="1338" w:type="dxa"/>
          </w:tcPr>
          <w:p w14:paraId="33FFFF83" w14:textId="77777777" w:rsidR="00F42629" w:rsidRDefault="00F42629" w:rsidP="00962EF2">
            <w:pPr>
              <w:jc w:val="center"/>
            </w:pPr>
            <w:r>
              <w:t>SBP</w:t>
            </w:r>
          </w:p>
        </w:tc>
        <w:tc>
          <w:tcPr>
            <w:tcW w:w="1507" w:type="dxa"/>
          </w:tcPr>
          <w:p w14:paraId="7EFA01A7" w14:textId="77777777" w:rsidR="00F42629" w:rsidRDefault="00F42629" w:rsidP="00962EF2">
            <w:pPr>
              <w:jc w:val="center"/>
            </w:pPr>
            <w:r>
              <w:t>0.187</w:t>
            </w:r>
          </w:p>
        </w:tc>
        <w:tc>
          <w:tcPr>
            <w:tcW w:w="1369" w:type="dxa"/>
          </w:tcPr>
          <w:p w14:paraId="581E654B" w14:textId="77777777" w:rsidR="00F42629" w:rsidRDefault="00F42629" w:rsidP="00962EF2">
            <w:pPr>
              <w:jc w:val="center"/>
            </w:pPr>
            <w:r>
              <w:t>0.179</w:t>
            </w:r>
          </w:p>
        </w:tc>
        <w:tc>
          <w:tcPr>
            <w:tcW w:w="1369" w:type="dxa"/>
          </w:tcPr>
          <w:p w14:paraId="2120D161" w14:textId="77777777" w:rsidR="00F42629" w:rsidRDefault="00F42629" w:rsidP="00962EF2">
            <w:pPr>
              <w:jc w:val="center"/>
            </w:pPr>
            <w:r>
              <w:t>0.198</w:t>
            </w:r>
          </w:p>
        </w:tc>
        <w:tc>
          <w:tcPr>
            <w:tcW w:w="1369" w:type="dxa"/>
          </w:tcPr>
          <w:p w14:paraId="030D35A2" w14:textId="77777777" w:rsidR="00F42629" w:rsidRDefault="00F42629" w:rsidP="00962EF2">
            <w:pPr>
              <w:jc w:val="center"/>
            </w:pPr>
            <w:r>
              <w:t>0.218</w:t>
            </w:r>
          </w:p>
        </w:tc>
        <w:tc>
          <w:tcPr>
            <w:tcW w:w="1370" w:type="dxa"/>
          </w:tcPr>
          <w:p w14:paraId="2CCF2E97" w14:textId="77777777" w:rsidR="00F42629" w:rsidRDefault="00F42629" w:rsidP="00962EF2">
            <w:pPr>
              <w:jc w:val="center"/>
            </w:pPr>
            <w:r>
              <w:t>0.219</w:t>
            </w:r>
          </w:p>
        </w:tc>
      </w:tr>
      <w:tr w:rsidR="00F42629" w14:paraId="0DFAC345" w14:textId="77777777" w:rsidTr="00962EF2">
        <w:tc>
          <w:tcPr>
            <w:tcW w:w="1254" w:type="dxa"/>
            <w:vMerge/>
          </w:tcPr>
          <w:p w14:paraId="3040EB6B" w14:textId="77777777" w:rsidR="00F42629" w:rsidRDefault="00F42629" w:rsidP="00962EF2">
            <w:pPr>
              <w:jc w:val="center"/>
            </w:pPr>
          </w:p>
        </w:tc>
        <w:tc>
          <w:tcPr>
            <w:tcW w:w="1338" w:type="dxa"/>
          </w:tcPr>
          <w:p w14:paraId="45943A11" w14:textId="77777777" w:rsidR="00F42629" w:rsidRDefault="00F42629" w:rsidP="00962EF2">
            <w:pPr>
              <w:jc w:val="center"/>
            </w:pPr>
            <w:r>
              <w:t>DBP</w:t>
            </w:r>
          </w:p>
        </w:tc>
        <w:tc>
          <w:tcPr>
            <w:tcW w:w="1507" w:type="dxa"/>
          </w:tcPr>
          <w:p w14:paraId="628481FA" w14:textId="77777777" w:rsidR="00F42629" w:rsidRDefault="00F42629" w:rsidP="00962EF2">
            <w:pPr>
              <w:jc w:val="center"/>
            </w:pPr>
            <w:r>
              <w:t>0.192</w:t>
            </w:r>
          </w:p>
        </w:tc>
        <w:tc>
          <w:tcPr>
            <w:tcW w:w="1369" w:type="dxa"/>
          </w:tcPr>
          <w:p w14:paraId="107B51EE" w14:textId="77777777" w:rsidR="00F42629" w:rsidRDefault="00F42629" w:rsidP="00962EF2">
            <w:pPr>
              <w:jc w:val="center"/>
            </w:pPr>
            <w:r>
              <w:t>0.189</w:t>
            </w:r>
          </w:p>
        </w:tc>
        <w:tc>
          <w:tcPr>
            <w:tcW w:w="1369" w:type="dxa"/>
          </w:tcPr>
          <w:p w14:paraId="6602BF78" w14:textId="77777777" w:rsidR="00F42629" w:rsidRDefault="00F42629" w:rsidP="00962EF2">
            <w:pPr>
              <w:jc w:val="center"/>
            </w:pPr>
            <w:r>
              <w:t>0.209</w:t>
            </w:r>
          </w:p>
        </w:tc>
        <w:tc>
          <w:tcPr>
            <w:tcW w:w="1369" w:type="dxa"/>
          </w:tcPr>
          <w:p w14:paraId="12785EA6" w14:textId="77777777" w:rsidR="00F42629" w:rsidRDefault="00F42629" w:rsidP="00962EF2">
            <w:pPr>
              <w:jc w:val="center"/>
            </w:pPr>
            <w:r>
              <w:t>0.212</w:t>
            </w:r>
          </w:p>
        </w:tc>
        <w:tc>
          <w:tcPr>
            <w:tcW w:w="1370" w:type="dxa"/>
          </w:tcPr>
          <w:p w14:paraId="2ED3CA0B" w14:textId="77777777" w:rsidR="00F42629" w:rsidRDefault="00F42629" w:rsidP="00962EF2">
            <w:pPr>
              <w:jc w:val="center"/>
            </w:pPr>
            <w:r>
              <w:t>0.197</w:t>
            </w:r>
          </w:p>
        </w:tc>
      </w:tr>
    </w:tbl>
    <w:p w14:paraId="74FC1881" w14:textId="782F8F51" w:rsidR="00F42629" w:rsidRPr="00D90614" w:rsidRDefault="00F42629" w:rsidP="00F42629">
      <w:r>
        <w:t>By increasing the clustering of the observations, this preference for reporting last digits 0 and 8 will somewhat reduce the variance of observations. The effect is probably small, and should not substantially affect our results.</w:t>
      </w:r>
      <w:r w:rsidR="00CC1E42">
        <w:t xml:space="preserve"> We have nonetheless taken it </w:t>
      </w:r>
      <w:r w:rsidR="00072805">
        <w:t xml:space="preserve">into account in our estimation of the empirical prior for the </w:t>
      </w:r>
      <w:r w:rsidR="000742EB">
        <w:t>home and clinic variance</w:t>
      </w:r>
      <w:r w:rsidR="0026086B">
        <w:t xml:space="preserve"> distributions.</w:t>
      </w:r>
    </w:p>
    <w:p w14:paraId="0645020E" w14:textId="45F60FC4" w:rsidR="00F42629" w:rsidRDefault="00F42629" w:rsidP="00F42629">
      <w:r>
        <w:rPr>
          <w:b/>
        </w:rPr>
        <w:lastRenderedPageBreak/>
        <w:t xml:space="preserve">Pseudo-replication  </w:t>
      </w:r>
      <w:r w:rsidR="009E309F">
        <w:t>Looking at Figure 1</w:t>
      </w:r>
      <w:r>
        <w:t xml:space="preserve">, we see that the first bar – corresponding to individuals with 0 SD, hence three identical measurements – is about twice as high in the home measurements as in the clinic measurements. One possible explanation is that some of the examiners performing the home measurements may, either intentionally or inadvertently, have duplicated measurements, rather than recording three independent measurements. As we discussed, the prior work of Muntner </w:t>
      </w:r>
      <w:r>
        <w:rPr>
          <w:i/>
        </w:rPr>
        <w:t>et al.</w:t>
      </w:r>
      <w:r>
        <w:t xml:space="preserve"> used a statistical technique that was very sensitive to the inclusion of a substantial number of these subjects with erroneously reported zero SD. Our methods are far more robust to the influence of these falsely reported zero SD measurements.</w:t>
      </w:r>
    </w:p>
    <w:p w14:paraId="206C89DC" w14:textId="77777777" w:rsidR="00F42629" w:rsidRDefault="00F42629" w:rsidP="00F42629">
      <w:pPr>
        <w:ind w:firstLine="426"/>
      </w:pPr>
      <w:r>
        <w:t>To clarify this issue, we considered several other features of the data. We would expect an individual’s having three identical SBP measurements to be approximately independent of having three identical DBP measurements. Not exactly, because variability in SBP is slightly correlated with variability in DBP, and lower variability increases the likelihood of three identical measurements. But the correlation should be small. In fact, whereas independence would predict only 0.064*0.050=0.3% of subjects to have three identical measurements for SBP and DBP, we find that the actual fraction is 0.9%, so three times higher.</w:t>
      </w:r>
    </w:p>
    <w:p w14:paraId="7EF18E4A" w14:textId="1D7883E3" w:rsidR="00F42629" w:rsidRDefault="00F42629" w:rsidP="00F42629">
      <w:pPr>
        <w:ind w:firstLine="426"/>
      </w:pPr>
      <w:r>
        <w:t>If each individual had three independent measurements, we would expect that when there are two identical measurements reported, the odd one is equally likely to be any one of the three. If there were a trend in the measurements – for example, a tendency of patients to relax and lower their BP, or the reverse – we would expect the second measurement to be the least likely to be distinct. Instead, we find the counts and proportions given in Tabl</w:t>
      </w:r>
      <w:r w:rsidR="002965AD">
        <w:t>e 3</w:t>
      </w:r>
      <w:r>
        <w:t>.</w:t>
      </w:r>
    </w:p>
    <w:p w14:paraId="1CC38C39" w14:textId="2124F869" w:rsidR="00F14A5A" w:rsidRDefault="00F14A5A" w:rsidP="00CB4C36">
      <w:pPr>
        <w:pStyle w:val="Caption"/>
      </w:pPr>
      <w:r>
        <w:t>Appendix 1 Table 3  Number of individuals having two matching measurements whose unmatched measurement is in the given position. (DBP includes only individuals whose measurements are all at least 45.)</w:t>
      </w:r>
    </w:p>
    <w:tbl>
      <w:tblPr>
        <w:tblStyle w:val="TableGrid"/>
        <w:tblW w:w="0" w:type="auto"/>
        <w:tblLook w:val="04A0" w:firstRow="1" w:lastRow="0" w:firstColumn="1" w:lastColumn="0" w:noHBand="0" w:noVBand="1"/>
      </w:tblPr>
      <w:tblGrid>
        <w:gridCol w:w="2336"/>
        <w:gridCol w:w="2338"/>
        <w:gridCol w:w="2338"/>
        <w:gridCol w:w="2338"/>
      </w:tblGrid>
      <w:tr w:rsidR="00F42629" w14:paraId="576E834F" w14:textId="77777777" w:rsidTr="00962EF2">
        <w:tc>
          <w:tcPr>
            <w:tcW w:w="2394" w:type="dxa"/>
            <w:vAlign w:val="center"/>
          </w:tcPr>
          <w:p w14:paraId="13ECB721" w14:textId="77777777" w:rsidR="00F42629" w:rsidRDefault="00F42629" w:rsidP="00962EF2">
            <w:pPr>
              <w:jc w:val="center"/>
            </w:pPr>
            <w:r>
              <w:t>Which one distinct</w:t>
            </w:r>
          </w:p>
        </w:tc>
        <w:tc>
          <w:tcPr>
            <w:tcW w:w="2394" w:type="dxa"/>
            <w:vAlign w:val="center"/>
          </w:tcPr>
          <w:p w14:paraId="7B3A2568" w14:textId="77777777" w:rsidR="00F42629" w:rsidRDefault="00F42629" w:rsidP="00962EF2">
            <w:pPr>
              <w:jc w:val="center"/>
            </w:pPr>
            <w:r>
              <w:t>1</w:t>
            </w:r>
          </w:p>
        </w:tc>
        <w:tc>
          <w:tcPr>
            <w:tcW w:w="2394" w:type="dxa"/>
            <w:vAlign w:val="center"/>
          </w:tcPr>
          <w:p w14:paraId="00B9FE5F" w14:textId="77777777" w:rsidR="00F42629" w:rsidRDefault="00F42629" w:rsidP="00962EF2">
            <w:pPr>
              <w:jc w:val="center"/>
            </w:pPr>
            <w:r>
              <w:t>2</w:t>
            </w:r>
          </w:p>
        </w:tc>
        <w:tc>
          <w:tcPr>
            <w:tcW w:w="2394" w:type="dxa"/>
            <w:vAlign w:val="center"/>
          </w:tcPr>
          <w:p w14:paraId="7A603217" w14:textId="77777777" w:rsidR="00F42629" w:rsidRDefault="00F42629" w:rsidP="00962EF2">
            <w:pPr>
              <w:jc w:val="center"/>
            </w:pPr>
            <w:r>
              <w:t>3</w:t>
            </w:r>
          </w:p>
        </w:tc>
      </w:tr>
      <w:tr w:rsidR="00F42629" w14:paraId="701164BE" w14:textId="77777777" w:rsidTr="00962EF2">
        <w:tc>
          <w:tcPr>
            <w:tcW w:w="2394" w:type="dxa"/>
            <w:vAlign w:val="center"/>
          </w:tcPr>
          <w:p w14:paraId="45B042BE" w14:textId="77777777" w:rsidR="00F42629" w:rsidRDefault="00F42629" w:rsidP="00962EF2">
            <w:pPr>
              <w:jc w:val="center"/>
            </w:pPr>
            <w:r>
              <w:t>SBP</w:t>
            </w:r>
          </w:p>
        </w:tc>
        <w:tc>
          <w:tcPr>
            <w:tcW w:w="2394" w:type="dxa"/>
            <w:vAlign w:val="center"/>
          </w:tcPr>
          <w:p w14:paraId="15FD5316" w14:textId="77777777" w:rsidR="00F42629" w:rsidRDefault="00F42629" w:rsidP="00962EF2">
            <w:pPr>
              <w:jc w:val="center"/>
            </w:pPr>
            <w:r>
              <w:t>3040 (41.9%)</w:t>
            </w:r>
          </w:p>
        </w:tc>
        <w:tc>
          <w:tcPr>
            <w:tcW w:w="2394" w:type="dxa"/>
            <w:vAlign w:val="center"/>
          </w:tcPr>
          <w:p w14:paraId="32692139" w14:textId="77777777" w:rsidR="00F42629" w:rsidRDefault="00F42629" w:rsidP="00962EF2">
            <w:pPr>
              <w:jc w:val="center"/>
            </w:pPr>
            <w:r>
              <w:t>2461 (33.9%)</w:t>
            </w:r>
          </w:p>
        </w:tc>
        <w:tc>
          <w:tcPr>
            <w:tcW w:w="2394" w:type="dxa"/>
            <w:vAlign w:val="center"/>
          </w:tcPr>
          <w:p w14:paraId="062C6452" w14:textId="77777777" w:rsidR="00F42629" w:rsidRDefault="00F42629" w:rsidP="00962EF2">
            <w:pPr>
              <w:jc w:val="center"/>
            </w:pPr>
            <w:r>
              <w:t>1758 (24.2%)</w:t>
            </w:r>
          </w:p>
        </w:tc>
      </w:tr>
      <w:tr w:rsidR="00F42629" w14:paraId="63BEB509" w14:textId="77777777" w:rsidTr="00962EF2">
        <w:tc>
          <w:tcPr>
            <w:tcW w:w="2394" w:type="dxa"/>
            <w:vAlign w:val="center"/>
          </w:tcPr>
          <w:p w14:paraId="6652CDC0" w14:textId="77777777" w:rsidR="00F42629" w:rsidRDefault="00F42629" w:rsidP="00962EF2">
            <w:pPr>
              <w:jc w:val="center"/>
            </w:pPr>
            <w:r>
              <w:t>DBP</w:t>
            </w:r>
          </w:p>
        </w:tc>
        <w:tc>
          <w:tcPr>
            <w:tcW w:w="2394" w:type="dxa"/>
            <w:vAlign w:val="center"/>
          </w:tcPr>
          <w:p w14:paraId="11AC1AFD" w14:textId="77777777" w:rsidR="00F42629" w:rsidRDefault="00F42629" w:rsidP="00962EF2">
            <w:pPr>
              <w:jc w:val="center"/>
            </w:pPr>
            <w:r>
              <w:t>3272 (40.0%)</w:t>
            </w:r>
          </w:p>
        </w:tc>
        <w:tc>
          <w:tcPr>
            <w:tcW w:w="2394" w:type="dxa"/>
            <w:vAlign w:val="center"/>
          </w:tcPr>
          <w:p w14:paraId="12942664" w14:textId="77777777" w:rsidR="00F42629" w:rsidRDefault="00F42629" w:rsidP="00962EF2">
            <w:pPr>
              <w:jc w:val="center"/>
            </w:pPr>
            <w:r>
              <w:t>2927 (35.8%)</w:t>
            </w:r>
          </w:p>
        </w:tc>
        <w:tc>
          <w:tcPr>
            <w:tcW w:w="2394" w:type="dxa"/>
            <w:vAlign w:val="center"/>
          </w:tcPr>
          <w:p w14:paraId="589192EF" w14:textId="77777777" w:rsidR="00F42629" w:rsidRDefault="00F42629" w:rsidP="00962EF2">
            <w:pPr>
              <w:jc w:val="center"/>
            </w:pPr>
            <w:r>
              <w:t>1980 (24.2%)</w:t>
            </w:r>
          </w:p>
        </w:tc>
      </w:tr>
    </w:tbl>
    <w:p w14:paraId="004505C4" w14:textId="77777777" w:rsidR="004112CB" w:rsidRDefault="004112CB" w:rsidP="00F42629"/>
    <w:p w14:paraId="3627F9CE" w14:textId="5EDAF979" w:rsidR="00F42629" w:rsidRDefault="00F14A5A" w:rsidP="00F42629">
      <w:r>
        <w:t xml:space="preserve"> </w:t>
      </w:r>
      <w:r w:rsidR="00F42629">
        <w:t>The disparity is huge, and it is not easy to explain if the measurements are independent. On the other hand, it is very much consistent with what we would expect to see if some examiners at some times took two independent measurements, and then copied one of the first two measurements for the third. (Again, this could be inadvertent, if the examiner were influenced by the first two measurements to anticipate a repetition.) This pattern would also be strengthened if some examiners at some times saw two identical measurements for the first two measurements, and If we think of the 24.2% in category 3 (so with measurements 1 and 2 identical) as representing the true rate of matching, then would conclude that about 27% of the apparent triple matches are spurious, which agrees with the inference we drew from the simulations.</w:t>
      </w:r>
    </w:p>
    <w:p w14:paraId="36A723EF" w14:textId="47D89BD8" w:rsidR="00F42629" w:rsidRDefault="00F42629" w:rsidP="00F42629">
      <w:pPr>
        <w:ind w:firstLine="426"/>
      </w:pPr>
      <w:r>
        <w:t>The last piece of evidence comes from looking at the results recorded by different examiners. There are 13 different examiners coded in the data. If the triple matches were an accurate reflection of the similarity of the subjects’ BP measurements, we would expect that all examiners would have approximately equal numbers of such results. Instead,</w:t>
      </w:r>
      <w:r w:rsidR="002965AD">
        <w:t xml:space="preserve"> we find the results in Figure 2</w:t>
      </w:r>
      <w:r>
        <w:t xml:space="preserve">. Three examiners </w:t>
      </w:r>
      <w:r>
        <w:lastRenderedPageBreak/>
        <w:t>seem to have much higher fractions of identical BP measures than all ten others, and it is the same three for both systolic and diastolic measures. If we exclude those three, the results for the other ten examiners are consistent (according to a chi-square test) with the hypothesis that they all have the identical frequency of three identical measurements, 3.9% for systolic and 5.4% for diastolic.</w:t>
      </w:r>
    </w:p>
    <w:p w14:paraId="7487A0A5" w14:textId="0A1353C3" w:rsidR="00F14A5A" w:rsidRDefault="00F14A5A" w:rsidP="00F14A5A">
      <w:pPr>
        <w:pStyle w:val="Caption"/>
      </w:pPr>
      <w:r>
        <w:t xml:space="preserve">Appendix 1, Figure </w:t>
      </w:r>
      <w:r w:rsidR="00EF458F">
        <w:fldChar w:fldCharType="begin"/>
      </w:r>
      <w:r w:rsidR="00EF458F">
        <w:instrText xml:space="preserve"> SEQ Figure \* ARABIC </w:instrText>
      </w:r>
      <w:r w:rsidR="00EF458F">
        <w:fldChar w:fldCharType="separate"/>
      </w:r>
      <w:r>
        <w:rPr>
          <w:noProof/>
        </w:rPr>
        <w:t>2</w:t>
      </w:r>
      <w:r w:rsidR="00EF458F">
        <w:rPr>
          <w:noProof/>
        </w:rPr>
        <w:fldChar w:fldCharType="end"/>
      </w:r>
      <w:r>
        <w:t xml:space="preserve">  Fraction of subjects with three identical BP measurements reported by each examiner, with 95% confidence intervals. Black dashed line is the average of all examiners other than 3001, 3002, and NA (not given, 0 or 88888).</w:t>
      </w:r>
    </w:p>
    <w:p w14:paraId="0CC21C07" w14:textId="77777777" w:rsidR="00F14A5A" w:rsidRDefault="00F14A5A" w:rsidP="00F42629">
      <w:pPr>
        <w:ind w:firstLine="426"/>
      </w:pPr>
    </w:p>
    <w:p w14:paraId="451A6855" w14:textId="77777777" w:rsidR="00F42629" w:rsidRDefault="00F42629" w:rsidP="00F42629">
      <w:pPr>
        <w:ind w:firstLine="426"/>
      </w:pPr>
      <w:r w:rsidRPr="002B4CC2">
        <w:rPr>
          <w:noProof/>
          <w:lang w:eastAsia="en-US"/>
        </w:rPr>
        <w:drawing>
          <wp:inline distT="0" distB="0" distL="0" distR="0" wp14:anchorId="24D12B96" wp14:editId="0781EDCA">
            <wp:extent cx="5329265" cy="378036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iners fractions.pdf"/>
                    <pic:cNvPicPr/>
                  </pic:nvPicPr>
                  <pic:blipFill>
                    <a:blip r:embed="rId8">
                      <a:extLst>
                        <a:ext uri="{28A0092B-C50C-407E-A947-70E740481C1C}">
                          <a14:useLocalDpi xmlns:a14="http://schemas.microsoft.com/office/drawing/2010/main" val="0"/>
                        </a:ext>
                      </a:extLst>
                    </a:blip>
                    <a:stretch>
                      <a:fillRect/>
                    </a:stretch>
                  </pic:blipFill>
                  <pic:spPr>
                    <a:xfrm>
                      <a:off x="0" y="0"/>
                      <a:ext cx="5329767" cy="3780723"/>
                    </a:xfrm>
                    <a:prstGeom prst="rect">
                      <a:avLst/>
                    </a:prstGeom>
                  </pic:spPr>
                </pic:pic>
              </a:graphicData>
            </a:graphic>
          </wp:inline>
        </w:drawing>
      </w:r>
    </w:p>
    <w:p w14:paraId="078B5677" w14:textId="27BE3A8B" w:rsidR="00F14A5A" w:rsidRDefault="00F42629" w:rsidP="00F14A5A">
      <w:pPr>
        <w:ind w:firstLine="426"/>
      </w:pPr>
      <w:r w:rsidRPr="000C6124">
        <w:t>There is very little variation among the examiners in the proportion of subjects reported with two matching measurement</w:t>
      </w:r>
      <w:r w:rsidRPr="00403AF0">
        <w:t xml:space="preserve">s. But if we look at the position of the non-matching measurement there is considerable variation, as we </w:t>
      </w:r>
      <w:r w:rsidR="002965AD">
        <w:t>see in the ternary plot Figure 3</w:t>
      </w:r>
      <w:r w:rsidRPr="00403AF0">
        <w:t xml:space="preserve">. Interestingly, every </w:t>
      </w:r>
      <w:r>
        <w:t>single</w:t>
      </w:r>
      <w:r w:rsidRPr="00403AF0">
        <w:t xml:space="preserve"> examiner</w:t>
      </w:r>
      <w:r>
        <w:t xml:space="preserve"> had fewer matches between the first and second measurements than between first and third or between second and third. The three examiners who stood out for their proportion of triple m</w:t>
      </w:r>
      <w:r w:rsidR="002965AD">
        <w:t>atches (marked green in Figure 3</w:t>
      </w:r>
      <w:r>
        <w:t>) also have the highest proportion of matches between the second and third measurements. Only one of the examiners has proportions that do not fail a chi-square</w:t>
      </w:r>
      <w:r w:rsidR="000742EB">
        <w:t xml:space="preserve"> </w:t>
      </w:r>
      <w:r>
        <w:t>test at the 0.05 level for equality of the proportions of the three different possible matches.</w:t>
      </w:r>
    </w:p>
    <w:p w14:paraId="4BFD3B0E" w14:textId="165D4290" w:rsidR="00F14A5A" w:rsidRDefault="00F14A5A" w:rsidP="00F14A5A">
      <w:pPr>
        <w:pStyle w:val="Caption"/>
      </w:pPr>
      <w:r>
        <w:t xml:space="preserve">Appendix 1 Figure </w:t>
      </w:r>
      <w:r w:rsidR="00EF458F">
        <w:fldChar w:fldCharType="begin"/>
      </w:r>
      <w:r w:rsidR="00EF458F">
        <w:instrText xml:space="preserve"> SEQ Figure \* ARABIC </w:instrText>
      </w:r>
      <w:r w:rsidR="00EF458F">
        <w:fldChar w:fldCharType="separate"/>
      </w:r>
      <w:r>
        <w:rPr>
          <w:noProof/>
        </w:rPr>
        <w:t>3</w:t>
      </w:r>
      <w:r w:rsidR="00EF458F">
        <w:rPr>
          <w:noProof/>
        </w:rPr>
        <w:fldChar w:fldCharType="end"/>
      </w:r>
      <w:r>
        <w:t xml:space="preserve">  Proportion of subjects who had matching results for the first two measurements (X3), last two (X1) or the first and third (X2). </w:t>
      </w:r>
      <w:r w:rsidR="000742EB">
        <w:t>Top</w:t>
      </w:r>
      <w:r>
        <w:t xml:space="preserve"> is SBP, </w:t>
      </w:r>
      <w:r w:rsidR="000742EB">
        <w:t>bottom</w:t>
      </w:r>
      <w:r>
        <w:t xml:space="preserve"> DBP. The black dot is the point (1/3,1/3,1/3). The green dots correspond to the two examiners who had exceptionally high proportions of triple matches. The red dots correspond to the other ten examiners. The blue dot includes all results where the examiner was either not listed, or had the “missing” code 88888.</w:t>
      </w:r>
    </w:p>
    <w:p w14:paraId="0780BE48" w14:textId="77777777" w:rsidR="00F14A5A" w:rsidRPr="005400E6" w:rsidRDefault="00F14A5A" w:rsidP="00CB4C36"/>
    <w:p w14:paraId="68A3D5F7" w14:textId="77777777" w:rsidR="00F42629" w:rsidRDefault="00F42629" w:rsidP="00F42629">
      <w:pPr>
        <w:jc w:val="center"/>
      </w:pPr>
      <w:r w:rsidRPr="002B4CC2">
        <w:rPr>
          <w:noProof/>
          <w:lang w:eastAsia="en-US"/>
        </w:rPr>
        <w:lastRenderedPageBreak/>
        <w:drawing>
          <wp:inline distT="0" distB="0" distL="0" distR="0" wp14:anchorId="1E8C1F20" wp14:editId="46102547">
            <wp:extent cx="4013200" cy="361089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ANES ternary SBP.pdf"/>
                    <pic:cNvPicPr/>
                  </pic:nvPicPr>
                  <pic:blipFill>
                    <a:blip r:embed="rId9">
                      <a:extLst>
                        <a:ext uri="{28A0092B-C50C-407E-A947-70E740481C1C}">
                          <a14:useLocalDpi xmlns:a14="http://schemas.microsoft.com/office/drawing/2010/main" val="0"/>
                        </a:ext>
                      </a:extLst>
                    </a:blip>
                    <a:stretch>
                      <a:fillRect/>
                    </a:stretch>
                  </pic:blipFill>
                  <pic:spPr>
                    <a:xfrm>
                      <a:off x="0" y="0"/>
                      <a:ext cx="4025567" cy="3622026"/>
                    </a:xfrm>
                    <a:prstGeom prst="rect">
                      <a:avLst/>
                    </a:prstGeom>
                  </pic:spPr>
                </pic:pic>
              </a:graphicData>
            </a:graphic>
          </wp:inline>
        </w:drawing>
      </w:r>
      <w:r w:rsidRPr="002B4CC2">
        <w:rPr>
          <w:noProof/>
          <w:lang w:eastAsia="en-US"/>
        </w:rPr>
        <w:drawing>
          <wp:inline distT="0" distB="0" distL="0" distR="0" wp14:anchorId="18D13542" wp14:editId="21C0F073">
            <wp:extent cx="4191000" cy="377087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ANES ternary DBP.pdf"/>
                    <pic:cNvPicPr/>
                  </pic:nvPicPr>
                  <pic:blipFill>
                    <a:blip r:embed="rId10">
                      <a:extLst>
                        <a:ext uri="{28A0092B-C50C-407E-A947-70E740481C1C}">
                          <a14:useLocalDpi xmlns:a14="http://schemas.microsoft.com/office/drawing/2010/main" val="0"/>
                        </a:ext>
                      </a:extLst>
                    </a:blip>
                    <a:stretch>
                      <a:fillRect/>
                    </a:stretch>
                  </pic:blipFill>
                  <pic:spPr>
                    <a:xfrm>
                      <a:off x="0" y="0"/>
                      <a:ext cx="4236912" cy="3812189"/>
                    </a:xfrm>
                    <a:prstGeom prst="rect">
                      <a:avLst/>
                    </a:prstGeom>
                  </pic:spPr>
                </pic:pic>
              </a:graphicData>
            </a:graphic>
          </wp:inline>
        </w:drawing>
      </w:r>
    </w:p>
    <w:p w14:paraId="7AAAB646" w14:textId="77777777" w:rsidR="00513FDD" w:rsidRDefault="00513FDD" w:rsidP="00513FDD"/>
    <w:p w14:paraId="288CC3B4" w14:textId="77777777" w:rsidR="00F42629" w:rsidRPr="005D2219" w:rsidRDefault="00F42629" w:rsidP="00513FDD"/>
    <w:p w14:paraId="121B8C45" w14:textId="5BDAD36E" w:rsidR="00F42629" w:rsidRDefault="00F42629">
      <w:pPr>
        <w:rPr>
          <w:b/>
        </w:rPr>
      </w:pPr>
    </w:p>
    <w:sectPr w:rsidR="00F42629">
      <w:footnotePr>
        <w:pos w:val="beneathText"/>
      </w:footnotePr>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D85F8" w14:textId="77777777" w:rsidR="00D11549" w:rsidRDefault="00D11549" w:rsidP="00133360">
      <w:pPr>
        <w:spacing w:after="0" w:line="240" w:lineRule="auto"/>
      </w:pPr>
      <w:r>
        <w:separator/>
      </w:r>
    </w:p>
  </w:endnote>
  <w:endnote w:type="continuationSeparator" w:id="0">
    <w:p w14:paraId="1DADBCBE" w14:textId="77777777" w:rsidR="00D11549" w:rsidRDefault="00D11549" w:rsidP="00133360">
      <w:pPr>
        <w:spacing w:after="0" w:line="240" w:lineRule="auto"/>
      </w:pPr>
      <w:r>
        <w:continuationSeparator/>
      </w:r>
    </w:p>
  </w:endnote>
  <w:endnote w:id="1">
    <w:p w14:paraId="021F895B" w14:textId="77777777" w:rsidR="002965AD" w:rsidRDefault="002965AD" w:rsidP="00513FDD">
      <w:pPr>
        <w:pStyle w:val="EndnoteText"/>
      </w:pPr>
      <w:r>
        <w:rPr>
          <w:rStyle w:val="EndnoteReference"/>
        </w:rPr>
        <w:endnoteRef/>
      </w:r>
      <w:r>
        <w:t xml:space="preserve"> Ostchega Y, Prineas R J</w:t>
      </w:r>
      <w:r w:rsidRPr="004F3CD4">
        <w:t>, Paulose-Ram</w:t>
      </w:r>
      <w:r>
        <w:t xml:space="preserve"> R, </w:t>
      </w:r>
      <w:r>
        <w:rPr>
          <w:i/>
        </w:rPr>
        <w:t xml:space="preserve">et al. </w:t>
      </w:r>
      <w:r w:rsidRPr="00BB7DCD">
        <w:t>National</w:t>
      </w:r>
      <w:r w:rsidRPr="004F3CD4">
        <w:t xml:space="preserve"> Health and Nutrition Examination Survey 1999-2000: Effect of observer training and protocol standardization on reducing blood pressure measurement error</w:t>
      </w:r>
      <w:r>
        <w:t xml:space="preserve">. </w:t>
      </w:r>
      <w:r>
        <w:rPr>
          <w:i/>
        </w:rPr>
        <w:t xml:space="preserve">J Clin </w:t>
      </w:r>
      <w:r w:rsidRPr="00124063">
        <w:t>Epidem</w:t>
      </w:r>
      <w:r>
        <w:t>. 2003;56: 768—774.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5FEC5" w14:textId="77777777" w:rsidR="00D11549" w:rsidRDefault="00D11549" w:rsidP="00133360">
      <w:pPr>
        <w:spacing w:after="0" w:line="240" w:lineRule="auto"/>
      </w:pPr>
      <w:r>
        <w:separator/>
      </w:r>
    </w:p>
  </w:footnote>
  <w:footnote w:type="continuationSeparator" w:id="0">
    <w:p w14:paraId="6663777D" w14:textId="77777777" w:rsidR="00D11549" w:rsidRDefault="00D11549" w:rsidP="001333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0757D"/>
    <w:multiLevelType w:val="hybridMultilevel"/>
    <w:tmpl w:val="291EB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733F9"/>
    <w:multiLevelType w:val="hybridMultilevel"/>
    <w:tmpl w:val="6E344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843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2D254A6"/>
    <w:multiLevelType w:val="hybridMultilevel"/>
    <w:tmpl w:val="64547BBE"/>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4" w15:restartNumberingAfterBreak="0">
    <w:nsid w:val="38956A44"/>
    <w:multiLevelType w:val="hybridMultilevel"/>
    <w:tmpl w:val="EDBE3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FB7192"/>
    <w:multiLevelType w:val="hybridMultilevel"/>
    <w:tmpl w:val="56709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5911355">
    <w:abstractNumId w:val="5"/>
  </w:num>
  <w:num w:numId="2" w16cid:durableId="625431899">
    <w:abstractNumId w:val="0"/>
  </w:num>
  <w:num w:numId="3" w16cid:durableId="1437410986">
    <w:abstractNumId w:val="3"/>
  </w:num>
  <w:num w:numId="4" w16cid:durableId="361244461">
    <w:abstractNumId w:val="4"/>
  </w:num>
  <w:num w:numId="5" w16cid:durableId="1962959105">
    <w:abstractNumId w:val="2"/>
  </w:num>
  <w:num w:numId="6" w16cid:durableId="1848791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defaultTabStop w:val="720"/>
  <w:characterSpacingControl w:val="doNotCompress"/>
  <w:footnotePr>
    <w:pos w:val="beneathText"/>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219"/>
    <w:rsid w:val="00002FBD"/>
    <w:rsid w:val="00003FC2"/>
    <w:rsid w:val="000054EA"/>
    <w:rsid w:val="00011071"/>
    <w:rsid w:val="0001294B"/>
    <w:rsid w:val="00013A09"/>
    <w:rsid w:val="00015805"/>
    <w:rsid w:val="0002380C"/>
    <w:rsid w:val="0002449D"/>
    <w:rsid w:val="00024797"/>
    <w:rsid w:val="00025AB8"/>
    <w:rsid w:val="00026685"/>
    <w:rsid w:val="0002714C"/>
    <w:rsid w:val="00027296"/>
    <w:rsid w:val="0004009D"/>
    <w:rsid w:val="000412D3"/>
    <w:rsid w:val="00041619"/>
    <w:rsid w:val="00042F49"/>
    <w:rsid w:val="00044169"/>
    <w:rsid w:val="00056426"/>
    <w:rsid w:val="00064459"/>
    <w:rsid w:val="0006546C"/>
    <w:rsid w:val="00071175"/>
    <w:rsid w:val="00072805"/>
    <w:rsid w:val="00073469"/>
    <w:rsid w:val="000742EB"/>
    <w:rsid w:val="000744EA"/>
    <w:rsid w:val="00074533"/>
    <w:rsid w:val="00076948"/>
    <w:rsid w:val="0007762A"/>
    <w:rsid w:val="00081556"/>
    <w:rsid w:val="00082804"/>
    <w:rsid w:val="0009186F"/>
    <w:rsid w:val="00092222"/>
    <w:rsid w:val="00094250"/>
    <w:rsid w:val="00097AD4"/>
    <w:rsid w:val="000A231F"/>
    <w:rsid w:val="000A3D9E"/>
    <w:rsid w:val="000B1AC9"/>
    <w:rsid w:val="000B23E5"/>
    <w:rsid w:val="000C05A4"/>
    <w:rsid w:val="000C2764"/>
    <w:rsid w:val="000C30B4"/>
    <w:rsid w:val="000C3C92"/>
    <w:rsid w:val="000C4D89"/>
    <w:rsid w:val="000C6124"/>
    <w:rsid w:val="000C6A71"/>
    <w:rsid w:val="000C7F41"/>
    <w:rsid w:val="000D1BDE"/>
    <w:rsid w:val="000D53BE"/>
    <w:rsid w:val="000E3365"/>
    <w:rsid w:val="000E756E"/>
    <w:rsid w:val="000E7B5F"/>
    <w:rsid w:val="000F0268"/>
    <w:rsid w:val="000F1C61"/>
    <w:rsid w:val="000F3FC2"/>
    <w:rsid w:val="000F6CBF"/>
    <w:rsid w:val="001020B7"/>
    <w:rsid w:val="001029BA"/>
    <w:rsid w:val="00104689"/>
    <w:rsid w:val="00105342"/>
    <w:rsid w:val="00107EC6"/>
    <w:rsid w:val="00110DF1"/>
    <w:rsid w:val="00111214"/>
    <w:rsid w:val="001117F9"/>
    <w:rsid w:val="001123AB"/>
    <w:rsid w:val="001128A8"/>
    <w:rsid w:val="0011437E"/>
    <w:rsid w:val="001145B1"/>
    <w:rsid w:val="001149F9"/>
    <w:rsid w:val="00120495"/>
    <w:rsid w:val="00123EEF"/>
    <w:rsid w:val="00124CAB"/>
    <w:rsid w:val="0013160F"/>
    <w:rsid w:val="001319B3"/>
    <w:rsid w:val="00133107"/>
    <w:rsid w:val="00133360"/>
    <w:rsid w:val="001346A5"/>
    <w:rsid w:val="00142CF5"/>
    <w:rsid w:val="00155A38"/>
    <w:rsid w:val="00161960"/>
    <w:rsid w:val="00164BB3"/>
    <w:rsid w:val="00166543"/>
    <w:rsid w:val="00167803"/>
    <w:rsid w:val="0017151A"/>
    <w:rsid w:val="001723C5"/>
    <w:rsid w:val="001740C8"/>
    <w:rsid w:val="00175048"/>
    <w:rsid w:val="001756BC"/>
    <w:rsid w:val="00175E19"/>
    <w:rsid w:val="00184F31"/>
    <w:rsid w:val="00186897"/>
    <w:rsid w:val="00192379"/>
    <w:rsid w:val="00194714"/>
    <w:rsid w:val="00194FAB"/>
    <w:rsid w:val="0019557B"/>
    <w:rsid w:val="0019600B"/>
    <w:rsid w:val="001A037F"/>
    <w:rsid w:val="001A1457"/>
    <w:rsid w:val="001A19DD"/>
    <w:rsid w:val="001A294F"/>
    <w:rsid w:val="001A3C02"/>
    <w:rsid w:val="001A41A0"/>
    <w:rsid w:val="001A75F9"/>
    <w:rsid w:val="001B22B4"/>
    <w:rsid w:val="001B68C8"/>
    <w:rsid w:val="001C2777"/>
    <w:rsid w:val="001C4205"/>
    <w:rsid w:val="001C50C8"/>
    <w:rsid w:val="001C6124"/>
    <w:rsid w:val="001C7649"/>
    <w:rsid w:val="001D08DC"/>
    <w:rsid w:val="001D1D8E"/>
    <w:rsid w:val="001D445F"/>
    <w:rsid w:val="001D5B18"/>
    <w:rsid w:val="001E7E6E"/>
    <w:rsid w:val="001F193E"/>
    <w:rsid w:val="001F31FF"/>
    <w:rsid w:val="001F563B"/>
    <w:rsid w:val="001F7D2B"/>
    <w:rsid w:val="002014DC"/>
    <w:rsid w:val="00202FFA"/>
    <w:rsid w:val="002049B4"/>
    <w:rsid w:val="00206E58"/>
    <w:rsid w:val="00207AC7"/>
    <w:rsid w:val="0021287A"/>
    <w:rsid w:val="00214ED6"/>
    <w:rsid w:val="002171B3"/>
    <w:rsid w:val="0021738A"/>
    <w:rsid w:val="0022049E"/>
    <w:rsid w:val="00220D74"/>
    <w:rsid w:val="00221071"/>
    <w:rsid w:val="002216C0"/>
    <w:rsid w:val="00221EE5"/>
    <w:rsid w:val="002220F0"/>
    <w:rsid w:val="0022294F"/>
    <w:rsid w:val="002246B8"/>
    <w:rsid w:val="00225C13"/>
    <w:rsid w:val="0022686B"/>
    <w:rsid w:val="00226913"/>
    <w:rsid w:val="00226992"/>
    <w:rsid w:val="00231D0A"/>
    <w:rsid w:val="002351AA"/>
    <w:rsid w:val="002353FC"/>
    <w:rsid w:val="0023562C"/>
    <w:rsid w:val="00244BE7"/>
    <w:rsid w:val="00247108"/>
    <w:rsid w:val="00247D46"/>
    <w:rsid w:val="002535C6"/>
    <w:rsid w:val="00253719"/>
    <w:rsid w:val="0025653E"/>
    <w:rsid w:val="00256CE3"/>
    <w:rsid w:val="0026086B"/>
    <w:rsid w:val="0026187A"/>
    <w:rsid w:val="00262259"/>
    <w:rsid w:val="00262B42"/>
    <w:rsid w:val="002646DE"/>
    <w:rsid w:val="002648C0"/>
    <w:rsid w:val="00265AD8"/>
    <w:rsid w:val="00266003"/>
    <w:rsid w:val="002675AC"/>
    <w:rsid w:val="00273165"/>
    <w:rsid w:val="00273965"/>
    <w:rsid w:val="00273C18"/>
    <w:rsid w:val="002818D9"/>
    <w:rsid w:val="00281FD2"/>
    <w:rsid w:val="0028456E"/>
    <w:rsid w:val="0028561E"/>
    <w:rsid w:val="00285D3F"/>
    <w:rsid w:val="002867D9"/>
    <w:rsid w:val="0028753F"/>
    <w:rsid w:val="00293146"/>
    <w:rsid w:val="00293AEF"/>
    <w:rsid w:val="00293C1D"/>
    <w:rsid w:val="00293E48"/>
    <w:rsid w:val="00295A9C"/>
    <w:rsid w:val="002965AD"/>
    <w:rsid w:val="002A2F83"/>
    <w:rsid w:val="002A4665"/>
    <w:rsid w:val="002A472E"/>
    <w:rsid w:val="002A51B5"/>
    <w:rsid w:val="002A5768"/>
    <w:rsid w:val="002B1847"/>
    <w:rsid w:val="002B4CC2"/>
    <w:rsid w:val="002C09CB"/>
    <w:rsid w:val="002C33C3"/>
    <w:rsid w:val="002C580A"/>
    <w:rsid w:val="002D066E"/>
    <w:rsid w:val="002D0AC9"/>
    <w:rsid w:val="002D1D08"/>
    <w:rsid w:val="002E2466"/>
    <w:rsid w:val="002E2905"/>
    <w:rsid w:val="002E5483"/>
    <w:rsid w:val="002E671C"/>
    <w:rsid w:val="002F2184"/>
    <w:rsid w:val="002F40EF"/>
    <w:rsid w:val="002F4B3F"/>
    <w:rsid w:val="002F6951"/>
    <w:rsid w:val="002F7EF8"/>
    <w:rsid w:val="00303DFC"/>
    <w:rsid w:val="003048F5"/>
    <w:rsid w:val="00310DD8"/>
    <w:rsid w:val="00313981"/>
    <w:rsid w:val="00316549"/>
    <w:rsid w:val="003208EF"/>
    <w:rsid w:val="00321E1D"/>
    <w:rsid w:val="003224D0"/>
    <w:rsid w:val="00322619"/>
    <w:rsid w:val="00322D35"/>
    <w:rsid w:val="00323456"/>
    <w:rsid w:val="00324727"/>
    <w:rsid w:val="00326A82"/>
    <w:rsid w:val="0033507B"/>
    <w:rsid w:val="003361AB"/>
    <w:rsid w:val="0034318E"/>
    <w:rsid w:val="0034703C"/>
    <w:rsid w:val="00355842"/>
    <w:rsid w:val="00365368"/>
    <w:rsid w:val="00365E41"/>
    <w:rsid w:val="00370B42"/>
    <w:rsid w:val="00372C80"/>
    <w:rsid w:val="003732D5"/>
    <w:rsid w:val="00376C6B"/>
    <w:rsid w:val="0037753B"/>
    <w:rsid w:val="003811A0"/>
    <w:rsid w:val="003815AB"/>
    <w:rsid w:val="0038677A"/>
    <w:rsid w:val="003867AB"/>
    <w:rsid w:val="003907D7"/>
    <w:rsid w:val="00393FE3"/>
    <w:rsid w:val="00394FB9"/>
    <w:rsid w:val="00396B0A"/>
    <w:rsid w:val="003A03C2"/>
    <w:rsid w:val="003A2088"/>
    <w:rsid w:val="003A42EB"/>
    <w:rsid w:val="003C2E81"/>
    <w:rsid w:val="003C7662"/>
    <w:rsid w:val="003C7698"/>
    <w:rsid w:val="003D2334"/>
    <w:rsid w:val="003D47B4"/>
    <w:rsid w:val="003D6E10"/>
    <w:rsid w:val="003D7069"/>
    <w:rsid w:val="003E1A7C"/>
    <w:rsid w:val="003E2355"/>
    <w:rsid w:val="003E28A9"/>
    <w:rsid w:val="003E3FEF"/>
    <w:rsid w:val="003E7299"/>
    <w:rsid w:val="003E7E77"/>
    <w:rsid w:val="003F3FF4"/>
    <w:rsid w:val="003F40E8"/>
    <w:rsid w:val="003F6114"/>
    <w:rsid w:val="003F64B4"/>
    <w:rsid w:val="003F6FB5"/>
    <w:rsid w:val="003F7499"/>
    <w:rsid w:val="0040007A"/>
    <w:rsid w:val="00400178"/>
    <w:rsid w:val="00402844"/>
    <w:rsid w:val="00402C14"/>
    <w:rsid w:val="00403AF0"/>
    <w:rsid w:val="00405483"/>
    <w:rsid w:val="00407FD4"/>
    <w:rsid w:val="004112CB"/>
    <w:rsid w:val="00411D34"/>
    <w:rsid w:val="00416CBB"/>
    <w:rsid w:val="00425EDC"/>
    <w:rsid w:val="00426C3F"/>
    <w:rsid w:val="00430106"/>
    <w:rsid w:val="00432B7C"/>
    <w:rsid w:val="00434928"/>
    <w:rsid w:val="00436E45"/>
    <w:rsid w:val="00440C4D"/>
    <w:rsid w:val="00443E39"/>
    <w:rsid w:val="00444705"/>
    <w:rsid w:val="00445A01"/>
    <w:rsid w:val="00447C0E"/>
    <w:rsid w:val="00451C08"/>
    <w:rsid w:val="00452883"/>
    <w:rsid w:val="00454A12"/>
    <w:rsid w:val="00460EB3"/>
    <w:rsid w:val="004644B0"/>
    <w:rsid w:val="00464CF0"/>
    <w:rsid w:val="00465495"/>
    <w:rsid w:val="00467534"/>
    <w:rsid w:val="004679AC"/>
    <w:rsid w:val="004700DC"/>
    <w:rsid w:val="004731CD"/>
    <w:rsid w:val="00474231"/>
    <w:rsid w:val="00474352"/>
    <w:rsid w:val="004809D6"/>
    <w:rsid w:val="00481AC7"/>
    <w:rsid w:val="0048419E"/>
    <w:rsid w:val="00487822"/>
    <w:rsid w:val="004A1FDC"/>
    <w:rsid w:val="004A5995"/>
    <w:rsid w:val="004A6BF5"/>
    <w:rsid w:val="004A7C19"/>
    <w:rsid w:val="004B37A4"/>
    <w:rsid w:val="004B5BD7"/>
    <w:rsid w:val="004B5D06"/>
    <w:rsid w:val="004B6955"/>
    <w:rsid w:val="004B7D25"/>
    <w:rsid w:val="004B7FC8"/>
    <w:rsid w:val="004C0027"/>
    <w:rsid w:val="004D6272"/>
    <w:rsid w:val="004D7425"/>
    <w:rsid w:val="004D74F6"/>
    <w:rsid w:val="004E145C"/>
    <w:rsid w:val="004E1D19"/>
    <w:rsid w:val="004E1F1E"/>
    <w:rsid w:val="004E20A1"/>
    <w:rsid w:val="004E30FE"/>
    <w:rsid w:val="004E35C2"/>
    <w:rsid w:val="004E49DE"/>
    <w:rsid w:val="004E54FF"/>
    <w:rsid w:val="004E66CE"/>
    <w:rsid w:val="004E7171"/>
    <w:rsid w:val="004F3CD4"/>
    <w:rsid w:val="004F64CB"/>
    <w:rsid w:val="004F7099"/>
    <w:rsid w:val="004F7603"/>
    <w:rsid w:val="00500E7F"/>
    <w:rsid w:val="005019E2"/>
    <w:rsid w:val="00504420"/>
    <w:rsid w:val="00504832"/>
    <w:rsid w:val="00506378"/>
    <w:rsid w:val="00506489"/>
    <w:rsid w:val="00510FC1"/>
    <w:rsid w:val="005134F5"/>
    <w:rsid w:val="00513FDD"/>
    <w:rsid w:val="005240AF"/>
    <w:rsid w:val="00524EC8"/>
    <w:rsid w:val="00527628"/>
    <w:rsid w:val="00527BED"/>
    <w:rsid w:val="00527DF9"/>
    <w:rsid w:val="00532E9B"/>
    <w:rsid w:val="00534EEB"/>
    <w:rsid w:val="00535311"/>
    <w:rsid w:val="0053571F"/>
    <w:rsid w:val="005376D6"/>
    <w:rsid w:val="00540B2A"/>
    <w:rsid w:val="0054441A"/>
    <w:rsid w:val="00545732"/>
    <w:rsid w:val="00547F88"/>
    <w:rsid w:val="0055446C"/>
    <w:rsid w:val="005560C8"/>
    <w:rsid w:val="00556842"/>
    <w:rsid w:val="00557542"/>
    <w:rsid w:val="00560FAB"/>
    <w:rsid w:val="00561CD2"/>
    <w:rsid w:val="00563E69"/>
    <w:rsid w:val="00564A02"/>
    <w:rsid w:val="00567F8B"/>
    <w:rsid w:val="005753FB"/>
    <w:rsid w:val="005766B7"/>
    <w:rsid w:val="00576786"/>
    <w:rsid w:val="005804BF"/>
    <w:rsid w:val="00581D15"/>
    <w:rsid w:val="00583AEA"/>
    <w:rsid w:val="005854FD"/>
    <w:rsid w:val="00585566"/>
    <w:rsid w:val="0058558E"/>
    <w:rsid w:val="00585E40"/>
    <w:rsid w:val="00590BF0"/>
    <w:rsid w:val="00591AF7"/>
    <w:rsid w:val="00592133"/>
    <w:rsid w:val="00596A00"/>
    <w:rsid w:val="005A15FE"/>
    <w:rsid w:val="005A2D17"/>
    <w:rsid w:val="005A54F3"/>
    <w:rsid w:val="005B46B5"/>
    <w:rsid w:val="005B552A"/>
    <w:rsid w:val="005B5F8F"/>
    <w:rsid w:val="005B77E1"/>
    <w:rsid w:val="005C15A4"/>
    <w:rsid w:val="005C273D"/>
    <w:rsid w:val="005C382A"/>
    <w:rsid w:val="005C76F3"/>
    <w:rsid w:val="005D123F"/>
    <w:rsid w:val="005D1509"/>
    <w:rsid w:val="005D2219"/>
    <w:rsid w:val="005D4C4A"/>
    <w:rsid w:val="005D563D"/>
    <w:rsid w:val="005E012A"/>
    <w:rsid w:val="005E09A2"/>
    <w:rsid w:val="005E1D49"/>
    <w:rsid w:val="005E2143"/>
    <w:rsid w:val="005E5AEE"/>
    <w:rsid w:val="005F117D"/>
    <w:rsid w:val="005F25A8"/>
    <w:rsid w:val="005F4EA9"/>
    <w:rsid w:val="005F4EE2"/>
    <w:rsid w:val="005F50CD"/>
    <w:rsid w:val="005F716A"/>
    <w:rsid w:val="006009CB"/>
    <w:rsid w:val="00602E21"/>
    <w:rsid w:val="00602F03"/>
    <w:rsid w:val="00603BE8"/>
    <w:rsid w:val="00606D69"/>
    <w:rsid w:val="00610385"/>
    <w:rsid w:val="00610FC5"/>
    <w:rsid w:val="0061129E"/>
    <w:rsid w:val="00611F39"/>
    <w:rsid w:val="00613909"/>
    <w:rsid w:val="006156F6"/>
    <w:rsid w:val="00622A7B"/>
    <w:rsid w:val="00622FE7"/>
    <w:rsid w:val="00623433"/>
    <w:rsid w:val="00625FA5"/>
    <w:rsid w:val="006264FE"/>
    <w:rsid w:val="006278F2"/>
    <w:rsid w:val="00627F6A"/>
    <w:rsid w:val="00631559"/>
    <w:rsid w:val="00634C2C"/>
    <w:rsid w:val="006356FD"/>
    <w:rsid w:val="00635DFA"/>
    <w:rsid w:val="0063605A"/>
    <w:rsid w:val="00641D1E"/>
    <w:rsid w:val="00643A42"/>
    <w:rsid w:val="006445C3"/>
    <w:rsid w:val="0065425C"/>
    <w:rsid w:val="00654549"/>
    <w:rsid w:val="0066123B"/>
    <w:rsid w:val="00661F99"/>
    <w:rsid w:val="00664E5F"/>
    <w:rsid w:val="00676DC1"/>
    <w:rsid w:val="0067794D"/>
    <w:rsid w:val="00683838"/>
    <w:rsid w:val="00692007"/>
    <w:rsid w:val="006945FB"/>
    <w:rsid w:val="00695437"/>
    <w:rsid w:val="006A137E"/>
    <w:rsid w:val="006A1AD3"/>
    <w:rsid w:val="006A5226"/>
    <w:rsid w:val="006A59E2"/>
    <w:rsid w:val="006A6686"/>
    <w:rsid w:val="006B1E58"/>
    <w:rsid w:val="006B36D6"/>
    <w:rsid w:val="006C5B24"/>
    <w:rsid w:val="006C6A87"/>
    <w:rsid w:val="006D13FF"/>
    <w:rsid w:val="006D39BD"/>
    <w:rsid w:val="006D49D0"/>
    <w:rsid w:val="006D5780"/>
    <w:rsid w:val="006D6409"/>
    <w:rsid w:val="006E11C1"/>
    <w:rsid w:val="006E2C5E"/>
    <w:rsid w:val="006E463E"/>
    <w:rsid w:val="006E476D"/>
    <w:rsid w:val="006F15D5"/>
    <w:rsid w:val="006F1D49"/>
    <w:rsid w:val="006F32BF"/>
    <w:rsid w:val="00700751"/>
    <w:rsid w:val="00701E57"/>
    <w:rsid w:val="007022F7"/>
    <w:rsid w:val="007073F6"/>
    <w:rsid w:val="007077BD"/>
    <w:rsid w:val="00711B0D"/>
    <w:rsid w:val="00714EBE"/>
    <w:rsid w:val="00717056"/>
    <w:rsid w:val="00722AC5"/>
    <w:rsid w:val="0072345C"/>
    <w:rsid w:val="00725D14"/>
    <w:rsid w:val="00726767"/>
    <w:rsid w:val="00726DC2"/>
    <w:rsid w:val="00727061"/>
    <w:rsid w:val="007271E5"/>
    <w:rsid w:val="00727305"/>
    <w:rsid w:val="0073066B"/>
    <w:rsid w:val="00732D6D"/>
    <w:rsid w:val="00736936"/>
    <w:rsid w:val="00737435"/>
    <w:rsid w:val="007427EE"/>
    <w:rsid w:val="00743E84"/>
    <w:rsid w:val="007502D0"/>
    <w:rsid w:val="00750A28"/>
    <w:rsid w:val="00754C6E"/>
    <w:rsid w:val="007554F5"/>
    <w:rsid w:val="00762459"/>
    <w:rsid w:val="00762B01"/>
    <w:rsid w:val="007647CC"/>
    <w:rsid w:val="00765806"/>
    <w:rsid w:val="00765CBC"/>
    <w:rsid w:val="00766728"/>
    <w:rsid w:val="00770FF9"/>
    <w:rsid w:val="00771CDD"/>
    <w:rsid w:val="007730ED"/>
    <w:rsid w:val="00773541"/>
    <w:rsid w:val="007756CE"/>
    <w:rsid w:val="00775765"/>
    <w:rsid w:val="00780A79"/>
    <w:rsid w:val="007814DA"/>
    <w:rsid w:val="00782B91"/>
    <w:rsid w:val="00786687"/>
    <w:rsid w:val="00790FD3"/>
    <w:rsid w:val="00793E26"/>
    <w:rsid w:val="007A31D1"/>
    <w:rsid w:val="007B0C9A"/>
    <w:rsid w:val="007B1CB4"/>
    <w:rsid w:val="007B4298"/>
    <w:rsid w:val="007B6E55"/>
    <w:rsid w:val="007C1A9C"/>
    <w:rsid w:val="007C4D8C"/>
    <w:rsid w:val="007C676C"/>
    <w:rsid w:val="007D1B77"/>
    <w:rsid w:val="007D2752"/>
    <w:rsid w:val="007D68F3"/>
    <w:rsid w:val="007E3E6A"/>
    <w:rsid w:val="007E5E80"/>
    <w:rsid w:val="007E7271"/>
    <w:rsid w:val="007F05AC"/>
    <w:rsid w:val="007F0888"/>
    <w:rsid w:val="007F0C91"/>
    <w:rsid w:val="007F3BA5"/>
    <w:rsid w:val="007F3FC5"/>
    <w:rsid w:val="007F5990"/>
    <w:rsid w:val="00802660"/>
    <w:rsid w:val="00803841"/>
    <w:rsid w:val="00805838"/>
    <w:rsid w:val="00806B11"/>
    <w:rsid w:val="00806FD2"/>
    <w:rsid w:val="0080776B"/>
    <w:rsid w:val="00807BB9"/>
    <w:rsid w:val="00812ABE"/>
    <w:rsid w:val="0081448C"/>
    <w:rsid w:val="00815D89"/>
    <w:rsid w:val="00816134"/>
    <w:rsid w:val="00816A0A"/>
    <w:rsid w:val="00817F93"/>
    <w:rsid w:val="00821C01"/>
    <w:rsid w:val="00822A47"/>
    <w:rsid w:val="0082346F"/>
    <w:rsid w:val="00823D36"/>
    <w:rsid w:val="00825F4D"/>
    <w:rsid w:val="0083018B"/>
    <w:rsid w:val="00832072"/>
    <w:rsid w:val="00832783"/>
    <w:rsid w:val="00833E8B"/>
    <w:rsid w:val="00834165"/>
    <w:rsid w:val="00837536"/>
    <w:rsid w:val="0083796E"/>
    <w:rsid w:val="008418AF"/>
    <w:rsid w:val="00843C70"/>
    <w:rsid w:val="00846F64"/>
    <w:rsid w:val="00847160"/>
    <w:rsid w:val="00850199"/>
    <w:rsid w:val="00855C2F"/>
    <w:rsid w:val="0086116D"/>
    <w:rsid w:val="008628A9"/>
    <w:rsid w:val="00865EE3"/>
    <w:rsid w:val="00870050"/>
    <w:rsid w:val="00870C5F"/>
    <w:rsid w:val="00874A64"/>
    <w:rsid w:val="008801F4"/>
    <w:rsid w:val="0088052F"/>
    <w:rsid w:val="008854E8"/>
    <w:rsid w:val="0089110B"/>
    <w:rsid w:val="00891C38"/>
    <w:rsid w:val="008952E1"/>
    <w:rsid w:val="008A6789"/>
    <w:rsid w:val="008B2CE8"/>
    <w:rsid w:val="008B2E03"/>
    <w:rsid w:val="008B337C"/>
    <w:rsid w:val="008C085B"/>
    <w:rsid w:val="008C4C2F"/>
    <w:rsid w:val="008C6092"/>
    <w:rsid w:val="008D0570"/>
    <w:rsid w:val="008D096E"/>
    <w:rsid w:val="008D2D78"/>
    <w:rsid w:val="008D4F17"/>
    <w:rsid w:val="008D545F"/>
    <w:rsid w:val="008E5EB7"/>
    <w:rsid w:val="008F4814"/>
    <w:rsid w:val="008F5035"/>
    <w:rsid w:val="008F6677"/>
    <w:rsid w:val="008F6EFC"/>
    <w:rsid w:val="00900D93"/>
    <w:rsid w:val="00902187"/>
    <w:rsid w:val="0090268C"/>
    <w:rsid w:val="00902F8C"/>
    <w:rsid w:val="00905993"/>
    <w:rsid w:val="00906516"/>
    <w:rsid w:val="00912A72"/>
    <w:rsid w:val="009151F7"/>
    <w:rsid w:val="00916191"/>
    <w:rsid w:val="0092055D"/>
    <w:rsid w:val="0092303B"/>
    <w:rsid w:val="00931C81"/>
    <w:rsid w:val="00940944"/>
    <w:rsid w:val="009427FF"/>
    <w:rsid w:val="00944EC0"/>
    <w:rsid w:val="00945C42"/>
    <w:rsid w:val="00947925"/>
    <w:rsid w:val="0095073F"/>
    <w:rsid w:val="00953175"/>
    <w:rsid w:val="00954228"/>
    <w:rsid w:val="00955D5B"/>
    <w:rsid w:val="00962EF2"/>
    <w:rsid w:val="0096485A"/>
    <w:rsid w:val="009669A6"/>
    <w:rsid w:val="009706E5"/>
    <w:rsid w:val="00970BA3"/>
    <w:rsid w:val="00972387"/>
    <w:rsid w:val="00972AE2"/>
    <w:rsid w:val="00974192"/>
    <w:rsid w:val="00974232"/>
    <w:rsid w:val="00981E12"/>
    <w:rsid w:val="0098272E"/>
    <w:rsid w:val="00982A84"/>
    <w:rsid w:val="00984262"/>
    <w:rsid w:val="0098769D"/>
    <w:rsid w:val="00991F02"/>
    <w:rsid w:val="0099387C"/>
    <w:rsid w:val="0099488C"/>
    <w:rsid w:val="009966C6"/>
    <w:rsid w:val="009A0CA1"/>
    <w:rsid w:val="009A1E71"/>
    <w:rsid w:val="009A615A"/>
    <w:rsid w:val="009B0469"/>
    <w:rsid w:val="009B3FFC"/>
    <w:rsid w:val="009B47E1"/>
    <w:rsid w:val="009B4C2A"/>
    <w:rsid w:val="009C319C"/>
    <w:rsid w:val="009C6A85"/>
    <w:rsid w:val="009D1135"/>
    <w:rsid w:val="009D55CA"/>
    <w:rsid w:val="009E309F"/>
    <w:rsid w:val="009F5599"/>
    <w:rsid w:val="009F5CCC"/>
    <w:rsid w:val="00A00622"/>
    <w:rsid w:val="00A00807"/>
    <w:rsid w:val="00A01C0D"/>
    <w:rsid w:val="00A026FB"/>
    <w:rsid w:val="00A030B1"/>
    <w:rsid w:val="00A10C25"/>
    <w:rsid w:val="00A1160D"/>
    <w:rsid w:val="00A12BF6"/>
    <w:rsid w:val="00A1574B"/>
    <w:rsid w:val="00A1693E"/>
    <w:rsid w:val="00A17A22"/>
    <w:rsid w:val="00A2213F"/>
    <w:rsid w:val="00A22235"/>
    <w:rsid w:val="00A23F60"/>
    <w:rsid w:val="00A26DF5"/>
    <w:rsid w:val="00A2786E"/>
    <w:rsid w:val="00A27B56"/>
    <w:rsid w:val="00A27DCD"/>
    <w:rsid w:val="00A304BB"/>
    <w:rsid w:val="00A3173B"/>
    <w:rsid w:val="00A32A34"/>
    <w:rsid w:val="00A33774"/>
    <w:rsid w:val="00A34440"/>
    <w:rsid w:val="00A35578"/>
    <w:rsid w:val="00A40C8A"/>
    <w:rsid w:val="00A413C6"/>
    <w:rsid w:val="00A443F1"/>
    <w:rsid w:val="00A4514E"/>
    <w:rsid w:val="00A4639D"/>
    <w:rsid w:val="00A51094"/>
    <w:rsid w:val="00A5485F"/>
    <w:rsid w:val="00A55485"/>
    <w:rsid w:val="00A56535"/>
    <w:rsid w:val="00A57451"/>
    <w:rsid w:val="00A577B2"/>
    <w:rsid w:val="00A621E0"/>
    <w:rsid w:val="00A63318"/>
    <w:rsid w:val="00A63E81"/>
    <w:rsid w:val="00A666D8"/>
    <w:rsid w:val="00A671C0"/>
    <w:rsid w:val="00A70FC3"/>
    <w:rsid w:val="00A75743"/>
    <w:rsid w:val="00A82B7A"/>
    <w:rsid w:val="00A82FA9"/>
    <w:rsid w:val="00A83CEA"/>
    <w:rsid w:val="00A84619"/>
    <w:rsid w:val="00A87FD7"/>
    <w:rsid w:val="00A912EC"/>
    <w:rsid w:val="00A91BBD"/>
    <w:rsid w:val="00A92267"/>
    <w:rsid w:val="00A93EA6"/>
    <w:rsid w:val="00AA6DF6"/>
    <w:rsid w:val="00AB091F"/>
    <w:rsid w:val="00AB3003"/>
    <w:rsid w:val="00AB3969"/>
    <w:rsid w:val="00AB4ED7"/>
    <w:rsid w:val="00AC05D5"/>
    <w:rsid w:val="00AC39B1"/>
    <w:rsid w:val="00AC47C1"/>
    <w:rsid w:val="00AC4DC7"/>
    <w:rsid w:val="00AC5FC9"/>
    <w:rsid w:val="00AD2D42"/>
    <w:rsid w:val="00AD4966"/>
    <w:rsid w:val="00AD6DC1"/>
    <w:rsid w:val="00AE33D2"/>
    <w:rsid w:val="00AE3549"/>
    <w:rsid w:val="00AE3893"/>
    <w:rsid w:val="00AE43BF"/>
    <w:rsid w:val="00AE4D99"/>
    <w:rsid w:val="00AE5F3E"/>
    <w:rsid w:val="00AF1021"/>
    <w:rsid w:val="00AF1113"/>
    <w:rsid w:val="00AF500D"/>
    <w:rsid w:val="00AF50B1"/>
    <w:rsid w:val="00AF631A"/>
    <w:rsid w:val="00AF6B05"/>
    <w:rsid w:val="00AF72CB"/>
    <w:rsid w:val="00B000AE"/>
    <w:rsid w:val="00B0221D"/>
    <w:rsid w:val="00B02D5E"/>
    <w:rsid w:val="00B07762"/>
    <w:rsid w:val="00B12CB2"/>
    <w:rsid w:val="00B13486"/>
    <w:rsid w:val="00B15BBD"/>
    <w:rsid w:val="00B21A06"/>
    <w:rsid w:val="00B21E14"/>
    <w:rsid w:val="00B2257C"/>
    <w:rsid w:val="00B24932"/>
    <w:rsid w:val="00B31268"/>
    <w:rsid w:val="00B314CF"/>
    <w:rsid w:val="00B322AD"/>
    <w:rsid w:val="00B34285"/>
    <w:rsid w:val="00B35F2F"/>
    <w:rsid w:val="00B37DFC"/>
    <w:rsid w:val="00B40D40"/>
    <w:rsid w:val="00B42774"/>
    <w:rsid w:val="00B430F0"/>
    <w:rsid w:val="00B45122"/>
    <w:rsid w:val="00B47160"/>
    <w:rsid w:val="00B520B0"/>
    <w:rsid w:val="00B52DE1"/>
    <w:rsid w:val="00B54227"/>
    <w:rsid w:val="00B54973"/>
    <w:rsid w:val="00B605FF"/>
    <w:rsid w:val="00B6106B"/>
    <w:rsid w:val="00B62734"/>
    <w:rsid w:val="00B74E14"/>
    <w:rsid w:val="00B757D6"/>
    <w:rsid w:val="00B82934"/>
    <w:rsid w:val="00B834CD"/>
    <w:rsid w:val="00B84BBE"/>
    <w:rsid w:val="00B854C4"/>
    <w:rsid w:val="00B856C5"/>
    <w:rsid w:val="00B9082A"/>
    <w:rsid w:val="00B97D22"/>
    <w:rsid w:val="00BA0528"/>
    <w:rsid w:val="00BA58C8"/>
    <w:rsid w:val="00BB06DA"/>
    <w:rsid w:val="00BB5D42"/>
    <w:rsid w:val="00BB7005"/>
    <w:rsid w:val="00BB7DCD"/>
    <w:rsid w:val="00BC2F46"/>
    <w:rsid w:val="00BC43E5"/>
    <w:rsid w:val="00BC458B"/>
    <w:rsid w:val="00BC4E8D"/>
    <w:rsid w:val="00BC6D4E"/>
    <w:rsid w:val="00BC7EC8"/>
    <w:rsid w:val="00BD2D29"/>
    <w:rsid w:val="00BD4E51"/>
    <w:rsid w:val="00BD56A3"/>
    <w:rsid w:val="00BE1B75"/>
    <w:rsid w:val="00BE3CE6"/>
    <w:rsid w:val="00BE4702"/>
    <w:rsid w:val="00BE534C"/>
    <w:rsid w:val="00BF0EF4"/>
    <w:rsid w:val="00BF5B28"/>
    <w:rsid w:val="00BF7176"/>
    <w:rsid w:val="00C015FF"/>
    <w:rsid w:val="00C0342B"/>
    <w:rsid w:val="00C04883"/>
    <w:rsid w:val="00C0668C"/>
    <w:rsid w:val="00C11F3D"/>
    <w:rsid w:val="00C158FA"/>
    <w:rsid w:val="00C16DC5"/>
    <w:rsid w:val="00C16E25"/>
    <w:rsid w:val="00C21111"/>
    <w:rsid w:val="00C2420A"/>
    <w:rsid w:val="00C246B2"/>
    <w:rsid w:val="00C26515"/>
    <w:rsid w:val="00C26FA8"/>
    <w:rsid w:val="00C3036A"/>
    <w:rsid w:val="00C34183"/>
    <w:rsid w:val="00C35DAE"/>
    <w:rsid w:val="00C37576"/>
    <w:rsid w:val="00C40AE7"/>
    <w:rsid w:val="00C436DD"/>
    <w:rsid w:val="00C442DE"/>
    <w:rsid w:val="00C5225A"/>
    <w:rsid w:val="00C55EDA"/>
    <w:rsid w:val="00C60A97"/>
    <w:rsid w:val="00C64CF7"/>
    <w:rsid w:val="00C70001"/>
    <w:rsid w:val="00C704A9"/>
    <w:rsid w:val="00C81206"/>
    <w:rsid w:val="00C81E91"/>
    <w:rsid w:val="00C82000"/>
    <w:rsid w:val="00C84C4E"/>
    <w:rsid w:val="00C90AD8"/>
    <w:rsid w:val="00C9125C"/>
    <w:rsid w:val="00C91B7A"/>
    <w:rsid w:val="00C9361D"/>
    <w:rsid w:val="00C941D7"/>
    <w:rsid w:val="00CA0ED5"/>
    <w:rsid w:val="00CA1666"/>
    <w:rsid w:val="00CA24FA"/>
    <w:rsid w:val="00CA29C8"/>
    <w:rsid w:val="00CA2EE6"/>
    <w:rsid w:val="00CA3587"/>
    <w:rsid w:val="00CB2332"/>
    <w:rsid w:val="00CB29F4"/>
    <w:rsid w:val="00CB4C36"/>
    <w:rsid w:val="00CB52C2"/>
    <w:rsid w:val="00CC16E0"/>
    <w:rsid w:val="00CC1E42"/>
    <w:rsid w:val="00CC23F8"/>
    <w:rsid w:val="00CC256F"/>
    <w:rsid w:val="00CC58F5"/>
    <w:rsid w:val="00CC61BF"/>
    <w:rsid w:val="00CC689A"/>
    <w:rsid w:val="00CC690D"/>
    <w:rsid w:val="00CC6A9B"/>
    <w:rsid w:val="00CD374B"/>
    <w:rsid w:val="00CD518B"/>
    <w:rsid w:val="00CD7690"/>
    <w:rsid w:val="00CE4E0A"/>
    <w:rsid w:val="00CE6079"/>
    <w:rsid w:val="00CE6BFB"/>
    <w:rsid w:val="00CF096C"/>
    <w:rsid w:val="00CF1509"/>
    <w:rsid w:val="00CF2FB8"/>
    <w:rsid w:val="00D01BEF"/>
    <w:rsid w:val="00D0257C"/>
    <w:rsid w:val="00D03863"/>
    <w:rsid w:val="00D072F4"/>
    <w:rsid w:val="00D079E3"/>
    <w:rsid w:val="00D110C1"/>
    <w:rsid w:val="00D11549"/>
    <w:rsid w:val="00D13D38"/>
    <w:rsid w:val="00D17660"/>
    <w:rsid w:val="00D17BB7"/>
    <w:rsid w:val="00D218E7"/>
    <w:rsid w:val="00D21F99"/>
    <w:rsid w:val="00D27464"/>
    <w:rsid w:val="00D31354"/>
    <w:rsid w:val="00D3233D"/>
    <w:rsid w:val="00D425FA"/>
    <w:rsid w:val="00D428BD"/>
    <w:rsid w:val="00D44153"/>
    <w:rsid w:val="00D50335"/>
    <w:rsid w:val="00D505BB"/>
    <w:rsid w:val="00D51238"/>
    <w:rsid w:val="00D5221A"/>
    <w:rsid w:val="00D5297C"/>
    <w:rsid w:val="00D578D0"/>
    <w:rsid w:val="00D60BFB"/>
    <w:rsid w:val="00D617AC"/>
    <w:rsid w:val="00D635CA"/>
    <w:rsid w:val="00D63958"/>
    <w:rsid w:val="00D668A8"/>
    <w:rsid w:val="00D72764"/>
    <w:rsid w:val="00D72C24"/>
    <w:rsid w:val="00D85B3E"/>
    <w:rsid w:val="00D86248"/>
    <w:rsid w:val="00D90614"/>
    <w:rsid w:val="00DA22CC"/>
    <w:rsid w:val="00DA2405"/>
    <w:rsid w:val="00DA3E79"/>
    <w:rsid w:val="00DA3F31"/>
    <w:rsid w:val="00DA4DFC"/>
    <w:rsid w:val="00DA5628"/>
    <w:rsid w:val="00DB1BF3"/>
    <w:rsid w:val="00DB1D02"/>
    <w:rsid w:val="00DB214F"/>
    <w:rsid w:val="00DB30E2"/>
    <w:rsid w:val="00DB3BB3"/>
    <w:rsid w:val="00DB71AD"/>
    <w:rsid w:val="00DC0B37"/>
    <w:rsid w:val="00DD03FE"/>
    <w:rsid w:val="00DD505A"/>
    <w:rsid w:val="00DD7696"/>
    <w:rsid w:val="00DD7B75"/>
    <w:rsid w:val="00DE4FCC"/>
    <w:rsid w:val="00DE5486"/>
    <w:rsid w:val="00DE5DD1"/>
    <w:rsid w:val="00DE626C"/>
    <w:rsid w:val="00DE7A67"/>
    <w:rsid w:val="00E026E7"/>
    <w:rsid w:val="00E1055F"/>
    <w:rsid w:val="00E109E6"/>
    <w:rsid w:val="00E1370E"/>
    <w:rsid w:val="00E14A37"/>
    <w:rsid w:val="00E20BB0"/>
    <w:rsid w:val="00E21089"/>
    <w:rsid w:val="00E21B72"/>
    <w:rsid w:val="00E32727"/>
    <w:rsid w:val="00E32A32"/>
    <w:rsid w:val="00E3644C"/>
    <w:rsid w:val="00E41745"/>
    <w:rsid w:val="00E46C8C"/>
    <w:rsid w:val="00E501C3"/>
    <w:rsid w:val="00E507B1"/>
    <w:rsid w:val="00E52F87"/>
    <w:rsid w:val="00E60535"/>
    <w:rsid w:val="00E65144"/>
    <w:rsid w:val="00E6679E"/>
    <w:rsid w:val="00E67949"/>
    <w:rsid w:val="00E7126E"/>
    <w:rsid w:val="00E72933"/>
    <w:rsid w:val="00E732E8"/>
    <w:rsid w:val="00E84144"/>
    <w:rsid w:val="00E851EA"/>
    <w:rsid w:val="00E93828"/>
    <w:rsid w:val="00E959E9"/>
    <w:rsid w:val="00E96570"/>
    <w:rsid w:val="00E96838"/>
    <w:rsid w:val="00EA5401"/>
    <w:rsid w:val="00EA7A74"/>
    <w:rsid w:val="00EB28F8"/>
    <w:rsid w:val="00EB4085"/>
    <w:rsid w:val="00EB62DC"/>
    <w:rsid w:val="00EB7908"/>
    <w:rsid w:val="00EC131C"/>
    <w:rsid w:val="00EC45A2"/>
    <w:rsid w:val="00EC5850"/>
    <w:rsid w:val="00EC6E46"/>
    <w:rsid w:val="00ED2E22"/>
    <w:rsid w:val="00ED5E1A"/>
    <w:rsid w:val="00EE283C"/>
    <w:rsid w:val="00EE6301"/>
    <w:rsid w:val="00EE7B17"/>
    <w:rsid w:val="00EF458F"/>
    <w:rsid w:val="00EF5883"/>
    <w:rsid w:val="00EF7B2D"/>
    <w:rsid w:val="00EF7CCC"/>
    <w:rsid w:val="00F016DD"/>
    <w:rsid w:val="00F0376E"/>
    <w:rsid w:val="00F06D85"/>
    <w:rsid w:val="00F1048C"/>
    <w:rsid w:val="00F10A9E"/>
    <w:rsid w:val="00F14A5A"/>
    <w:rsid w:val="00F16404"/>
    <w:rsid w:val="00F165D5"/>
    <w:rsid w:val="00F17CEC"/>
    <w:rsid w:val="00F240D3"/>
    <w:rsid w:val="00F27160"/>
    <w:rsid w:val="00F302C6"/>
    <w:rsid w:val="00F40E28"/>
    <w:rsid w:val="00F41336"/>
    <w:rsid w:val="00F42629"/>
    <w:rsid w:val="00F4282E"/>
    <w:rsid w:val="00F4368F"/>
    <w:rsid w:val="00F438A3"/>
    <w:rsid w:val="00F43998"/>
    <w:rsid w:val="00F43DD1"/>
    <w:rsid w:val="00F44686"/>
    <w:rsid w:val="00F44BE6"/>
    <w:rsid w:val="00F56270"/>
    <w:rsid w:val="00F56954"/>
    <w:rsid w:val="00F57CE9"/>
    <w:rsid w:val="00F64777"/>
    <w:rsid w:val="00F64F4B"/>
    <w:rsid w:val="00F67234"/>
    <w:rsid w:val="00F6774C"/>
    <w:rsid w:val="00F67E98"/>
    <w:rsid w:val="00F73319"/>
    <w:rsid w:val="00F76AFF"/>
    <w:rsid w:val="00F770CF"/>
    <w:rsid w:val="00F8041C"/>
    <w:rsid w:val="00F80FF3"/>
    <w:rsid w:val="00F834C1"/>
    <w:rsid w:val="00F91A40"/>
    <w:rsid w:val="00FA1ECE"/>
    <w:rsid w:val="00FA62E7"/>
    <w:rsid w:val="00FA787B"/>
    <w:rsid w:val="00FB1622"/>
    <w:rsid w:val="00FB21A3"/>
    <w:rsid w:val="00FB2580"/>
    <w:rsid w:val="00FB2DE5"/>
    <w:rsid w:val="00FB3A20"/>
    <w:rsid w:val="00FB58C1"/>
    <w:rsid w:val="00FB5F7E"/>
    <w:rsid w:val="00FC2A6B"/>
    <w:rsid w:val="00FC5892"/>
    <w:rsid w:val="00FC7C89"/>
    <w:rsid w:val="00FD345C"/>
    <w:rsid w:val="00FD3E17"/>
    <w:rsid w:val="00FE2262"/>
    <w:rsid w:val="00FE6FE6"/>
    <w:rsid w:val="00FF1346"/>
    <w:rsid w:val="00FF2F85"/>
    <w:rsid w:val="00FF3CA4"/>
    <w:rsid w:val="00FF4E47"/>
    <w:rsid w:val="00FF505E"/>
    <w:rsid w:val="00FF609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3C8CEC"/>
  <w15:docId w15:val="{87D5F36E-690B-AC49-A960-0B90B3B66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80C"/>
  </w:style>
  <w:style w:type="paragraph" w:styleId="Heading1">
    <w:name w:val="heading 1"/>
    <w:basedOn w:val="Normal"/>
    <w:next w:val="Normal"/>
    <w:link w:val="Heading1Char"/>
    <w:uiPriority w:val="9"/>
    <w:qFormat/>
    <w:rsid w:val="005D22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22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22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22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21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D221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D2219"/>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5D2219"/>
    <w:pPr>
      <w:spacing w:after="0" w:line="240" w:lineRule="auto"/>
    </w:pPr>
  </w:style>
  <w:style w:type="character" w:customStyle="1" w:styleId="Heading1Char">
    <w:name w:val="Heading 1 Char"/>
    <w:basedOn w:val="DefaultParagraphFont"/>
    <w:link w:val="Heading1"/>
    <w:uiPriority w:val="9"/>
    <w:rsid w:val="005D22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221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9706E5"/>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766B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66B7"/>
    <w:rPr>
      <w:rFonts w:ascii="Lucida Grande" w:hAnsi="Lucida Grande" w:cs="Lucida Grande"/>
      <w:sz w:val="18"/>
      <w:szCs w:val="18"/>
    </w:rPr>
  </w:style>
  <w:style w:type="paragraph" w:styleId="ListParagraph">
    <w:name w:val="List Paragraph"/>
    <w:basedOn w:val="Normal"/>
    <w:uiPriority w:val="34"/>
    <w:qFormat/>
    <w:rsid w:val="00BF7176"/>
    <w:pPr>
      <w:ind w:left="720"/>
      <w:contextualSpacing/>
    </w:pPr>
  </w:style>
  <w:style w:type="paragraph" w:styleId="FootnoteText">
    <w:name w:val="footnote text"/>
    <w:basedOn w:val="Normal"/>
    <w:link w:val="FootnoteTextChar"/>
    <w:uiPriority w:val="99"/>
    <w:unhideWhenUsed/>
    <w:rsid w:val="00133360"/>
    <w:pPr>
      <w:spacing w:after="0" w:line="240" w:lineRule="auto"/>
    </w:pPr>
    <w:rPr>
      <w:sz w:val="24"/>
      <w:szCs w:val="24"/>
    </w:rPr>
  </w:style>
  <w:style w:type="character" w:customStyle="1" w:styleId="FootnoteTextChar">
    <w:name w:val="Footnote Text Char"/>
    <w:basedOn w:val="DefaultParagraphFont"/>
    <w:link w:val="FootnoteText"/>
    <w:uiPriority w:val="99"/>
    <w:rsid w:val="00133360"/>
    <w:rPr>
      <w:sz w:val="24"/>
      <w:szCs w:val="24"/>
    </w:rPr>
  </w:style>
  <w:style w:type="character" w:styleId="FootnoteReference">
    <w:name w:val="footnote reference"/>
    <w:basedOn w:val="DefaultParagraphFont"/>
    <w:uiPriority w:val="99"/>
    <w:unhideWhenUsed/>
    <w:rsid w:val="00133360"/>
    <w:rPr>
      <w:vertAlign w:val="superscript"/>
    </w:rPr>
  </w:style>
  <w:style w:type="paragraph" w:styleId="EndnoteText">
    <w:name w:val="endnote text"/>
    <w:basedOn w:val="Normal"/>
    <w:link w:val="EndnoteTextChar"/>
    <w:uiPriority w:val="99"/>
    <w:unhideWhenUsed/>
    <w:rsid w:val="00133360"/>
    <w:pPr>
      <w:spacing w:after="0" w:line="240" w:lineRule="auto"/>
    </w:pPr>
    <w:rPr>
      <w:sz w:val="24"/>
      <w:szCs w:val="24"/>
    </w:rPr>
  </w:style>
  <w:style w:type="character" w:customStyle="1" w:styleId="EndnoteTextChar">
    <w:name w:val="Endnote Text Char"/>
    <w:basedOn w:val="DefaultParagraphFont"/>
    <w:link w:val="EndnoteText"/>
    <w:uiPriority w:val="99"/>
    <w:rsid w:val="00133360"/>
    <w:rPr>
      <w:sz w:val="24"/>
      <w:szCs w:val="24"/>
    </w:rPr>
  </w:style>
  <w:style w:type="character" w:styleId="EndnoteReference">
    <w:name w:val="endnote reference"/>
    <w:basedOn w:val="DefaultParagraphFont"/>
    <w:uiPriority w:val="99"/>
    <w:unhideWhenUsed/>
    <w:rsid w:val="00133360"/>
    <w:rPr>
      <w:vertAlign w:val="superscript"/>
    </w:rPr>
  </w:style>
  <w:style w:type="table" w:styleId="TableGrid">
    <w:name w:val="Table Grid"/>
    <w:basedOn w:val="TableNormal"/>
    <w:uiPriority w:val="59"/>
    <w:rsid w:val="00FF6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128A8"/>
    <w:pPr>
      <w:spacing w:line="240" w:lineRule="auto"/>
    </w:pPr>
    <w:rPr>
      <w:b/>
      <w:bCs/>
      <w:color w:val="4F81BD" w:themeColor="accent1"/>
      <w:sz w:val="18"/>
      <w:szCs w:val="18"/>
    </w:rPr>
  </w:style>
  <w:style w:type="paragraph" w:customStyle="1" w:styleId="bitmapCenter">
    <w:name w:val="bitmapCenter"/>
    <w:basedOn w:val="Normal"/>
    <w:next w:val="Normal"/>
    <w:uiPriority w:val="99"/>
    <w:rsid w:val="00E851EA"/>
    <w:pPr>
      <w:keepLines/>
      <w:autoSpaceDE w:val="0"/>
      <w:autoSpaceDN w:val="0"/>
      <w:adjustRightInd w:val="0"/>
      <w:spacing w:before="120" w:after="120" w:line="240" w:lineRule="auto"/>
    </w:pPr>
    <w:rPr>
      <w:rFonts w:ascii="Times New Roman" w:eastAsia="Times New Roman" w:hAnsi="Times New Roman" w:cs="Times New Roman"/>
      <w:noProof/>
      <w:sz w:val="24"/>
      <w:szCs w:val="24"/>
      <w:lang w:eastAsia="en-US"/>
    </w:rPr>
  </w:style>
  <w:style w:type="character" w:styleId="PlaceholderText">
    <w:name w:val="Placeholder Text"/>
    <w:basedOn w:val="DefaultParagraphFont"/>
    <w:uiPriority w:val="99"/>
    <w:semiHidden/>
    <w:rsid w:val="00AE33D2"/>
    <w:rPr>
      <w:color w:val="808080"/>
    </w:rPr>
  </w:style>
  <w:style w:type="character" w:styleId="CommentReference">
    <w:name w:val="annotation reference"/>
    <w:basedOn w:val="DefaultParagraphFont"/>
    <w:uiPriority w:val="99"/>
    <w:semiHidden/>
    <w:unhideWhenUsed/>
    <w:rsid w:val="00D86248"/>
    <w:rPr>
      <w:sz w:val="18"/>
      <w:szCs w:val="18"/>
    </w:rPr>
  </w:style>
  <w:style w:type="paragraph" w:styleId="CommentText">
    <w:name w:val="annotation text"/>
    <w:basedOn w:val="Normal"/>
    <w:link w:val="CommentTextChar"/>
    <w:uiPriority w:val="99"/>
    <w:semiHidden/>
    <w:unhideWhenUsed/>
    <w:rsid w:val="00D86248"/>
    <w:pPr>
      <w:spacing w:line="240" w:lineRule="auto"/>
    </w:pPr>
    <w:rPr>
      <w:sz w:val="24"/>
      <w:szCs w:val="24"/>
    </w:rPr>
  </w:style>
  <w:style w:type="character" w:customStyle="1" w:styleId="CommentTextChar">
    <w:name w:val="Comment Text Char"/>
    <w:basedOn w:val="DefaultParagraphFont"/>
    <w:link w:val="CommentText"/>
    <w:uiPriority w:val="99"/>
    <w:semiHidden/>
    <w:rsid w:val="00D86248"/>
    <w:rPr>
      <w:sz w:val="24"/>
      <w:szCs w:val="24"/>
    </w:rPr>
  </w:style>
  <w:style w:type="paragraph" w:styleId="CommentSubject">
    <w:name w:val="annotation subject"/>
    <w:basedOn w:val="CommentText"/>
    <w:next w:val="CommentText"/>
    <w:link w:val="CommentSubjectChar"/>
    <w:uiPriority w:val="99"/>
    <w:semiHidden/>
    <w:unhideWhenUsed/>
    <w:rsid w:val="00D86248"/>
    <w:rPr>
      <w:b/>
      <w:bCs/>
      <w:sz w:val="20"/>
      <w:szCs w:val="20"/>
    </w:rPr>
  </w:style>
  <w:style w:type="character" w:customStyle="1" w:styleId="CommentSubjectChar">
    <w:name w:val="Comment Subject Char"/>
    <w:basedOn w:val="CommentTextChar"/>
    <w:link w:val="CommentSubject"/>
    <w:uiPriority w:val="99"/>
    <w:semiHidden/>
    <w:rsid w:val="00D86248"/>
    <w:rPr>
      <w:b/>
      <w:bCs/>
      <w:sz w:val="20"/>
      <w:szCs w:val="20"/>
    </w:rPr>
  </w:style>
  <w:style w:type="paragraph" w:styleId="Revision">
    <w:name w:val="Revision"/>
    <w:hidden/>
    <w:uiPriority w:val="99"/>
    <w:semiHidden/>
    <w:rsid w:val="002B4CC2"/>
    <w:pPr>
      <w:spacing w:after="0" w:line="240" w:lineRule="auto"/>
    </w:pPr>
  </w:style>
  <w:style w:type="paragraph" w:styleId="DocumentMap">
    <w:name w:val="Document Map"/>
    <w:basedOn w:val="Normal"/>
    <w:link w:val="DocumentMapChar"/>
    <w:uiPriority w:val="99"/>
    <w:semiHidden/>
    <w:unhideWhenUsed/>
    <w:rsid w:val="002B4CC2"/>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B4CC2"/>
    <w:rPr>
      <w:rFonts w:ascii="Lucida Grande" w:hAnsi="Lucida Grande" w:cs="Lucida Grande"/>
      <w:sz w:val="24"/>
      <w:szCs w:val="24"/>
    </w:rPr>
  </w:style>
  <w:style w:type="character" w:customStyle="1" w:styleId="Heading3Char">
    <w:name w:val="Heading 3 Char"/>
    <w:basedOn w:val="DefaultParagraphFont"/>
    <w:link w:val="Heading3"/>
    <w:uiPriority w:val="9"/>
    <w:rsid w:val="00A2223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A3E79"/>
    <w:rPr>
      <w:color w:val="0000FF" w:themeColor="hyperlink"/>
      <w:u w:val="single"/>
    </w:rPr>
  </w:style>
  <w:style w:type="paragraph" w:styleId="Header">
    <w:name w:val="header"/>
    <w:basedOn w:val="Normal"/>
    <w:link w:val="HeaderChar"/>
    <w:uiPriority w:val="99"/>
    <w:unhideWhenUsed/>
    <w:rsid w:val="00281FD2"/>
    <w:pPr>
      <w:tabs>
        <w:tab w:val="center" w:pos="4320"/>
        <w:tab w:val="right" w:pos="8640"/>
      </w:tabs>
      <w:spacing w:after="0" w:line="240" w:lineRule="auto"/>
    </w:pPr>
  </w:style>
  <w:style w:type="character" w:customStyle="1" w:styleId="HeaderChar">
    <w:name w:val="Header Char"/>
    <w:basedOn w:val="DefaultParagraphFont"/>
    <w:link w:val="Header"/>
    <w:uiPriority w:val="99"/>
    <w:rsid w:val="00281FD2"/>
  </w:style>
  <w:style w:type="paragraph" w:styleId="Footer">
    <w:name w:val="footer"/>
    <w:basedOn w:val="Normal"/>
    <w:link w:val="FooterChar"/>
    <w:uiPriority w:val="99"/>
    <w:unhideWhenUsed/>
    <w:rsid w:val="00281FD2"/>
    <w:pPr>
      <w:tabs>
        <w:tab w:val="center" w:pos="4320"/>
        <w:tab w:val="right" w:pos="8640"/>
      </w:tabs>
      <w:spacing w:after="0" w:line="240" w:lineRule="auto"/>
    </w:pPr>
  </w:style>
  <w:style w:type="character" w:customStyle="1" w:styleId="FooterChar">
    <w:name w:val="Footer Char"/>
    <w:basedOn w:val="DefaultParagraphFont"/>
    <w:link w:val="Footer"/>
    <w:uiPriority w:val="99"/>
    <w:rsid w:val="00281FD2"/>
  </w:style>
  <w:style w:type="table" w:styleId="LightShading">
    <w:name w:val="Light Shading"/>
    <w:basedOn w:val="TableNormal"/>
    <w:uiPriority w:val="60"/>
    <w:rsid w:val="0028561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482291">
      <w:bodyDiv w:val="1"/>
      <w:marLeft w:val="0"/>
      <w:marRight w:val="0"/>
      <w:marTop w:val="0"/>
      <w:marBottom w:val="0"/>
      <w:divBdr>
        <w:top w:val="none" w:sz="0" w:space="0" w:color="auto"/>
        <w:left w:val="none" w:sz="0" w:space="0" w:color="auto"/>
        <w:bottom w:val="none" w:sz="0" w:space="0" w:color="auto"/>
        <w:right w:val="none" w:sz="0" w:space="0" w:color="auto"/>
      </w:divBdr>
    </w:div>
    <w:div w:id="492256092">
      <w:bodyDiv w:val="1"/>
      <w:marLeft w:val="0"/>
      <w:marRight w:val="0"/>
      <w:marTop w:val="0"/>
      <w:marBottom w:val="0"/>
      <w:divBdr>
        <w:top w:val="none" w:sz="0" w:space="0" w:color="auto"/>
        <w:left w:val="none" w:sz="0" w:space="0" w:color="auto"/>
        <w:bottom w:val="none" w:sz="0" w:space="0" w:color="auto"/>
        <w:right w:val="none" w:sz="0" w:space="0" w:color="auto"/>
      </w:divBdr>
      <w:divsChild>
        <w:div w:id="1849785453">
          <w:marLeft w:val="0"/>
          <w:marRight w:val="0"/>
          <w:marTop w:val="0"/>
          <w:marBottom w:val="0"/>
          <w:divBdr>
            <w:top w:val="none" w:sz="0" w:space="0" w:color="auto"/>
            <w:left w:val="none" w:sz="0" w:space="0" w:color="auto"/>
            <w:bottom w:val="none" w:sz="0" w:space="0" w:color="auto"/>
            <w:right w:val="none" w:sz="0" w:space="0" w:color="auto"/>
          </w:divBdr>
          <w:divsChild>
            <w:div w:id="580527019">
              <w:marLeft w:val="0"/>
              <w:marRight w:val="0"/>
              <w:marTop w:val="0"/>
              <w:marBottom w:val="0"/>
              <w:divBdr>
                <w:top w:val="none" w:sz="0" w:space="0" w:color="auto"/>
                <w:left w:val="none" w:sz="0" w:space="0" w:color="auto"/>
                <w:bottom w:val="none" w:sz="0" w:space="0" w:color="auto"/>
                <w:right w:val="none" w:sz="0" w:space="0" w:color="auto"/>
              </w:divBdr>
              <w:divsChild>
                <w:div w:id="16189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835863">
      <w:bodyDiv w:val="1"/>
      <w:marLeft w:val="0"/>
      <w:marRight w:val="0"/>
      <w:marTop w:val="0"/>
      <w:marBottom w:val="0"/>
      <w:divBdr>
        <w:top w:val="none" w:sz="0" w:space="0" w:color="auto"/>
        <w:left w:val="none" w:sz="0" w:space="0" w:color="auto"/>
        <w:bottom w:val="none" w:sz="0" w:space="0" w:color="auto"/>
        <w:right w:val="none" w:sz="0" w:space="0" w:color="auto"/>
      </w:divBdr>
      <w:divsChild>
        <w:div w:id="588999902">
          <w:marLeft w:val="0"/>
          <w:marRight w:val="0"/>
          <w:marTop w:val="0"/>
          <w:marBottom w:val="0"/>
          <w:divBdr>
            <w:top w:val="none" w:sz="0" w:space="0" w:color="auto"/>
            <w:left w:val="none" w:sz="0" w:space="0" w:color="auto"/>
            <w:bottom w:val="none" w:sz="0" w:space="0" w:color="auto"/>
            <w:right w:val="none" w:sz="0" w:space="0" w:color="auto"/>
          </w:divBdr>
          <w:divsChild>
            <w:div w:id="21461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3F566-3F53-054F-9DE4-E2748E971C5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1701</Words>
  <Characters>9701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David Steinsaltz</cp:lastModifiedBy>
  <cp:revision>2</cp:revision>
  <cp:lastPrinted>2015-07-22T15:11:00Z</cp:lastPrinted>
  <dcterms:created xsi:type="dcterms:W3CDTF">2023-06-28T07:09:00Z</dcterms:created>
  <dcterms:modified xsi:type="dcterms:W3CDTF">2023-06-28T07:09:00Z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bensel@gmail.com@www.mendeley.com</vt:lpwstr>
  </property>
  <property fmtid="{D5CDD505-2E9C-101B-9397-08002B2CF9AE}" pid="4" name="Mendeley Citation Style_1">
    <vt:lpwstr>http://www.zotero.org/styles/jama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http://www.zotero.org/styles/jama</vt:lpwstr>
  </property>
  <property fmtid="{D5CDD505-2E9C-101B-9397-08002B2CF9AE}" pid="16" name="Mendeley Recent Style Name 5_1">
    <vt:lpwstr>JAMA (The Journal of the American Medical Association)</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http://www.zotero.org/styles/new-england-journal-of-medicine</vt:lpwstr>
  </property>
  <property fmtid="{D5CDD505-2E9C-101B-9397-08002B2CF9AE}" pid="20" name="Mendeley Recent Style Name 7_1">
    <vt:lpwstr>New England Journal of Medicine</vt:lpwstr>
  </property>
  <property fmtid="{D5CDD505-2E9C-101B-9397-08002B2CF9AE}" pid="21" name="Mendeley Recent Style Id 8_1">
    <vt:lpwstr>http://www.zotero.org/styles/plos</vt:lpwstr>
  </property>
  <property fmtid="{D5CDD505-2E9C-101B-9397-08002B2CF9AE}" pid="22" name="Mendeley Recent Style Name 8_1">
    <vt:lpwstr>Public Library of Science (PLOS)</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