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ANNEX II: COMPLIANCE AND OPERATIONAL CONDITIONS</w:t>
      </w:r>
      <w:r w:rsidDel="00000000" w:rsidR="00000000" w:rsidRPr="00000000">
        <w:rPr>
          <w:rtl w:val="0"/>
        </w:rPr>
      </w:r>
    </w:p>
    <w:p w:rsidR="00000000" w:rsidDel="00000000" w:rsidP="00000000" w:rsidRDefault="00000000" w:rsidRPr="00000000" w14:paraId="00000002">
      <w:pPr>
        <w:spacing w:after="60" w:before="60" w:lineRule="auto"/>
        <w:jc w:val="both"/>
        <w:rPr/>
      </w:pPr>
      <w:r w:rsidDel="00000000" w:rsidR="00000000" w:rsidRPr="00000000">
        <w:rPr>
          <w:rtl w:val="0"/>
        </w:rPr>
      </w:r>
    </w:p>
    <w:p w:rsidR="00000000" w:rsidDel="00000000" w:rsidP="00000000" w:rsidRDefault="00000000" w:rsidRPr="00000000" w14:paraId="00000003">
      <w:pPr>
        <w:numPr>
          <w:ilvl w:val="0"/>
          <w:numId w:val="1"/>
        </w:numPr>
        <w:spacing w:after="0" w:before="0" w:line="276" w:lineRule="auto"/>
        <w:ind w:left="720" w:hanging="360"/>
        <w:jc w:val="both"/>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Prevalence and Integration into the Agreement</w:t>
      </w:r>
      <w:r w:rsidDel="00000000" w:rsidR="00000000" w:rsidRPr="00000000">
        <w:rPr>
          <w:rtl w:val="0"/>
        </w:rPr>
      </w:r>
    </w:p>
    <w:p w:rsidR="00000000" w:rsidDel="00000000" w:rsidP="00000000" w:rsidRDefault="00000000" w:rsidRPr="00000000" w14:paraId="00000004">
      <w:pPr>
        <w:numPr>
          <w:ilvl w:val="1"/>
          <w:numId w:val="1"/>
        </w:numPr>
        <w:spacing w:after="0" w:before="0" w:line="276" w:lineRule="auto"/>
        <w:ind w:left="1440" w:hanging="360"/>
        <w:jc w:val="both"/>
        <w:rPr>
          <w:sz w:val="22"/>
          <w:szCs w:val="22"/>
        </w:rPr>
      </w:pPr>
      <w:r w:rsidDel="00000000" w:rsidR="00000000" w:rsidRPr="00000000">
        <w:rPr>
          <w:rFonts w:ascii="Inter" w:cs="Inter" w:eastAsia="Inter" w:hAnsi="Inter"/>
          <w:b w:val="1"/>
          <w:bCs w:val="1"/>
          <w:sz w:val="22"/>
          <w:szCs w:val="22"/>
          <w:rtl w:val="0"/>
        </w:rPr>
        <w:t xml:space="preserve">Single contractual body.  </w:t>
      </w:r>
      <w:r w:rsidDel="00000000" w:rsidR="00000000" w:rsidRPr="00000000">
        <w:rPr>
          <w:rFonts w:ascii="Inter" w:cs="Inter" w:eastAsia="Inter" w:hAnsi="Inter"/>
          <w:sz w:val="22"/>
          <w:szCs w:val="22"/>
          <w:rtl w:val="0"/>
        </w:rPr>
        <w:t xml:space="preserve">This Annex II forms an integral part of the Platform Service Agreement entered into between </w:t>
      </w:r>
      <w:r w:rsidDel="00000000" w:rsidR="00000000" w:rsidRPr="00000000">
        <w:rPr>
          <w:rFonts w:ascii="Inter" w:cs="Inter" w:eastAsia="Inter" w:hAnsi="Inter"/>
          <w:sz w:val="22"/>
          <w:szCs w:val="22"/>
          <w:rtl w:val="0"/>
        </w:rPr>
        <w:t xml:space="preserve">Due Ltd, along with its affiliated entities in the Due Group (together “</w:t>
      </w:r>
      <w:r w:rsidDel="00000000" w:rsidR="00000000" w:rsidRPr="00000000">
        <w:rPr>
          <w:rFonts w:ascii="Inter" w:cs="Inter" w:eastAsia="Inter" w:hAnsi="Inter"/>
          <w:b w:val="1"/>
          <w:bCs w:val="1"/>
          <w:sz w:val="22"/>
          <w:szCs w:val="22"/>
          <w:rtl w:val="0"/>
        </w:rPr>
        <w:t xml:space="preserve">Due</w:t>
      </w:r>
      <w:r w:rsidDel="00000000" w:rsidR="00000000" w:rsidRPr="00000000">
        <w:rPr>
          <w:rFonts w:ascii="Inter" w:cs="Inter" w:eastAsia="Inter" w:hAnsi="Inter"/>
          <w:sz w:val="22"/>
          <w:szCs w:val="22"/>
          <w:rtl w:val="0"/>
        </w:rPr>
        <w:t xml:space="preserve">”, the “</w:t>
      </w:r>
      <w:r w:rsidDel="00000000" w:rsidR="00000000" w:rsidRPr="00000000">
        <w:rPr>
          <w:rFonts w:ascii="Inter" w:cs="Inter" w:eastAsia="Inter" w:hAnsi="Inter"/>
          <w:b w:val="1"/>
          <w:bCs w:val="1"/>
          <w:sz w:val="22"/>
          <w:szCs w:val="22"/>
          <w:rtl w:val="0"/>
        </w:rPr>
        <w:t xml:space="preserve">Company</w:t>
      </w:r>
      <w:r w:rsidDel="00000000" w:rsidR="00000000" w:rsidRPr="00000000">
        <w:rPr>
          <w:rFonts w:ascii="Inter" w:cs="Inter" w:eastAsia="Inter" w:hAnsi="Inter"/>
          <w:sz w:val="22"/>
          <w:szCs w:val="22"/>
          <w:rtl w:val="0"/>
        </w:rPr>
        <w:t xml:space="preserve">”)</w:t>
      </w:r>
      <w:r w:rsidDel="00000000" w:rsidR="00000000" w:rsidRPr="00000000">
        <w:rPr>
          <w:rFonts w:ascii="Inter" w:cs="Inter" w:eastAsia="Inter" w:hAnsi="Inter"/>
          <w:sz w:val="22"/>
          <w:szCs w:val="22"/>
          <w:rtl w:val="0"/>
        </w:rPr>
        <w:t xml:space="preserve"> and Fasset Labuan Limited, </w:t>
      </w:r>
      <w:r w:rsidDel="00000000" w:rsidR="00000000" w:rsidRPr="00000000">
        <w:rPr>
          <w:rFonts w:ascii="Inter" w:cs="Inter" w:eastAsia="Inter" w:hAnsi="Inter"/>
          <w:sz w:val="22"/>
          <w:szCs w:val="22"/>
          <w:rtl w:val="0"/>
        </w:rPr>
        <w:t xml:space="preserve">(the “</w:t>
      </w:r>
      <w:r w:rsidDel="00000000" w:rsidR="00000000" w:rsidRPr="00000000">
        <w:rPr>
          <w:rFonts w:ascii="Inter" w:cs="Inter" w:eastAsia="Inter" w:hAnsi="Inter"/>
          <w:b w:val="1"/>
          <w:bCs w:val="1"/>
          <w:sz w:val="22"/>
          <w:szCs w:val="22"/>
          <w:rtl w:val="0"/>
        </w:rPr>
        <w:t xml:space="preserve">Client</w:t>
      </w:r>
      <w:r w:rsidDel="00000000" w:rsidR="00000000" w:rsidRPr="00000000">
        <w:rPr>
          <w:rFonts w:ascii="Inter" w:cs="Inter" w:eastAsia="Inter" w:hAnsi="Inter"/>
          <w:sz w:val="22"/>
          <w:szCs w:val="22"/>
          <w:rtl w:val="0"/>
        </w:rPr>
        <w:t xml:space="preserve">”),</w:t>
      </w:r>
      <w:r w:rsidDel="00000000" w:rsidR="00000000" w:rsidRPr="00000000">
        <w:rPr>
          <w:rFonts w:ascii="Inter" w:cs="Inter" w:eastAsia="Inter" w:hAnsi="Inter"/>
          <w:sz w:val="22"/>
          <w:szCs w:val="22"/>
          <w:rtl w:val="0"/>
        </w:rPr>
        <w:t xml:space="preserve"> dated 15 December 2025 (the "</w:t>
      </w:r>
      <w:r w:rsidDel="00000000" w:rsidR="00000000" w:rsidRPr="00000000">
        <w:rPr>
          <w:rFonts w:ascii="Inter" w:cs="Inter" w:eastAsia="Inter" w:hAnsi="Inter"/>
          <w:b w:val="1"/>
          <w:bCs w:val="1"/>
          <w:sz w:val="22"/>
          <w:szCs w:val="22"/>
          <w:rtl w:val="0"/>
        </w:rPr>
        <w:t xml:space="preserve">Main Agreement</w:t>
      </w:r>
      <w:r w:rsidDel="00000000" w:rsidR="00000000" w:rsidRPr="00000000">
        <w:rPr>
          <w:rFonts w:ascii="Inter" w:cs="Inter" w:eastAsia="Inter" w:hAnsi="Inter"/>
          <w:sz w:val="22"/>
          <w:szCs w:val="22"/>
          <w:rtl w:val="0"/>
        </w:rPr>
        <w:t xml:space="preserve">") and, together with the Main Agreement and Annex I (Fee Schedule), constitutes a single contractual body governing the entirety of the relationship between the Parties in connection with the Programme.</w:t>
      </w:r>
    </w:p>
    <w:p w:rsidR="00000000" w:rsidDel="00000000" w:rsidP="00000000" w:rsidRDefault="00000000" w:rsidRPr="00000000" w14:paraId="00000005">
      <w:pPr>
        <w:numPr>
          <w:ilvl w:val="1"/>
          <w:numId w:val="1"/>
        </w:numPr>
        <w:spacing w:after="0" w:before="0" w:line="276" w:lineRule="auto"/>
        <w:ind w:left="1440" w:hanging="360"/>
        <w:jc w:val="both"/>
        <w:rPr>
          <w:sz w:val="22"/>
          <w:szCs w:val="22"/>
        </w:rPr>
      </w:pPr>
      <w:r w:rsidDel="00000000" w:rsidR="00000000" w:rsidRPr="00000000">
        <w:rPr>
          <w:rFonts w:ascii="Inter" w:cs="Inter" w:eastAsia="Inter" w:hAnsi="Inter"/>
          <w:b w:val="1"/>
          <w:bCs w:val="1"/>
          <w:sz w:val="22"/>
          <w:szCs w:val="22"/>
          <w:rtl w:val="0"/>
        </w:rPr>
        <w:t xml:space="preserve">Prevalence of this Annex.  </w:t>
      </w:r>
      <w:r w:rsidDel="00000000" w:rsidR="00000000" w:rsidRPr="00000000">
        <w:rPr>
          <w:rFonts w:ascii="Inter" w:cs="Inter" w:eastAsia="Inter" w:hAnsi="Inter"/>
          <w:sz w:val="22"/>
          <w:szCs w:val="22"/>
          <w:rtl w:val="0"/>
        </w:rPr>
        <w:t xml:space="preserve">In the event of any conflict or inconsistency between the provisions of this Annex II and any clause of the Main Agreement or Annex I, the provisions of this Annex II shall prevail, save where a specific provision of this Annex II expressly provides otherwise. This order of prevalence applies in particular to all matters concerning AML/CFT compliance, client onboarding requirements, transaction monitoring, risk management, data obligations, and the scope and limitations of the Services as set out herein.</w:t>
      </w:r>
    </w:p>
    <w:p w:rsidR="00000000" w:rsidDel="00000000" w:rsidP="00000000" w:rsidRDefault="00000000" w:rsidRPr="00000000" w14:paraId="00000006">
      <w:pPr>
        <w:numPr>
          <w:ilvl w:val="1"/>
          <w:numId w:val="1"/>
        </w:numPr>
        <w:spacing w:after="0" w:before="0" w:line="276" w:lineRule="auto"/>
        <w:ind w:left="1440" w:hanging="360"/>
        <w:jc w:val="both"/>
        <w:rPr>
          <w:sz w:val="22"/>
          <w:szCs w:val="22"/>
        </w:rPr>
      </w:pPr>
      <w:r w:rsidDel="00000000" w:rsidR="00000000" w:rsidRPr="00000000">
        <w:rPr>
          <w:rFonts w:ascii="Inter" w:cs="Inter" w:eastAsia="Inter" w:hAnsi="Inter"/>
          <w:b w:val="1"/>
          <w:bCs w:val="1"/>
          <w:sz w:val="22"/>
          <w:szCs w:val="22"/>
          <w:rtl w:val="0"/>
        </w:rPr>
        <w:t xml:space="preserve">Interpretation. </w:t>
      </w:r>
      <w:r w:rsidDel="00000000" w:rsidR="00000000" w:rsidRPr="00000000">
        <w:rPr>
          <w:rFonts w:ascii="Inter" w:cs="Inter" w:eastAsia="Inter" w:hAnsi="Inter"/>
          <w:sz w:val="22"/>
          <w:szCs w:val="22"/>
          <w:rtl w:val="0"/>
        </w:rPr>
        <w:t xml:space="preserve">Capitalized terms used but not defined in this Annex II shall have the meaning ascribed to them in the Main Contract. In case of ambiguity, this Annex II shall be interpreted in accordance with the regulatory obligations of the Due Group.</w:t>
      </w:r>
    </w:p>
    <w:p w:rsidR="00000000" w:rsidDel="00000000" w:rsidP="00000000" w:rsidRDefault="00000000" w:rsidRPr="00000000" w14:paraId="00000007">
      <w:pPr>
        <w:spacing w:after="0" w:before="0" w:line="276" w:lineRule="auto"/>
        <w:ind w:left="0" w:firstLine="0"/>
        <w:jc w:val="both"/>
        <w:rPr>
          <w:b w:val="1"/>
          <w:bCs w:val="1"/>
          <w:sz w:val="22"/>
          <w:szCs w:val="22"/>
        </w:rPr>
      </w:pPr>
      <w:r w:rsidDel="00000000" w:rsidR="00000000" w:rsidRPr="00000000">
        <w:rPr>
          <w:rtl w:val="0"/>
        </w:rPr>
      </w:r>
    </w:p>
    <w:p w:rsidR="00000000" w:rsidDel="00000000" w:rsidP="00000000" w:rsidRDefault="00000000" w:rsidRPr="00000000" w14:paraId="00000008">
      <w:pPr>
        <w:numPr>
          <w:ilvl w:val="0"/>
          <w:numId w:val="1"/>
        </w:numPr>
        <w:spacing w:after="0" w:before="0" w:line="276" w:lineRule="auto"/>
        <w:ind w:left="720" w:hanging="360"/>
        <w:jc w:val="both"/>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Onboarding and end users Identification Data</w:t>
      </w:r>
      <w:r w:rsidDel="00000000" w:rsidR="00000000" w:rsidRPr="00000000">
        <w:rPr>
          <w:rtl w:val="0"/>
        </w:rPr>
      </w:r>
    </w:p>
    <w:p w:rsidR="00000000" w:rsidDel="00000000" w:rsidP="00000000" w:rsidRDefault="00000000" w:rsidRPr="00000000" w14:paraId="00000009">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Data collection by the Client.  </w:t>
      </w:r>
      <w:r w:rsidDel="00000000" w:rsidR="00000000" w:rsidRPr="00000000">
        <w:rPr>
          <w:rFonts w:ascii="Inter" w:cs="Inter" w:eastAsia="Inter" w:hAnsi="Inter"/>
          <w:sz w:val="22"/>
          <w:szCs w:val="22"/>
          <w:rtl w:val="0"/>
        </w:rPr>
        <w:t xml:space="preserve">The Client</w:t>
      </w:r>
      <w:r w:rsidDel="00000000" w:rsidR="00000000" w:rsidRPr="00000000">
        <w:rPr>
          <w:rFonts w:ascii="Inter" w:cs="Inter" w:eastAsia="Inter" w:hAnsi="Inter"/>
          <w:sz w:val="22"/>
          <w:szCs w:val="22"/>
          <w:rtl w:val="0"/>
        </w:rPr>
        <w:t xml:space="preserve"> shall collect, using its own systems and tools, the onboarding data of each end user in accordance with its own AML/CFT Policies and Procedures, and shall transmit such data to Due for Due to determine whether to accept or reject the client and to assign the applicable risk level.</w:t>
      </w:r>
    </w:p>
    <w:p w:rsidR="00000000" w:rsidDel="00000000" w:rsidP="00000000" w:rsidRDefault="00000000" w:rsidRPr="00000000" w14:paraId="0000000A">
      <w:pPr>
        <w:numPr>
          <w:ilvl w:val="1"/>
          <w:numId w:val="1"/>
        </w:numPr>
        <w:spacing w:after="0" w:before="0" w:line="276" w:lineRule="auto"/>
        <w:ind w:left="1440" w:hanging="360"/>
        <w:jc w:val="both"/>
        <w:rPr>
          <w:rFonts w:ascii="Inter" w:cs="Inter" w:eastAsia="Inter" w:hAnsi="Inter"/>
          <w:sz w:val="22"/>
          <w:szCs w:val="22"/>
          <w:u w:val="none"/>
        </w:rPr>
      </w:pPr>
      <w:r w:rsidDel="00000000" w:rsidR="00000000" w:rsidRPr="00000000">
        <w:rPr>
          <w:rFonts w:ascii="Inter" w:cs="Inter" w:eastAsia="Inter" w:hAnsi="Inter"/>
          <w:b w:val="1"/>
          <w:bCs w:val="1"/>
          <w:sz w:val="22"/>
          <w:szCs w:val="22"/>
          <w:rtl w:val="0"/>
        </w:rPr>
        <w:t xml:space="preserve">Data requirements</w:t>
      </w:r>
      <w:r w:rsidDel="00000000" w:rsidR="00000000" w:rsidRPr="00000000">
        <w:rPr>
          <w:rFonts w:ascii="Inter" w:cs="Inter" w:eastAsia="Inter" w:hAnsi="Inter"/>
          <w:sz w:val="22"/>
          <w:szCs w:val="22"/>
          <w:rtl w:val="0"/>
        </w:rPr>
        <w:t xml:space="preserve">. The Client shall provide to Due all information and documentation relating to its end users as may be required by Due from time to time, in accordance with Due’s internal policies and applicable laws and regulations. Such data requirements may vary depending on factors including, but not limited to, the end user’s jurisdiction, tax residency, risk profile, and the nature of the services provided. The specific minimum data requirements applicable to the Client are set out in </w:t>
      </w:r>
      <w:hyperlink r:id="rId7">
        <w:r w:rsidDel="00000000" w:rsidR="00000000" w:rsidRPr="00000000">
          <w:rPr>
            <w:rFonts w:ascii="Inter" w:cs="Inter" w:eastAsia="Inter" w:hAnsi="Inter"/>
            <w:color w:val="1155cc"/>
            <w:sz w:val="22"/>
            <w:szCs w:val="22"/>
            <w:u w:val="single"/>
            <w:rtl w:val="0"/>
          </w:rPr>
          <w:t xml:space="preserve">Due’s API documentation</w:t>
        </w:r>
      </w:hyperlink>
      <w:r w:rsidDel="00000000" w:rsidR="00000000" w:rsidRPr="00000000">
        <w:rPr>
          <w:rFonts w:ascii="Inter" w:cs="Inter" w:eastAsia="Inter" w:hAnsi="Inter"/>
          <w:sz w:val="22"/>
          <w:szCs w:val="22"/>
          <w:rtl w:val="0"/>
        </w:rPr>
        <w:t xml:space="preserve">, which is incorporated by reference into this Agreement. Due reserves the right to amend, supplement, or replace such requirements at any time, and shall provide reasonable notice of any material changes, unless immediate changes are required by applicable law or regulation.</w:t>
      </w:r>
    </w:p>
    <w:p w:rsidR="00000000" w:rsidDel="00000000" w:rsidP="00000000" w:rsidRDefault="00000000" w:rsidRPr="00000000" w14:paraId="0000000B">
      <w:pPr>
        <w:numPr>
          <w:ilvl w:val="1"/>
          <w:numId w:val="1"/>
        </w:numPr>
        <w:spacing w:after="0" w:before="0" w:line="276" w:lineRule="auto"/>
        <w:ind w:left="1440" w:hanging="360"/>
        <w:jc w:val="both"/>
        <w:rPr>
          <w:rFonts w:ascii="Inter" w:cs="Inter" w:eastAsia="Inter" w:hAnsi="Inter"/>
          <w:sz w:val="22"/>
          <w:szCs w:val="22"/>
          <w:u w:val="none"/>
        </w:rPr>
      </w:pPr>
      <w:r w:rsidDel="00000000" w:rsidR="00000000" w:rsidRPr="00000000">
        <w:rPr>
          <w:rFonts w:ascii="Inter" w:cs="Inter" w:eastAsia="Inter" w:hAnsi="Inter"/>
          <w:b w:val="1"/>
          <w:bCs w:val="1"/>
          <w:sz w:val="22"/>
          <w:szCs w:val="22"/>
          <w:rtl w:val="0"/>
        </w:rPr>
        <w:t xml:space="preserve">Data quality responsibility.  </w:t>
      </w:r>
      <w:r w:rsidDel="00000000" w:rsidR="00000000" w:rsidRPr="00000000">
        <w:rPr>
          <w:rFonts w:ascii="Inter" w:cs="Inter" w:eastAsia="Inter" w:hAnsi="Inter"/>
          <w:sz w:val="22"/>
          <w:szCs w:val="22"/>
          <w:rtl w:val="0"/>
        </w:rPr>
        <w:t xml:space="preserve">The Client</w:t>
      </w:r>
      <w:r w:rsidDel="00000000" w:rsidR="00000000" w:rsidRPr="00000000">
        <w:rPr>
          <w:rFonts w:ascii="Inter" w:cs="Inter" w:eastAsia="Inter" w:hAnsi="Inter"/>
          <w:sz w:val="22"/>
          <w:szCs w:val="22"/>
          <w:rtl w:val="0"/>
        </w:rPr>
        <w:t xml:space="preserve"> shall be solely responsible for the accuracy, completeness and currency of the data transmitted to Due. Due shall bear no liability for any acceptance, rejection or risk classification decisions made on the basis of incorrect, incomplete or outdated data provided by the Client.</w:t>
      </w:r>
    </w:p>
    <w:p w:rsidR="00000000" w:rsidDel="00000000" w:rsidP="00000000" w:rsidRDefault="00000000" w:rsidRPr="00000000" w14:paraId="0000000C">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Due's right to reject end users.  </w:t>
      </w:r>
      <w:r w:rsidDel="00000000" w:rsidR="00000000" w:rsidRPr="00000000">
        <w:rPr>
          <w:rFonts w:ascii="Inter" w:cs="Inter" w:eastAsia="Inter" w:hAnsi="Inter"/>
          <w:sz w:val="22"/>
          <w:szCs w:val="22"/>
          <w:rtl w:val="0"/>
        </w:rPr>
        <w:t xml:space="preserve">Due reserves the right to refuse the onboarding of any end user on AML/CFT grounds, without being required to provide detailed justification to the Client, and without such refusal giving rise to any liability on the part of Due.</w:t>
      </w:r>
    </w:p>
    <w:p w:rsidR="00000000" w:rsidDel="00000000" w:rsidP="00000000" w:rsidRDefault="00000000" w:rsidRPr="00000000" w14:paraId="0000000D">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High-risk jurisdictions.  </w:t>
      </w:r>
      <w:r w:rsidDel="00000000" w:rsidR="00000000" w:rsidRPr="00000000">
        <w:rPr>
          <w:rFonts w:ascii="Inter" w:cs="Inter" w:eastAsia="Inter" w:hAnsi="Inter"/>
          <w:sz w:val="22"/>
          <w:szCs w:val="22"/>
          <w:rtl w:val="0"/>
        </w:rPr>
        <w:t xml:space="preserve">Due shall not accept end users who are tax residents or nationals of jurisdictions classified as high-risk under Due's internal policies, the FATF lists, the EU list of non-cooperative jurisdictions for tax purposes, or any equivalent list adopted by Due. Due shall communicate its list of restricted jurisdictions to the Client, which may be updated by Due at any time.</w:t>
      </w:r>
    </w:p>
    <w:p w:rsidR="00000000" w:rsidDel="00000000" w:rsidP="00000000" w:rsidRDefault="00000000" w:rsidRPr="00000000" w14:paraId="0000000E">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Exclusion of Politically Exposed Persons (PEPs).  </w:t>
      </w:r>
      <w:r w:rsidDel="00000000" w:rsidR="00000000" w:rsidRPr="00000000">
        <w:rPr>
          <w:rFonts w:ascii="Inter" w:cs="Inter" w:eastAsia="Inter" w:hAnsi="Inter"/>
          <w:sz w:val="22"/>
          <w:szCs w:val="22"/>
          <w:rtl w:val="0"/>
        </w:rPr>
        <w:t xml:space="preserve">Due shall not accept as end users any individuals classified as Politically Exposed Persons (PEPs), nor their immediate family members or close associates, due to restrictions imposed by Due's banking partners and financial infrastructure providers. The Client shall refrain from submitting onboarding requests to Due in respect of individuals previously identified as PEPs.</w:t>
      </w:r>
    </w:p>
    <w:p w:rsidR="00000000" w:rsidDel="00000000" w:rsidP="00000000" w:rsidRDefault="00000000" w:rsidRPr="00000000" w14:paraId="0000000F">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Exclusion of sanctioned persons.  </w:t>
      </w:r>
      <w:r w:rsidDel="00000000" w:rsidR="00000000" w:rsidRPr="00000000">
        <w:rPr>
          <w:rFonts w:ascii="Inter" w:cs="Inter" w:eastAsia="Inter" w:hAnsi="Inter"/>
          <w:sz w:val="22"/>
          <w:szCs w:val="22"/>
          <w:rtl w:val="0"/>
        </w:rPr>
        <w:t xml:space="preserve">Due shall not accept end users who appear on international or national sanctions lists, or against whom restrictive measures or asset freezes have been imposed by any competent authority, including without limitation the OFAC lists, the EU Consolidated List, the UN Security Council lists, and any other lists adopted by Due pursuant to its internal policies.</w:t>
      </w:r>
    </w:p>
    <w:p w:rsidR="00000000" w:rsidDel="00000000" w:rsidP="00000000" w:rsidRDefault="00000000" w:rsidRPr="00000000" w14:paraId="00000010">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1">
      <w:pPr>
        <w:numPr>
          <w:ilvl w:val="0"/>
          <w:numId w:val="1"/>
        </w:numPr>
        <w:spacing w:after="0" w:before="0" w:line="276" w:lineRule="auto"/>
        <w:ind w:left="720" w:hanging="360"/>
        <w:jc w:val="both"/>
        <w:rPr>
          <w:rFonts w:ascii="Inter" w:cs="Inter" w:eastAsia="Inter" w:hAnsi="Inter"/>
          <w:b w:val="1"/>
          <w:bCs w:val="1"/>
          <w:sz w:val="22"/>
          <w:szCs w:val="22"/>
          <w:u w:val="none"/>
        </w:rPr>
      </w:pPr>
      <w:r w:rsidDel="00000000" w:rsidR="00000000" w:rsidRPr="00000000">
        <w:rPr>
          <w:rFonts w:ascii="Inter" w:cs="Inter" w:eastAsia="Inter" w:hAnsi="Inter"/>
          <w:b w:val="1"/>
          <w:bCs w:val="1"/>
          <w:sz w:val="22"/>
          <w:szCs w:val="22"/>
          <w:rtl w:val="0"/>
        </w:rPr>
        <w:t xml:space="preserve">AML/CFT Controls and Cost of Checks</w:t>
      </w:r>
      <w:r w:rsidDel="00000000" w:rsidR="00000000" w:rsidRPr="00000000">
        <w:rPr>
          <w:rtl w:val="0"/>
        </w:rPr>
      </w:r>
    </w:p>
    <w:p w:rsidR="00000000" w:rsidDel="00000000" w:rsidP="00000000" w:rsidRDefault="00000000" w:rsidRPr="00000000" w14:paraId="00000012">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AML checks.  </w:t>
      </w:r>
      <w:r w:rsidDel="00000000" w:rsidR="00000000" w:rsidRPr="00000000">
        <w:rPr>
          <w:rFonts w:ascii="Inter" w:cs="Inter" w:eastAsia="Inter" w:hAnsi="Inter"/>
          <w:sz w:val="22"/>
          <w:szCs w:val="22"/>
          <w:rtl w:val="0"/>
        </w:rPr>
        <w:t xml:space="preserve">Due shall engage its KYC/AML provider to conduct AML/CFT screening checks on each end user onboarded to the Programme, comprising as a minimum: screening against PEP lists, international and national sanctions lists, and adverse media searches.</w:t>
      </w:r>
    </w:p>
    <w:p w:rsidR="00000000" w:rsidDel="00000000" w:rsidP="00000000" w:rsidRDefault="00000000" w:rsidRPr="00000000" w14:paraId="00000013">
      <w:pPr>
        <w:numPr>
          <w:ilvl w:val="1"/>
          <w:numId w:val="1"/>
        </w:numPr>
        <w:spacing w:after="0" w:before="0"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Cost pass-through to the Client.  </w:t>
      </w:r>
      <w:r w:rsidDel="00000000" w:rsidR="00000000" w:rsidRPr="00000000">
        <w:rPr>
          <w:rFonts w:ascii="Inter" w:cs="Inter" w:eastAsia="Inter" w:hAnsi="Inter"/>
          <w:sz w:val="22"/>
          <w:szCs w:val="22"/>
          <w:rtl w:val="0"/>
        </w:rPr>
        <w:t xml:space="preserve">Due shall pass through to the Client, in whole or in part, the cost of AML checks at the following agreed pricing:</w:t>
      </w:r>
    </w:p>
    <w:p w:rsidR="00000000" w:rsidDel="00000000" w:rsidP="00000000" w:rsidRDefault="00000000" w:rsidRPr="00000000" w14:paraId="00000014">
      <w:pPr>
        <w:spacing w:line="276" w:lineRule="auto"/>
        <w:ind w:left="720" w:firstLine="0"/>
        <w:rPr>
          <w:rFonts w:ascii="Inter" w:cs="Inter" w:eastAsia="Inter" w:hAnsi="Inter"/>
          <w:b w:val="1"/>
          <w:bCs w:val="1"/>
          <w:sz w:val="22"/>
          <w:szCs w:val="22"/>
        </w:rPr>
      </w:pPr>
      <w:r w:rsidDel="00000000" w:rsidR="00000000" w:rsidRPr="00000000">
        <w:rPr>
          <w:rtl w:val="0"/>
        </w:rPr>
      </w:r>
    </w:p>
    <w:sdt>
      <w:sdtPr>
        <w:lock w:val="contentLocked"/>
        <w:id w:val="1844458152"/>
        <w:tag w:val="goog_rdk_0"/>
      </w:sdtPr>
      <w:sdtContent>
        <w:tbl>
          <w:tblPr>
            <w:tblStyle w:val="Table1"/>
            <w:tblW w:w="83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5"/>
            <w:gridCol w:w="2785"/>
            <w:gridCol w:w="2785"/>
            <w:tblGridChange w:id="0">
              <w:tblGrid>
                <w:gridCol w:w="2785"/>
                <w:gridCol w:w="2785"/>
                <w:gridCol w:w="2785"/>
              </w:tblGrid>
            </w:tblGridChange>
          </w:tblGrid>
          <w:tr>
            <w:trPr>
              <w:cantSplit w:val="0"/>
              <w:trHeight w:val="47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Fee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Inter" w:cs="Inter" w:eastAsia="Inter" w:hAnsi="Inter"/>
                    <w:b w:val="1"/>
                    <w:bCs w:val="1"/>
                    <w:sz w:val="22"/>
                    <w:szCs w:val="22"/>
                  </w:rPr>
                </w:pPr>
                <w:r w:rsidDel="00000000" w:rsidR="00000000" w:rsidRPr="00000000">
                  <w:rPr>
                    <w:rFonts w:ascii="Inter" w:cs="Inter" w:eastAsia="Inter" w:hAnsi="Inter"/>
                    <w:b w:val="1"/>
                    <w:bCs w:val="1"/>
                    <w:sz w:val="22"/>
                    <w:szCs w:val="22"/>
                    <w:rtl w:val="0"/>
                  </w:rPr>
                  <w:t xml:space="preserve">Payment Cycle</w:t>
                </w:r>
              </w:p>
            </w:tc>
          </w:tr>
          <w:tr>
            <w:trPr>
              <w:cantSplit w:val="0"/>
              <w:trHeight w:val="47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9">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Initial AML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B">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0.50 USD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Invoiced at the end of the month in which the end user is onboarded</w:t>
                </w:r>
              </w:p>
            </w:tc>
          </w:tr>
          <w:tr>
            <w:trPr>
              <w:cantSplit w:val="0"/>
              <w:trHeight w:val="47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E">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1F">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Annual AML Maintenance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21">
                <w:pPr>
                  <w:widowControl w:val="0"/>
                  <w:rPr>
                    <w:rFonts w:ascii="Inter" w:cs="Inter" w:eastAsia="Inter" w:hAnsi="Inter"/>
                    <w:sz w:val="22"/>
                    <w:szCs w:val="22"/>
                  </w:rPr>
                </w:pPr>
                <w:r w:rsidDel="00000000" w:rsidR="00000000" w:rsidRPr="00000000">
                  <w:rPr>
                    <w:rtl w:val="0"/>
                  </w:rPr>
                </w:r>
              </w:p>
              <w:p w:rsidR="00000000" w:rsidDel="00000000" w:rsidP="00000000" w:rsidRDefault="00000000" w:rsidRPr="00000000" w14:paraId="00000022">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0.50 USD /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Inter" w:cs="Inter" w:eastAsia="Inter" w:hAnsi="Inter"/>
                    <w:sz w:val="22"/>
                    <w:szCs w:val="22"/>
                  </w:rPr>
                </w:pPr>
                <w:r w:rsidDel="00000000" w:rsidR="00000000" w:rsidRPr="00000000">
                  <w:rPr>
                    <w:rFonts w:ascii="Inter" w:cs="Inter" w:eastAsia="Inter" w:hAnsi="Inter"/>
                    <w:sz w:val="22"/>
                    <w:szCs w:val="22"/>
                    <w:rtl w:val="0"/>
                  </w:rPr>
                  <w:t xml:space="preserve">Invoiced annually, starting 12 months after initial end user’s onboarding and every 12 months thereafter</w:t>
                </w:r>
              </w:p>
            </w:tc>
          </w:tr>
        </w:tbl>
      </w:sdtContent>
    </w:sdt>
    <w:p w:rsidR="00000000" w:rsidDel="00000000" w:rsidP="00000000" w:rsidRDefault="00000000" w:rsidRPr="00000000" w14:paraId="00000024">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25">
      <w:pPr>
        <w:numPr>
          <w:ilvl w:val="1"/>
          <w:numId w:val="1"/>
        </w:numPr>
        <w:spacing w:line="276" w:lineRule="auto"/>
        <w:ind w:left="1440" w:hanging="360"/>
        <w:jc w:val="both"/>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Invoicing.  </w:t>
      </w:r>
      <w:r w:rsidDel="00000000" w:rsidR="00000000" w:rsidRPr="00000000">
        <w:rPr>
          <w:rFonts w:ascii="Inter" w:cs="Inter" w:eastAsia="Inter" w:hAnsi="Inter"/>
          <w:sz w:val="22"/>
          <w:szCs w:val="22"/>
          <w:rtl w:val="0"/>
        </w:rPr>
        <w:t xml:space="preserve">Amounts arising from AML checks shall be invoiced on a monthly basis together with the other fees under the Agreement, and shall be itemised separately on the corresponding invoice.</w:t>
      </w:r>
    </w:p>
    <w:p w:rsidR="00000000" w:rsidDel="00000000" w:rsidP="00000000" w:rsidRDefault="00000000" w:rsidRPr="00000000" w14:paraId="00000026">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27">
      <w:pPr>
        <w:numPr>
          <w:ilvl w:val="0"/>
          <w:numId w:val="1"/>
        </w:numPr>
        <w:spacing w:after="0" w:before="0" w:line="276" w:lineRule="auto"/>
        <w:ind w:left="720" w:hanging="360"/>
        <w:jc w:val="both"/>
        <w:rPr>
          <w:rFonts w:ascii="Inter" w:cs="Inter" w:eastAsia="Inter" w:hAnsi="Inter"/>
          <w:b w:val="1"/>
          <w:bCs w:val="1"/>
          <w:sz w:val="22"/>
          <w:szCs w:val="22"/>
          <w:u w:val="none"/>
        </w:rPr>
      </w:pPr>
      <w:r w:rsidDel="00000000" w:rsidR="00000000" w:rsidRPr="00000000">
        <w:rPr>
          <w:rFonts w:ascii="Inter" w:cs="Inter" w:eastAsia="Inter" w:hAnsi="Inter"/>
          <w:b w:val="1"/>
          <w:bCs w:val="1"/>
          <w:sz w:val="22"/>
          <w:szCs w:val="22"/>
          <w:rtl w:val="0"/>
        </w:rPr>
        <w:t xml:space="preserve">Cooperation in Audits and Regulatory Requirements</w:t>
      </w:r>
      <w:r w:rsidDel="00000000" w:rsidR="00000000" w:rsidRPr="00000000">
        <w:rPr>
          <w:rtl w:val="0"/>
        </w:rPr>
      </w:r>
    </w:p>
    <w:p w:rsidR="00000000" w:rsidDel="00000000" w:rsidP="00000000" w:rsidRDefault="00000000" w:rsidRPr="00000000" w14:paraId="00000028">
      <w:pPr>
        <w:numPr>
          <w:ilvl w:val="1"/>
          <w:numId w:val="1"/>
        </w:numPr>
        <w:spacing w:after="0" w:before="0" w:line="276" w:lineRule="auto"/>
        <w:ind w:left="1440" w:hanging="360"/>
        <w:jc w:val="both"/>
        <w:rPr>
          <w:rFonts w:ascii="Inter" w:cs="Inter" w:eastAsia="Inter" w:hAnsi="Inter"/>
          <w:b w:val="1"/>
          <w:bCs w:val="1"/>
          <w:sz w:val="22"/>
          <w:szCs w:val="22"/>
          <w:u w:val="none"/>
        </w:rPr>
      </w:pPr>
      <w:r w:rsidDel="00000000" w:rsidR="00000000" w:rsidRPr="00000000">
        <w:rPr>
          <w:rFonts w:ascii="Inter" w:cs="Inter" w:eastAsia="Inter" w:hAnsi="Inter"/>
          <w:b w:val="1"/>
          <w:bCs w:val="1"/>
          <w:sz w:val="22"/>
          <w:szCs w:val="22"/>
          <w:rtl w:val="0"/>
        </w:rPr>
        <w:t xml:space="preserve">General duty of cooperation.  </w:t>
      </w:r>
      <w:r w:rsidDel="00000000" w:rsidR="00000000" w:rsidRPr="00000000">
        <w:rPr>
          <w:rFonts w:ascii="Inter" w:cs="Inter" w:eastAsia="Inter" w:hAnsi="Inter"/>
          <w:sz w:val="22"/>
          <w:szCs w:val="22"/>
          <w:rtl w:val="0"/>
        </w:rPr>
        <w:t xml:space="preserve">Fasset undertakes to actively cooperate and to provide Due, in a timely manner, with all information and documentation necessary for the proper operation of Due's internal control framework, including:</w:t>
      </w:r>
    </w:p>
    <w:p w:rsidR="00000000" w:rsidDel="00000000" w:rsidP="00000000" w:rsidRDefault="00000000" w:rsidRPr="00000000" w14:paraId="00000029">
      <w:pPr>
        <w:numPr>
          <w:ilvl w:val="2"/>
          <w:numId w:val="1"/>
        </w:numPr>
        <w:spacing w:after="0" w:before="0" w:line="276" w:lineRule="auto"/>
        <w:ind w:left="2160" w:hanging="360"/>
        <w:jc w:val="both"/>
        <w:rPr>
          <w:rFonts w:ascii="Inter" w:cs="Inter" w:eastAsia="Inter" w:hAnsi="Inter"/>
          <w:b w:val="1"/>
          <w:bCs w:val="1"/>
          <w:sz w:val="22"/>
          <w:szCs w:val="22"/>
          <w:u w:val="no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Internal audits conducted by Due's compliance team</w:t>
      </w:r>
      <w:r w:rsidDel="00000000" w:rsidR="00000000" w:rsidRPr="00000000">
        <w:rPr>
          <w:rtl w:val="0"/>
        </w:rPr>
      </w:r>
    </w:p>
    <w:p w:rsidR="00000000" w:rsidDel="00000000" w:rsidP="00000000" w:rsidRDefault="00000000" w:rsidRPr="00000000" w14:paraId="0000002A">
      <w:pPr>
        <w:numPr>
          <w:ilvl w:val="2"/>
          <w:numId w:val="1"/>
        </w:numPr>
        <w:spacing w:after="0" w:before="0" w:line="276" w:lineRule="auto"/>
        <w:ind w:left="2160" w:hanging="360"/>
        <w:jc w:val="both"/>
        <w:rPr>
          <w:rFonts w:ascii="Inter" w:cs="Inter" w:eastAsia="Inter" w:hAnsi="Inter"/>
          <w:b w:val="1"/>
          <w:bCs w:val="1"/>
          <w:sz w:val="22"/>
          <w:szCs w:val="22"/>
          <w:u w:val="no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External audits commissioned by Due to specialist third parties</w:t>
      </w:r>
      <w:r w:rsidDel="00000000" w:rsidR="00000000" w:rsidRPr="00000000">
        <w:rPr>
          <w:rtl w:val="0"/>
        </w:rPr>
      </w:r>
    </w:p>
    <w:p w:rsidR="00000000" w:rsidDel="00000000" w:rsidP="00000000" w:rsidRDefault="00000000" w:rsidRPr="00000000" w14:paraId="0000002B">
      <w:pPr>
        <w:numPr>
          <w:ilvl w:val="2"/>
          <w:numId w:val="1"/>
        </w:numPr>
        <w:spacing w:after="0" w:before="0" w:line="276" w:lineRule="auto"/>
        <w:ind w:left="2160" w:hanging="360"/>
        <w:jc w:val="both"/>
        <w:rPr>
          <w:rFonts w:ascii="Inter" w:cs="Inter" w:eastAsia="Inter" w:hAnsi="Inter"/>
          <w:b w:val="1"/>
          <w:bCs w:val="1"/>
          <w:sz w:val="22"/>
          <w:szCs w:val="22"/>
          <w:u w:val="no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Requests, inspections or information requests issued by competent authorities or supervisory bodies with jurisdiction over Due or the Programme, including without limitation the CNMV, SEPBLAC, the EBA, ESMA or any equivalent authority</w:t>
      </w:r>
      <w:r w:rsidDel="00000000" w:rsidR="00000000" w:rsidRPr="00000000">
        <w:rPr>
          <w:rtl w:val="0"/>
        </w:rPr>
      </w:r>
    </w:p>
    <w:p w:rsidR="00000000" w:rsidDel="00000000" w:rsidP="00000000" w:rsidRDefault="00000000" w:rsidRPr="00000000" w14:paraId="0000002C">
      <w:pPr>
        <w:numPr>
          <w:ilvl w:val="1"/>
          <w:numId w:val="1"/>
        </w:numPr>
        <w:spacing w:after="0" w:before="0" w:line="276" w:lineRule="auto"/>
        <w:ind w:left="1440" w:hanging="360"/>
        <w:jc w:val="both"/>
        <w:rPr>
          <w:rFonts w:ascii="Inter" w:cs="Inter" w:eastAsia="Inter" w:hAnsi="Inter"/>
          <w:b w:val="1"/>
          <w:bCs w:val="1"/>
          <w:sz w:val="22"/>
          <w:szCs w:val="22"/>
          <w:u w:val="none"/>
        </w:rPr>
      </w:pPr>
      <w:r w:rsidDel="00000000" w:rsidR="00000000" w:rsidRPr="00000000">
        <w:rPr>
          <w:rFonts w:ascii="Inter" w:cs="Inter" w:eastAsia="Inter" w:hAnsi="Inter"/>
          <w:b w:val="1"/>
          <w:bCs w:val="1"/>
          <w:sz w:val="22"/>
          <w:szCs w:val="22"/>
          <w:rtl w:val="0"/>
        </w:rPr>
        <w:t xml:space="preserve">Response deadline.  </w:t>
      </w:r>
      <w:r w:rsidDel="00000000" w:rsidR="00000000" w:rsidRPr="00000000">
        <w:rPr>
          <w:rFonts w:ascii="Inter" w:cs="Inter" w:eastAsia="Inter" w:hAnsi="Inter"/>
          <w:sz w:val="22"/>
          <w:szCs w:val="22"/>
          <w:rtl w:val="0"/>
        </w:rPr>
        <w:t xml:space="preserve">Unless Due or the relevant competent authority specifies a shorter timeframe, Fasset shall respond to information requests within a maximum of five (5) business days from receipt of the request.</w:t>
      </w:r>
    </w:p>
    <w:p w:rsidR="00000000" w:rsidDel="00000000" w:rsidP="00000000" w:rsidRDefault="00000000" w:rsidRPr="00000000" w14:paraId="0000002D">
      <w:pPr>
        <w:numPr>
          <w:ilvl w:val="1"/>
          <w:numId w:val="1"/>
        </w:numPr>
        <w:spacing w:after="0" w:before="0" w:line="276" w:lineRule="auto"/>
        <w:ind w:left="1440" w:hanging="360"/>
        <w:jc w:val="both"/>
        <w:rPr>
          <w:rFonts w:ascii="Inter" w:cs="Inter" w:eastAsia="Inter" w:hAnsi="Inter"/>
          <w:b w:val="1"/>
          <w:bCs w:val="1"/>
          <w:sz w:val="22"/>
          <w:szCs w:val="22"/>
          <w:u w:val="none"/>
        </w:rPr>
      </w:pPr>
      <w:r w:rsidDel="00000000" w:rsidR="00000000" w:rsidRPr="00000000">
        <w:rPr>
          <w:rFonts w:ascii="Inter" w:cs="Inter" w:eastAsia="Inter" w:hAnsi="Inter"/>
          <w:b w:val="1"/>
          <w:bCs w:val="1"/>
          <w:sz w:val="22"/>
          <w:szCs w:val="22"/>
          <w:rtl w:val="0"/>
        </w:rPr>
        <w:t xml:space="preserve">Confidentiality.  </w:t>
      </w:r>
      <w:r w:rsidDel="00000000" w:rsidR="00000000" w:rsidRPr="00000000">
        <w:rPr>
          <w:rFonts w:ascii="Inter" w:cs="Inter" w:eastAsia="Inter" w:hAnsi="Inter"/>
          <w:sz w:val="22"/>
          <w:szCs w:val="22"/>
          <w:rtl w:val="0"/>
        </w:rPr>
        <w:t xml:space="preserve">Information provided by Fasset under this clause shall be treated as Confidential Information in accordance with the Main Agreement and shall be used solely for the purposes set out in this Annex.</w:t>
      </w:r>
    </w:p>
    <w:p w:rsidR="00000000" w:rsidDel="00000000" w:rsidP="00000000" w:rsidRDefault="00000000" w:rsidRPr="00000000" w14:paraId="0000002E">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2F">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0">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1">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2">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3">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4">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5">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6">
      <w:pPr>
        <w:spacing w:line="276" w:lineRule="auto"/>
        <w:jc w:val="center"/>
        <w:rPr>
          <w:rFonts w:ascii="Inter" w:cs="Inter" w:eastAsia="Inter" w:hAnsi="Inter"/>
          <w:i w:val="1"/>
          <w:iCs w:val="1"/>
        </w:rPr>
      </w:pPr>
      <w:r w:rsidDel="00000000" w:rsidR="00000000" w:rsidRPr="00000000">
        <w:rPr>
          <w:rFonts w:ascii="Inter" w:cs="Inter" w:eastAsia="Inter" w:hAnsi="Inter"/>
          <w:i w:val="1"/>
          <w:iCs w:val="1"/>
          <w:rtl w:val="0"/>
        </w:rPr>
        <w:t xml:space="preserve">[Signature page follows]</w:t>
      </w:r>
    </w:p>
    <w:p w:rsidR="00000000" w:rsidDel="00000000" w:rsidP="00000000" w:rsidRDefault="00000000" w:rsidRPr="00000000" w14:paraId="00000037">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8">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9">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A">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B">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C">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D">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E">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3F">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0">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1">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2">
      <w:pPr>
        <w:spacing w:line="276" w:lineRule="auto"/>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IN WITNESS WHEREOF</w:t>
      </w:r>
      <w:r w:rsidDel="00000000" w:rsidR="00000000" w:rsidRPr="00000000">
        <w:rPr>
          <w:rFonts w:ascii="Inter" w:cs="Inter" w:eastAsia="Inter" w:hAnsi="Inter"/>
          <w:sz w:val="22"/>
          <w:szCs w:val="22"/>
          <w:rtl w:val="0"/>
        </w:rPr>
        <w:t xml:space="preserve">, authorised representatives of each Party have executed this Annex II, which forms an integral and inseparable part of the Platform Service Agreement dated 15 December 2025.</w:t>
      </w:r>
    </w:p>
    <w:p w:rsidR="00000000" w:rsidDel="00000000" w:rsidP="00000000" w:rsidRDefault="00000000" w:rsidRPr="00000000" w14:paraId="00000043">
      <w:pPr>
        <w:spacing w:line="276"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4">
      <w:pPr>
        <w:shd w:fill="ffffff" w:val="clear"/>
        <w:spacing w:line="276"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5">
      <w:pPr>
        <w:shd w:fill="ffffff" w:val="clear"/>
        <w:spacing w:line="276"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46">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47">
      <w:pPr>
        <w:shd w:fill="ffffff" w:val="clear"/>
        <w:spacing w:line="276" w:lineRule="auto"/>
        <w:rPr>
          <w:rFonts w:ascii="Inter" w:cs="Inter" w:eastAsia="Inter" w:hAnsi="Inter"/>
          <w:b w:val="1"/>
          <w:bCs w:val="1"/>
          <w:color w:val="222222"/>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49">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SIGNED </w:t>
      </w:r>
      <w:r w:rsidDel="00000000" w:rsidR="00000000" w:rsidRPr="00000000">
        <w:rPr>
          <w:rFonts w:ascii="Inter" w:cs="Inter" w:eastAsia="Inter" w:hAnsi="Inter"/>
          <w:color w:val="222222"/>
          <w:sz w:val="22"/>
          <w:szCs w:val="22"/>
          <w:rtl w:val="0"/>
        </w:rPr>
        <w:t xml:space="preserve">by the duly authorised signatory of the </w:t>
      </w:r>
      <w:r w:rsidDel="00000000" w:rsidR="00000000" w:rsidRPr="00000000">
        <w:rPr>
          <w:rFonts w:ascii="Inter" w:cs="Inter" w:eastAsia="Inter" w:hAnsi="Inter"/>
          <w:b w:val="1"/>
          <w:bCs w:val="1"/>
          <w:color w:val="222222"/>
          <w:sz w:val="22"/>
          <w:szCs w:val="22"/>
          <w:rtl w:val="0"/>
        </w:rPr>
        <w:t xml:space="preserve">COMPANY</w:t>
      </w:r>
      <w:r w:rsidDel="00000000" w:rsidR="00000000" w:rsidRPr="00000000">
        <w:rPr>
          <w:rFonts w:ascii="Inter" w:cs="Inter" w:eastAsia="Inter" w:hAnsi="Inter"/>
          <w:color w:val="222222"/>
          <w:sz w:val="22"/>
          <w:szCs w:val="22"/>
          <w:rtl w:val="0"/>
        </w:rPr>
        <w:t xml:space="preserve">:</w:t>
      </w:r>
    </w:p>
    <w:p w:rsidR="00000000" w:rsidDel="00000000" w:rsidP="00000000" w:rsidRDefault="00000000" w:rsidRPr="00000000" w14:paraId="0000004A">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4B">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4C">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4D">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Signature:</w:t>
      </w:r>
      <w:r w:rsidDel="00000000" w:rsidR="00000000" w:rsidRPr="00000000">
        <w:rPr>
          <w:rFonts w:ascii="Inter" w:cs="Inter" w:eastAsia="Inter" w:hAnsi="Inter"/>
          <w:color w:val="222222"/>
          <w:sz w:val="22"/>
          <w:szCs w:val="22"/>
          <w:rtl w:val="0"/>
        </w:rPr>
        <w:tab/>
        <w:t xml:space="preserve">___________________________________________</w:t>
      </w:r>
    </w:p>
    <w:p w:rsidR="00000000" w:rsidDel="00000000" w:rsidP="00000000" w:rsidRDefault="00000000" w:rsidRPr="00000000" w14:paraId="0000004E">
      <w:pPr>
        <w:shd w:fill="ffffff" w:val="clear"/>
        <w:spacing w:line="276" w:lineRule="auto"/>
        <w:rPr>
          <w:rFonts w:ascii="Inter" w:cs="Inter" w:eastAsia="Inter" w:hAnsi="Inter"/>
          <w:sz w:val="22"/>
          <w:szCs w:val="22"/>
        </w:rPr>
      </w:pPr>
      <w:r w:rsidDel="00000000" w:rsidR="00000000" w:rsidRPr="00000000">
        <w:rPr>
          <w:rFonts w:ascii="Inter" w:cs="Inter" w:eastAsia="Inter" w:hAnsi="Inter"/>
          <w:sz w:val="22"/>
          <w:szCs w:val="22"/>
          <w:rtl w:val="0"/>
        </w:rPr>
        <w:tab/>
      </w:r>
    </w:p>
    <w:p w:rsidR="00000000" w:rsidDel="00000000" w:rsidP="00000000" w:rsidRDefault="00000000" w:rsidRPr="00000000" w14:paraId="0000004F">
      <w:pPr>
        <w:shd w:fill="ffffff" w:val="clear"/>
        <w:spacing w:line="276" w:lineRule="auto"/>
        <w:rPr>
          <w:rFonts w:ascii="Inter" w:cs="Inter" w:eastAsia="Inter" w:hAnsi="Inter"/>
          <w:sz w:val="22"/>
          <w:szCs w:val="22"/>
        </w:rPr>
      </w:pPr>
      <w:r w:rsidDel="00000000" w:rsidR="00000000" w:rsidRPr="00000000">
        <w:rPr>
          <w:rFonts w:ascii="Inter" w:cs="Inter" w:eastAsia="Inter" w:hAnsi="Inter"/>
          <w:b w:val="1"/>
          <w:bCs w:val="1"/>
          <w:color w:val="222222"/>
          <w:sz w:val="22"/>
          <w:szCs w:val="22"/>
          <w:rtl w:val="0"/>
        </w:rPr>
        <w:t xml:space="preserve">Name:</w:t>
        <w:tab/>
      </w:r>
      <w:r w:rsidDel="00000000" w:rsidR="00000000" w:rsidRPr="00000000">
        <w:rPr>
          <w:rFonts w:ascii="Inter" w:cs="Inter" w:eastAsia="Inter" w:hAnsi="Inter"/>
          <w:color w:val="222222"/>
          <w:sz w:val="22"/>
          <w:szCs w:val="22"/>
          <w:rtl w:val="0"/>
        </w:rPr>
        <w:tab/>
        <w:t xml:space="preserve">Robert Sargsian</w:t>
      </w:r>
      <w:r w:rsidDel="00000000" w:rsidR="00000000" w:rsidRPr="00000000">
        <w:rPr>
          <w:rtl w:val="0"/>
        </w:rPr>
      </w:r>
    </w:p>
    <w:p w:rsidR="00000000" w:rsidDel="00000000" w:rsidP="00000000" w:rsidRDefault="00000000" w:rsidRPr="00000000" w14:paraId="00000050">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51">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Title:</w:t>
        <w:tab/>
      </w:r>
      <w:r w:rsidDel="00000000" w:rsidR="00000000" w:rsidRPr="00000000">
        <w:rPr>
          <w:rFonts w:ascii="Inter" w:cs="Inter" w:eastAsia="Inter" w:hAnsi="Inter"/>
          <w:color w:val="222222"/>
          <w:sz w:val="22"/>
          <w:szCs w:val="22"/>
          <w:rtl w:val="0"/>
        </w:rPr>
        <w:tab/>
        <w:t xml:space="preserve">Co-Founder &amp; CEO</w:t>
      </w:r>
    </w:p>
    <w:p w:rsidR="00000000" w:rsidDel="00000000" w:rsidP="00000000" w:rsidRDefault="00000000" w:rsidRPr="00000000" w14:paraId="00000052">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53">
      <w:pPr>
        <w:shd w:fill="ffffff" w:val="clear"/>
        <w:spacing w:line="276" w:lineRule="auto"/>
        <w:rPr>
          <w:rFonts w:ascii="Inter" w:cs="Inter" w:eastAsia="Inter" w:hAnsi="Inter"/>
          <w:sz w:val="22"/>
          <w:szCs w:val="22"/>
        </w:rPr>
      </w:pPr>
      <w:r w:rsidDel="00000000" w:rsidR="00000000" w:rsidRPr="00000000">
        <w:rPr>
          <w:rFonts w:ascii="Inter" w:cs="Inter" w:eastAsia="Inter" w:hAnsi="Inter"/>
          <w:b w:val="1"/>
          <w:bCs w:val="1"/>
          <w:color w:val="222222"/>
          <w:sz w:val="22"/>
          <w:szCs w:val="22"/>
          <w:rtl w:val="0"/>
        </w:rPr>
        <w:t xml:space="preserve">Date:</w:t>
        <w:tab/>
      </w:r>
      <w:r w:rsidDel="00000000" w:rsidR="00000000" w:rsidRPr="00000000">
        <w:rPr>
          <w:rFonts w:ascii="Inter" w:cs="Inter" w:eastAsia="Inter" w:hAnsi="Inter"/>
          <w:color w:val="222222"/>
          <w:sz w:val="22"/>
          <w:szCs w:val="22"/>
          <w:rtl w:val="0"/>
        </w:rPr>
        <w:tab/>
        <w:t xml:space="preserve">___________________________________________</w:t>
      </w:r>
      <w:r w:rsidDel="00000000" w:rsidR="00000000" w:rsidRPr="00000000">
        <w:rPr>
          <w:rtl w:val="0"/>
        </w:rPr>
      </w:r>
    </w:p>
    <w:p w:rsidR="00000000" w:rsidDel="00000000" w:rsidP="00000000" w:rsidRDefault="00000000" w:rsidRPr="00000000" w14:paraId="00000054">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55">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56">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57">
      <w:pPr>
        <w:shd w:fill="ffffff" w:val="clear"/>
        <w:spacing w:line="276" w:lineRule="auto"/>
        <w:rPr>
          <w:rFonts w:ascii="Inter" w:cs="Inter" w:eastAsia="Inter" w:hAnsi="Inter"/>
          <w:color w:val="222222"/>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hd w:fill="ffffff" w:val="clear"/>
        <w:spacing w:line="276" w:lineRule="auto"/>
        <w:rPr>
          <w:rFonts w:ascii="Inter" w:cs="Inter" w:eastAsia="Inter" w:hAnsi="Inter"/>
          <w:color w:val="222222"/>
          <w:sz w:val="22"/>
          <w:szCs w:val="22"/>
        </w:rPr>
      </w:pPr>
      <w:r w:rsidDel="00000000" w:rsidR="00000000" w:rsidRPr="00000000">
        <w:rPr>
          <w:rtl w:val="0"/>
        </w:rPr>
      </w:r>
    </w:p>
    <w:p w:rsidR="00000000" w:rsidDel="00000000" w:rsidP="00000000" w:rsidRDefault="00000000" w:rsidRPr="00000000" w14:paraId="00000059">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SIGNED </w:t>
      </w:r>
      <w:r w:rsidDel="00000000" w:rsidR="00000000" w:rsidRPr="00000000">
        <w:rPr>
          <w:rFonts w:ascii="Inter" w:cs="Inter" w:eastAsia="Inter" w:hAnsi="Inter"/>
          <w:color w:val="222222"/>
          <w:sz w:val="22"/>
          <w:szCs w:val="22"/>
          <w:rtl w:val="0"/>
        </w:rPr>
        <w:t xml:space="preserve">by the duly authorised signatory of the </w:t>
      </w:r>
      <w:r w:rsidDel="00000000" w:rsidR="00000000" w:rsidRPr="00000000">
        <w:rPr>
          <w:rFonts w:ascii="Inter" w:cs="Inter" w:eastAsia="Inter" w:hAnsi="Inter"/>
          <w:b w:val="1"/>
          <w:bCs w:val="1"/>
          <w:color w:val="222222"/>
          <w:sz w:val="22"/>
          <w:szCs w:val="22"/>
          <w:rtl w:val="0"/>
        </w:rPr>
        <w:t xml:space="preserve">CLIENT</w:t>
      </w:r>
      <w:r w:rsidDel="00000000" w:rsidR="00000000" w:rsidRPr="00000000">
        <w:rPr>
          <w:rFonts w:ascii="Inter" w:cs="Inter" w:eastAsia="Inter" w:hAnsi="Inter"/>
          <w:color w:val="222222"/>
          <w:sz w:val="22"/>
          <w:szCs w:val="22"/>
          <w:rtl w:val="0"/>
        </w:rPr>
        <w:t xml:space="preserve">:</w:t>
      </w:r>
    </w:p>
    <w:p w:rsidR="00000000" w:rsidDel="00000000" w:rsidP="00000000" w:rsidRDefault="00000000" w:rsidRPr="00000000" w14:paraId="0000005A">
      <w:pPr>
        <w:shd w:fill="ffffff" w:val="clear"/>
        <w:spacing w:line="276" w:lineRule="auto"/>
        <w:rPr>
          <w:rFonts w:ascii="Inter" w:cs="Inter" w:eastAsia="Inter" w:hAnsi="Inter"/>
          <w:sz w:val="22"/>
          <w:szCs w:val="22"/>
        </w:rPr>
      </w:pPr>
      <w:r w:rsidDel="00000000" w:rsidR="00000000" w:rsidRPr="00000000">
        <w:rPr>
          <w:rtl w:val="0"/>
        </w:rPr>
      </w:r>
    </w:p>
    <w:p w:rsidR="00000000" w:rsidDel="00000000" w:rsidP="00000000" w:rsidRDefault="00000000" w:rsidRPr="00000000" w14:paraId="0000005B">
      <w:pPr>
        <w:shd w:fill="ffffff" w:val="clear"/>
        <w:spacing w:line="276" w:lineRule="auto"/>
        <w:rPr>
          <w:rFonts w:ascii="Inter" w:cs="Inter" w:eastAsia="Inter" w:hAnsi="Inter"/>
          <w:sz w:val="22"/>
          <w:szCs w:val="22"/>
        </w:rPr>
      </w:pPr>
      <w:r w:rsidDel="00000000" w:rsidR="00000000" w:rsidRPr="00000000">
        <w:rPr>
          <w:rFonts w:ascii="Inter" w:cs="Inter" w:eastAsia="Inter" w:hAnsi="Inter"/>
          <w:sz w:val="22"/>
          <w:szCs w:val="22"/>
          <w:rtl w:val="0"/>
        </w:rPr>
        <w:tab/>
        <w:tab/>
      </w:r>
    </w:p>
    <w:p w:rsidR="00000000" w:rsidDel="00000000" w:rsidP="00000000" w:rsidRDefault="00000000" w:rsidRPr="00000000" w14:paraId="0000005C">
      <w:pPr>
        <w:shd w:fill="ffffff" w:val="clear"/>
        <w:spacing w:line="276" w:lineRule="auto"/>
        <w:rPr>
          <w:rFonts w:ascii="Inter" w:cs="Inter" w:eastAsia="Inter" w:hAnsi="Inter"/>
          <w:sz w:val="22"/>
          <w:szCs w:val="22"/>
        </w:rPr>
      </w:pPr>
      <w:r w:rsidDel="00000000" w:rsidR="00000000" w:rsidRPr="00000000">
        <w:rPr>
          <w:rFonts w:ascii="Inter" w:cs="Inter" w:eastAsia="Inter" w:hAnsi="Inter"/>
          <w:sz w:val="22"/>
          <w:szCs w:val="22"/>
          <w:rtl w:val="0"/>
        </w:rPr>
        <w:tab/>
        <w:tab/>
        <w:tab/>
      </w:r>
    </w:p>
    <w:p w:rsidR="00000000" w:rsidDel="00000000" w:rsidP="00000000" w:rsidRDefault="00000000" w:rsidRPr="00000000" w14:paraId="0000005D">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Signature:</w:t>
      </w:r>
      <w:r w:rsidDel="00000000" w:rsidR="00000000" w:rsidRPr="00000000">
        <w:rPr>
          <w:rFonts w:ascii="Inter" w:cs="Inter" w:eastAsia="Inter" w:hAnsi="Inter"/>
          <w:color w:val="222222"/>
          <w:sz w:val="22"/>
          <w:szCs w:val="22"/>
          <w:rtl w:val="0"/>
        </w:rPr>
        <w:tab/>
        <w:t xml:space="preserve">___________________________________________</w:t>
      </w:r>
    </w:p>
    <w:p w:rsidR="00000000" w:rsidDel="00000000" w:rsidP="00000000" w:rsidRDefault="00000000" w:rsidRPr="00000000" w14:paraId="0000005E">
      <w:pPr>
        <w:shd w:fill="ffffff" w:val="clear"/>
        <w:spacing w:line="276" w:lineRule="auto"/>
        <w:rPr>
          <w:rFonts w:ascii="Inter" w:cs="Inter" w:eastAsia="Inter" w:hAnsi="Inter"/>
          <w:sz w:val="22"/>
          <w:szCs w:val="22"/>
        </w:rPr>
      </w:pPr>
      <w:r w:rsidDel="00000000" w:rsidR="00000000" w:rsidRPr="00000000">
        <w:rPr>
          <w:rFonts w:ascii="Inter" w:cs="Inter" w:eastAsia="Inter" w:hAnsi="Inter"/>
          <w:sz w:val="22"/>
          <w:szCs w:val="22"/>
          <w:rtl w:val="0"/>
        </w:rPr>
        <w:tab/>
      </w:r>
    </w:p>
    <w:p w:rsidR="00000000" w:rsidDel="00000000" w:rsidP="00000000" w:rsidRDefault="00000000" w:rsidRPr="00000000" w14:paraId="0000005F">
      <w:pPr>
        <w:shd w:fill="ffffff" w:val="clear"/>
        <w:spacing w:line="276" w:lineRule="auto"/>
        <w:rPr>
          <w:rFonts w:ascii="Inter" w:cs="Inter" w:eastAsia="Inter" w:hAnsi="Inter"/>
          <w:sz w:val="22"/>
          <w:szCs w:val="22"/>
        </w:rPr>
      </w:pPr>
      <w:r w:rsidDel="00000000" w:rsidR="00000000" w:rsidRPr="00000000">
        <w:rPr>
          <w:rFonts w:ascii="Inter" w:cs="Inter" w:eastAsia="Inter" w:hAnsi="Inter"/>
          <w:b w:val="1"/>
          <w:bCs w:val="1"/>
          <w:color w:val="222222"/>
          <w:sz w:val="22"/>
          <w:szCs w:val="22"/>
          <w:rtl w:val="0"/>
        </w:rPr>
        <w:t xml:space="preserve">Name:</w:t>
        <w:tab/>
      </w:r>
      <w:r w:rsidDel="00000000" w:rsidR="00000000" w:rsidRPr="00000000">
        <w:rPr>
          <w:rFonts w:ascii="Inter" w:cs="Inter" w:eastAsia="Inter" w:hAnsi="Inter"/>
          <w:color w:val="222222"/>
          <w:sz w:val="22"/>
          <w:szCs w:val="22"/>
          <w:rtl w:val="0"/>
        </w:rPr>
        <w:tab/>
        <w:t xml:space="preserve">Daniel Ahmed</w:t>
      </w:r>
      <w:r w:rsidDel="00000000" w:rsidR="00000000" w:rsidRPr="00000000">
        <w:rPr>
          <w:rtl w:val="0"/>
        </w:rPr>
      </w:r>
    </w:p>
    <w:p w:rsidR="00000000" w:rsidDel="00000000" w:rsidP="00000000" w:rsidRDefault="00000000" w:rsidRPr="00000000" w14:paraId="00000060">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61">
      <w:pPr>
        <w:shd w:fill="ffffff" w:val="clear"/>
        <w:spacing w:line="276" w:lineRule="auto"/>
        <w:rPr>
          <w:rFonts w:ascii="Inter" w:cs="Inter" w:eastAsia="Inter" w:hAnsi="Inter"/>
          <w:color w:val="222222"/>
          <w:sz w:val="22"/>
          <w:szCs w:val="22"/>
        </w:rPr>
      </w:pPr>
      <w:r w:rsidDel="00000000" w:rsidR="00000000" w:rsidRPr="00000000">
        <w:rPr>
          <w:rFonts w:ascii="Inter" w:cs="Inter" w:eastAsia="Inter" w:hAnsi="Inter"/>
          <w:b w:val="1"/>
          <w:bCs w:val="1"/>
          <w:color w:val="222222"/>
          <w:sz w:val="22"/>
          <w:szCs w:val="22"/>
          <w:rtl w:val="0"/>
        </w:rPr>
        <w:t xml:space="preserve">Title:</w:t>
        <w:tab/>
      </w:r>
      <w:r w:rsidDel="00000000" w:rsidR="00000000" w:rsidRPr="00000000">
        <w:rPr>
          <w:rFonts w:ascii="Inter" w:cs="Inter" w:eastAsia="Inter" w:hAnsi="Inter"/>
          <w:color w:val="222222"/>
          <w:sz w:val="22"/>
          <w:szCs w:val="22"/>
          <w:rtl w:val="0"/>
        </w:rPr>
        <w:tab/>
        <w:t xml:space="preserve">Co-Founder &amp; COO</w:t>
      </w:r>
    </w:p>
    <w:p w:rsidR="00000000" w:rsidDel="00000000" w:rsidP="00000000" w:rsidRDefault="00000000" w:rsidRPr="00000000" w14:paraId="00000062">
      <w:pPr>
        <w:shd w:fill="ffffff" w:val="clear"/>
        <w:spacing w:line="276" w:lineRule="auto"/>
        <w:rPr>
          <w:rFonts w:ascii="Inter" w:cs="Inter" w:eastAsia="Inter" w:hAnsi="Inter"/>
          <w:b w:val="1"/>
          <w:bCs w:val="1"/>
          <w:color w:val="222222"/>
          <w:sz w:val="22"/>
          <w:szCs w:val="22"/>
        </w:rPr>
      </w:pPr>
      <w:r w:rsidDel="00000000" w:rsidR="00000000" w:rsidRPr="00000000">
        <w:rPr>
          <w:rtl w:val="0"/>
        </w:rPr>
      </w:r>
    </w:p>
    <w:p w:rsidR="00000000" w:rsidDel="00000000" w:rsidP="00000000" w:rsidRDefault="00000000" w:rsidRPr="00000000" w14:paraId="00000063">
      <w:pPr>
        <w:shd w:fill="ffffff" w:val="clear"/>
        <w:spacing w:line="276" w:lineRule="auto"/>
        <w:rPr>
          <w:rFonts w:ascii="Inter" w:cs="Inter" w:eastAsia="Inter" w:hAnsi="Inter"/>
          <w:sz w:val="22"/>
          <w:szCs w:val="22"/>
        </w:rPr>
      </w:pPr>
      <w:r w:rsidDel="00000000" w:rsidR="00000000" w:rsidRPr="00000000">
        <w:rPr>
          <w:rFonts w:ascii="Inter" w:cs="Inter" w:eastAsia="Inter" w:hAnsi="Inter"/>
          <w:b w:val="1"/>
          <w:bCs w:val="1"/>
          <w:color w:val="222222"/>
          <w:sz w:val="22"/>
          <w:szCs w:val="22"/>
          <w:rtl w:val="0"/>
        </w:rPr>
        <w:t xml:space="preserve">Date:</w:t>
        <w:tab/>
      </w:r>
      <w:r w:rsidDel="00000000" w:rsidR="00000000" w:rsidRPr="00000000">
        <w:rPr>
          <w:rFonts w:ascii="Inter" w:cs="Inter" w:eastAsia="Inter" w:hAnsi="Inter"/>
          <w:color w:val="222222"/>
          <w:sz w:val="22"/>
          <w:szCs w:val="22"/>
          <w:rtl w:val="0"/>
        </w:rPr>
        <w:tab/>
        <w:t xml:space="preserve">___________________________________________</w:t>
      </w:r>
      <w:r w:rsidDel="00000000" w:rsidR="00000000" w:rsidRPr="00000000">
        <w:rPr>
          <w:rtl w:val="0"/>
        </w:rPr>
      </w:r>
    </w:p>
    <w:p w:rsidR="00000000" w:rsidDel="00000000" w:rsidP="00000000" w:rsidRDefault="00000000" w:rsidRPr="00000000" w14:paraId="00000064">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5">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6">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7">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8">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9">
      <w:pPr>
        <w:spacing w:after="0" w:before="0" w:line="276" w:lineRule="auto"/>
        <w:jc w:val="both"/>
        <w:rPr>
          <w:rFonts w:ascii="Inter" w:cs="Inter" w:eastAsia="Inter" w:hAnsi="Inter"/>
          <w:sz w:val="22"/>
          <w:szCs w:val="22"/>
        </w:rPr>
      </w:pPr>
      <w:r w:rsidDel="00000000" w:rsidR="00000000" w:rsidRPr="00000000">
        <w:rPr>
          <w:rtl w:val="0"/>
        </w:rPr>
      </w:r>
    </w:p>
    <w:p w:rsidR="00000000" w:rsidDel="00000000" w:rsidP="00000000" w:rsidRDefault="00000000" w:rsidRPr="00000000" w14:paraId="0000006A">
      <w:pPr>
        <w:spacing w:after="0" w:before="0" w:line="276" w:lineRule="auto"/>
        <w:jc w:val="both"/>
        <w:rPr>
          <w:rFonts w:ascii="Inter" w:cs="Inter" w:eastAsia="Inter" w:hAnsi="Inter"/>
          <w:sz w:val="22"/>
          <w:szCs w:val="22"/>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276"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Due – Compliance and Operational Conditions</w:t>
      <w:tab/>
      <w:tab/>
      <w:tab/>
      <w:t xml:space="preserve">                                          </w:t>
      <w:tab/>
      <w:t xml:space="preserve"> </w:t>
      <w:tab/>
      <w:t xml:space="preserve">   </w:t>
    </w:r>
    <w:r w:rsidDel="00000000" w:rsidR="00000000" w:rsidRPr="00000000">
      <w:rPr>
        <w:rFonts w:ascii="Inter" w:cs="Inter" w:eastAsia="Inter" w:hAnsi="Inter"/>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jc w:val="center"/>
      <w:rPr>
        <w:color w:val="888888"/>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
      <w:lvlJc w:val="left"/>
      <w:pPr>
        <w:ind w:left="2880" w:hanging="360"/>
      </w:pPr>
      <w:rPr>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ue.readme.io/docs/individual-kyc-requirements-diagra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Hy/New4bE+SBehwef5Gn9NQcgA==">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