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A1A2E"/>
          <w:sz w:val="48"/>
        </w:rPr>
        <w:t>THE STATE OF ARTIFICIAL INTELLIGENCE IN EUROPE</w:t>
      </w:r>
    </w:p>
    <w:p>
      <w:pPr>
        <w:jc w:val="center"/>
      </w:pPr>
      <w:r>
        <w:rPr>
          <w:b/>
          <w:color w:val="0D47A1"/>
          <w:sz w:val="36"/>
        </w:rPr>
        <w:t>A 2026 Report</w:t>
      </w:r>
    </w:p>
    <w:p/>
    <w:p/>
    <w:p>
      <w:pPr>
        <w:jc w:val="center"/>
      </w:pPr>
      <w:r>
        <w:rPr>
          <w:i/>
          <w:color w:val="666666"/>
          <w:sz w:val="26"/>
        </w:rPr>
        <w:t>Main Actors, Legal Framework, Challenges, and Future Prospects</w:t>
      </w:r>
    </w:p>
    <w:p/>
    <w:p/>
    <w:p>
      <w:pPr>
        <w:jc w:val="center"/>
      </w:pPr>
      <w:r>
        <w:rPr>
          <w:color w:val="666666"/>
          <w:sz w:val="22"/>
        </w:rPr>
        <w:t>Compiled: April 28, 2026</w:t>
      </w:r>
    </w:p>
    <w:p>
      <w:pPr>
        <w:jc w:val="center"/>
      </w:pPr>
      <w:r>
        <w:rPr>
          <w:color w:val="666666"/>
          <w:sz w:val="22"/>
        </w:rPr>
        <w:t>Deep Research Report</w:t>
      </w:r>
    </w:p>
    <w:p>
      <w:r>
        <w:br w:type="page"/>
      </w:r>
    </w:p>
    <w:p>
      <w:pPr>
        <w:pStyle w:val="Heading1"/>
      </w:pPr>
      <w:r>
        <w:t>Table of Contents</w:t>
      </w:r>
    </w:p>
    <w:p>
      <w:pPr>
        <w:spacing w:after="40"/>
      </w:pPr>
      <w:r>
        <w:rPr>
          <w:b/>
          <w:sz w:val="24"/>
        </w:rPr>
        <w:t>Executive Summary</w:t>
      </w:r>
    </w:p>
    <w:p>
      <w:pPr>
        <w:spacing w:after="40"/>
      </w:pPr>
      <w:r>
        <w:rPr>
          <w:b/>
          <w:sz w:val="22"/>
        </w:rPr>
        <w:t>1. The European AI Landscape: Current State</w:t>
      </w:r>
    </w:p>
    <w:p>
      <w:pPr>
        <w:spacing w:after="40"/>
        <w:ind w:left="850"/>
      </w:pPr>
      <w:r>
        <w:rPr>
          <w:sz w:val="20"/>
        </w:rPr>
        <w:t xml:space="preserve">   1.1 Market Size and Growth Trajectory</w:t>
      </w:r>
    </w:p>
    <w:p>
      <w:pPr>
        <w:spacing w:after="40"/>
        <w:ind w:left="850"/>
      </w:pPr>
      <w:r>
        <w:rPr>
          <w:sz w:val="20"/>
        </w:rPr>
        <w:t xml:space="preserve">   1.2 Key European AI Actors</w:t>
      </w:r>
    </w:p>
    <w:p>
      <w:pPr>
        <w:spacing w:after="40"/>
        <w:ind w:left="850"/>
      </w:pPr>
      <w:r>
        <w:rPr>
          <w:sz w:val="20"/>
        </w:rPr>
        <w:t xml:space="preserve">   1.3 Geographic Distribution</w:t>
      </w:r>
    </w:p>
    <w:p>
      <w:pPr>
        <w:spacing w:after="40"/>
      </w:pPr>
      <w:r>
        <w:rPr>
          <w:b/>
          <w:sz w:val="22"/>
        </w:rPr>
        <w:t>2. The Legal Framework: The EU AI Act and Beyond</w:t>
      </w:r>
    </w:p>
    <w:p>
      <w:pPr>
        <w:spacing w:after="40"/>
        <w:ind w:left="850"/>
      </w:pPr>
      <w:r>
        <w:rPr>
          <w:sz w:val="20"/>
        </w:rPr>
        <w:t xml:space="preserve">   2.1 The EU AI Act: World's First Comprehensive AI Regulation</w:t>
      </w:r>
    </w:p>
    <w:p>
      <w:pPr>
        <w:spacing w:after="40"/>
        <w:ind w:left="850"/>
      </w:pPr>
      <w:r>
        <w:rPr>
          <w:sz w:val="20"/>
        </w:rPr>
        <w:t xml:space="preserve">   2.2 Implementation Timeline</w:t>
      </w:r>
    </w:p>
    <w:p>
      <w:pPr>
        <w:spacing w:after="40"/>
        <w:ind w:left="850"/>
      </w:pPr>
      <w:r>
        <w:rPr>
          <w:sz w:val="20"/>
        </w:rPr>
        <w:t xml:space="preserve">   2.3 The General-Purpose AI (GPAI) Code of Practice</w:t>
      </w:r>
    </w:p>
    <w:p>
      <w:pPr>
        <w:spacing w:after="40"/>
        <w:ind w:left="850"/>
      </w:pPr>
      <w:r>
        <w:rPr>
          <w:sz w:val="20"/>
        </w:rPr>
        <w:t xml:space="preserve">   2.4 The European AI Office</w:t>
      </w:r>
    </w:p>
    <w:p>
      <w:pPr>
        <w:spacing w:after="40"/>
        <w:ind w:left="850"/>
      </w:pPr>
      <w:r>
        <w:rPr>
          <w:sz w:val="20"/>
        </w:rPr>
        <w:t xml:space="preserve">   2.5 The AI Pact</w:t>
      </w:r>
    </w:p>
    <w:p>
      <w:pPr>
        <w:spacing w:after="40"/>
        <w:ind w:left="850"/>
      </w:pPr>
      <w:r>
        <w:rPr>
          <w:sz w:val="20"/>
        </w:rPr>
        <w:t xml:space="preserve">   2.6 National Strategies</w:t>
      </w:r>
    </w:p>
    <w:p>
      <w:pPr>
        <w:spacing w:after="40"/>
      </w:pPr>
      <w:r>
        <w:rPr>
          <w:b/>
          <w:sz w:val="22"/>
        </w:rPr>
        <w:t>3. Investment and Funding Ecosystem</w:t>
      </w:r>
    </w:p>
    <w:p>
      <w:pPr>
        <w:spacing w:after="40"/>
        <w:ind w:left="850"/>
      </w:pPr>
      <w:r>
        <w:rPr>
          <w:sz w:val="20"/>
        </w:rPr>
        <w:t xml:space="preserve">   3.1 The InvestAI Initiative</w:t>
      </w:r>
    </w:p>
    <w:p>
      <w:pPr>
        <w:spacing w:after="40"/>
        <w:ind w:left="850"/>
      </w:pPr>
      <w:r>
        <w:rPr>
          <w:sz w:val="20"/>
        </w:rPr>
        <w:t xml:space="preserve">   3.2 Private Investment Landscape</w:t>
      </w:r>
    </w:p>
    <w:p>
      <w:pPr>
        <w:spacing w:after="40"/>
        <w:ind w:left="850"/>
      </w:pPr>
      <w:r>
        <w:rPr>
          <w:sz w:val="20"/>
        </w:rPr>
        <w:t xml:space="preserve">   3.3 Public Research Funding</w:t>
      </w:r>
    </w:p>
    <w:p>
      <w:pPr>
        <w:spacing w:after="40"/>
      </w:pPr>
      <w:r>
        <w:rPr>
          <w:b/>
          <w:sz w:val="22"/>
        </w:rPr>
        <w:t>4. Challenges and Structural Weaknesses</w:t>
      </w:r>
    </w:p>
    <w:p>
      <w:pPr>
        <w:spacing w:after="40"/>
        <w:ind w:left="850"/>
      </w:pPr>
      <w:r>
        <w:rPr>
          <w:sz w:val="20"/>
        </w:rPr>
        <w:t xml:space="preserve">   4.1 The Compute Infrastructure Gap</w:t>
      </w:r>
    </w:p>
    <w:p>
      <w:pPr>
        <w:spacing w:after="40"/>
        <w:ind w:left="850"/>
      </w:pPr>
      <w:r>
        <w:rPr>
          <w:sz w:val="20"/>
        </w:rPr>
        <w:t xml:space="preserve">   4.2 The Talent Problem: Brain Drain and Shortage</w:t>
      </w:r>
    </w:p>
    <w:p>
      <w:pPr>
        <w:spacing w:after="40"/>
        <w:ind w:left="850"/>
      </w:pPr>
      <w:r>
        <w:rPr>
          <w:sz w:val="20"/>
        </w:rPr>
        <w:t xml:space="preserve">   4.3 The Regulatory Burden on Startups</w:t>
      </w:r>
    </w:p>
    <w:p>
      <w:pPr>
        <w:spacing w:after="40"/>
        <w:ind w:left="850"/>
      </w:pPr>
      <w:r>
        <w:rPr>
          <w:sz w:val="20"/>
        </w:rPr>
        <w:t xml:space="preserve">   4.4 The Commercialization Gap</w:t>
      </w:r>
    </w:p>
    <w:p>
      <w:pPr>
        <w:spacing w:after="40"/>
        <w:ind w:left="850"/>
      </w:pPr>
      <w:r>
        <w:rPr>
          <w:sz w:val="20"/>
        </w:rPr>
        <w:t xml:space="preserve">   4.5 The Sovereignty Dilemma</w:t>
      </w:r>
    </w:p>
    <w:p>
      <w:pPr>
        <w:spacing w:after="40"/>
      </w:pPr>
      <w:r>
        <w:rPr>
          <w:b/>
          <w:sz w:val="22"/>
        </w:rPr>
        <w:t>5. Future Prospects and Strategic Outlook</w:t>
      </w:r>
    </w:p>
    <w:p>
      <w:pPr>
        <w:spacing w:after="40"/>
        <w:ind w:left="850"/>
      </w:pPr>
      <w:r>
        <w:rPr>
          <w:sz w:val="20"/>
        </w:rPr>
        <w:t xml:space="preserve">   5.1 Scenario Analysis</w:t>
      </w:r>
    </w:p>
    <w:p>
      <w:pPr>
        <w:spacing w:after="40"/>
        <w:ind w:left="850"/>
      </w:pPr>
      <w:r>
        <w:rPr>
          <w:sz w:val="20"/>
        </w:rPr>
        <w:t xml:space="preserve">   5.2 Key Determinants for the Next 24 Months</w:t>
      </w:r>
    </w:p>
    <w:p>
      <w:pPr>
        <w:spacing w:after="40"/>
        <w:ind w:left="850"/>
      </w:pPr>
      <w:r>
        <w:rPr>
          <w:sz w:val="20"/>
        </w:rPr>
        <w:t xml:space="preserve">   5.3 Strategic Recommendations</w:t>
      </w:r>
    </w:p>
    <w:p>
      <w:pPr>
        <w:spacing w:after="40"/>
      </w:pPr>
      <w:r>
        <w:rPr>
          <w:b/>
          <w:sz w:val="22"/>
        </w:rPr>
        <w:t>6. Conclusion</w:t>
      </w:r>
    </w:p>
    <w:p>
      <w:pPr>
        <w:spacing w:after="40"/>
      </w:pPr>
      <w:r>
        <w:rPr>
          <w:b/>
          <w:sz w:val="22"/>
        </w:rPr>
        <w:t>References</w:t>
      </w:r>
    </w:p>
    <w:p>
      <w:r>
        <w:br w:type="page"/>
      </w:r>
    </w:p>
    <w:p>
      <w:pPr>
        <w:pStyle w:val="Heading1"/>
      </w:pPr>
      <w:r>
        <w:t>The State of Artificial Intelligence in Europe: A 2026 Report</w:t>
      </w:r>
    </w:p>
    <w:p>
      <w:r/>
      <w:r>
        <w:t>Main Actors, Legal Framework, Challenges, and Future Prospects</w:t>
      </w:r>
    </w:p>
    <w:p>
      <w:r>
        <w:br w:type="page"/>
      </w:r>
    </w:p>
    <w:p>
      <w:pPr>
        <w:pStyle w:val="Heading2"/>
      </w:pPr>
      <w:r>
        <w:t>Executive Summary</w:t>
      </w:r>
    </w:p>
    <w:p>
      <w:r/>
      <w:r>
        <w:t>Europe stands at a critical juncture in the global AI race. While the continent has achieved remarkable success in regulatory leadership—most notably through the EU AI Act, the world's first comprehensive AI law—it faces a widening gap with the United States and China in terms of compute infrastructure, frontier model development, and the commercialization of AI research. European AI investment surged 58% year-on-year in 2025, reaching approximately €11 billion, yet this remains dwarfed by American private investment of nearly $70 billion in the same sector. The continent's strategy now hinges on three pillars: regulatory export (making the AI Act the global standard), sovereign infrastructure (the InvestAI initiative with €200 billion in mobilized capital), and the cultivation of flagship companies like Mistral AI. The coming 12-24 months will determine whether Europe becomes a "regulatory superpower" with limited technological agency, or successfully builds the infrastructure and companies necessary for genuine AI sovereignty.</w:t>
      </w:r>
    </w:p>
    <w:p>
      <w:r>
        <w:br w:type="page"/>
      </w:r>
    </w:p>
    <w:p>
      <w:pPr>
        <w:pStyle w:val="Heading2"/>
      </w:pPr>
      <w:r>
        <w:t>1. The European AI Landscape: Current State</w:t>
      </w:r>
    </w:p>
    <w:p>
      <w:pPr>
        <w:pStyle w:val="Heading3"/>
      </w:pPr>
      <w:r>
        <w:t>1.1 Market Size and Growth Trajectory</w:t>
      </w:r>
    </w:p>
    <w:p>
      <w:r/>
      <w:r>
        <w:t>The European AI market is entering a high-growth phase. According to MarketsandMarkets, the European AI market is projected to grow from USD 86.24 billion in 2025 to USD 548.03 billion by 2032, representing a compound annual growth rate (CAGR) of 30.2%. Machine learning is expected to account for the largest market share, driven by rapid enterprise adoption across operations, supply chain, and manufacturing. [T2]</w:t>
      </w:r>
    </w:p>
    <w:p>
      <w:r/>
      <w:r>
        <w:t>European AI startups raised approximately €13.2 billion cumulatively between 2021 and 2025, with France, Germany, and the UK emerging as the primary development hubs. In 2025 alone, European AI investment reached roughly €11 billion, up 58% from 2024, according to Sifted data tracking 106 active AI investors. [T4]</w:t>
      </w:r>
    </w:p>
    <w:p>
      <w:r/>
      <w:r>
        <w:t>However, the scale of this growth must be contextualized. Between 2020 and 2025, the US dedicated 34% of its €1.33 trillion in venture capital funding to AI, while Europe allocated just 18% of €252 billion. Private AI investment in the US reached nearly $70 billion in 2023, vastly outpacing European levels. [T4]</w:t>
      </w:r>
    </w:p>
    <w:p>
      <w:pPr>
        <w:pStyle w:val="Heading3"/>
      </w:pPr>
      <w:r>
        <w:t>1.2 Key European AI Actors</w:t>
      </w:r>
    </w:p>
    <w:p>
      <w:r/>
      <w:r>
        <w:t>Mistral AI (France) — The undisputed flagship of European AI. Founded in 2023 by Arthur Mensch, Timothée Lacroix, and Guillaume Lample, Mistral has raised over $3 billion across multiple rounds, achieving a valuation of approximately $13.7 billion. Its September 2025 Series C round of €1.7 billion was one of the largest ever for a European startup. Mistral's strategy centers on open-weight frontier models, providing European enterprises with a sovereign alternative to US proprietary models. The company launched Mistral Forge (a platform for custom model training) and is investing €1.2 billion in a European data center in Sweden. [T4]</w:t>
      </w:r>
    </w:p>
    <w:p>
      <w:r/>
      <w:r>
        <w:t>DeepL (Netherlands) — Originally a translation technology company, DeepL has expanded into the broader AI agent space, launching AI-powered productivity tools in 2025. Its strength lies in multilingual natural language processing, a domain where European language diversity provides a natural advantage. [T4]</w:t>
      </w:r>
    </w:p>
    <w:p>
      <w:r/>
      <w:r>
        <w:t>Black Forest Labs (Germany) — A spin-out from Stability AI, Black Forest Labs developed the FLUX image generation models, positioning itself as a European alternative in the generative AI space. The company has attracted significant enterprise interest for its open-weight image models. [T4]</w:t>
      </w:r>
    </w:p>
    <w:p>
      <w:r/>
      <w:r>
        <w:t>Aleph Alpha (Germany) — Focused on sovereign AI stacks for European enterprises, particularly in the public sector and defense. Aleph Alpha emphasizes GDPR compliance, European data storage, and regional data sovereignty. [T4]</w:t>
      </w:r>
    </w:p>
    <w:p>
      <w:r/>
      <w:r>
        <w:t>LightOn (France) — Specializing in frugal, energy-efficient AI, LightOn develops "Small Foundation Models" designed to operate with significantly less compute than traditional large models. This aligns with Europe's emphasis on sustainable, responsible AI. [T4]</w:t>
      </w:r>
    </w:p>
    <w:p>
      <w:r/>
      <w:r>
        <w:t>Hugging Face (France) — The leading open-source AI platform, Hugging Face hosts millions of models and datasets, serving as the de facto hub for the open-source AI community globally. Its European base makes it a critical piece of the continent's AI infrastructure. [T4]</w:t>
      </w:r>
    </w:p>
    <w:p>
      <w:r/>
      <w:r>
        <w:t>Other Notable Companies:</w:t>
      </w:r>
    </w:p>
    <w:p>
      <w:pPr>
        <w:pStyle w:val="ListBullet"/>
      </w:pPr>
      <w:r/>
      <w:r>
        <w:t>EleutherAI — Open-source language model research collective with strong European participation</w:t>
      </w:r>
    </w:p>
    <w:p>
      <w:pPr>
        <w:pStyle w:val="ListBullet"/>
      </w:pPr>
      <w:r/>
      <w:r>
        <w:t>Helsing (Sweden) — Defense AI company that raised over €1.3 billion, including €600 million in June 2025, focusing on all-domain defense technologies</w:t>
      </w:r>
    </w:p>
    <w:p>
      <w:pPr>
        <w:pStyle w:val="ListBullet"/>
      </w:pPr>
      <w:r/>
      <w:r>
        <w:t>Parloa (Germany) — AI voice automation for customer support, achieved unicorn status in 2025</w:t>
      </w:r>
    </w:p>
    <w:p>
      <w:pPr>
        <w:pStyle w:val="ListBullet"/>
      </w:pPr>
      <w:r/>
      <w:r>
        <w:t>Sana (Sweden) — AI tools for human knowledge management, unicorn status</w:t>
      </w:r>
    </w:p>
    <w:p>
      <w:pPr>
        <w:pStyle w:val="ListBullet"/>
      </w:pPr>
      <w:r/>
      <w:r>
        <w:t>n8n (Germany) — AI workflow automation tool</w:t>
      </w:r>
    </w:p>
    <w:p>
      <w:pPr>
        <w:pStyle w:val="ListBullet"/>
      </w:pPr>
      <w:r/>
      <w:r>
        <w:t>Nscale (UK) — Data infrastructure for AI, raised €958 million in a Series B and €377 million in a Series C in 2025</w:t>
      </w:r>
    </w:p>
    <w:p>
      <w:pPr>
        <w:pStyle w:val="ListBullet"/>
      </w:pPr>
      <w:r/>
      <w:r>
        <w:t>Lovable (Sweden) — AI-native app builder</w:t>
      </w:r>
    </w:p>
    <w:p>
      <w:pPr>
        <w:pStyle w:val="ListBullet"/>
      </w:pPr>
      <w:r/>
      <w:r>
        <w:t>Framer (Netherlands) — AI-powered website builder</w:t>
      </w:r>
    </w:p>
    <w:p>
      <w:pPr>
        <w:pStyle w:val="ListBullet"/>
      </w:pPr>
      <w:r/>
      <w:r>
        <w:t>Poolside (France) — Foundation models for software engineering</w:t>
      </w:r>
    </w:p>
    <w:p>
      <w:pPr>
        <w:pStyle w:val="ListBullet"/>
      </w:pPr>
      <w:r/>
      <w:r>
        <w:t>ElevenLabs (UK) — Voice AI research and deployment</w:t>
      </w:r>
    </w:p>
    <w:p>
      <w:pPr>
        <w:pStyle w:val="Heading3"/>
      </w:pPr>
      <w:r>
        <w:t>1.3 Geographic Distribution</w:t>
      </w:r>
    </w:p>
    <w:p>
      <w:r/>
      <w:r>
        <w:t>The European AI ecosystem is heavily concentrated. The UK (particularly London) and Germany anchor the continent's unicorn population, while France has emerged as the center of frontier model development through Mistral AI. Nordic countries—especially Sweden—have become hubs for AI-native application builders. [T4]</w:t>
      </w:r>
    </w:p>
    <w:p>
      <w:r/>
      <w:r>
        <w:t>However, this geographic concentration creates vulnerabilities. The UK's post-Brexit regulatory divergence, France's centralized approach, and Germany's bureaucratic complexity create a fragmented landscape that complicates pan-European scaling.</w:t>
      </w:r>
    </w:p>
    <w:p>
      <w:r>
        <w:br w:type="page"/>
      </w:r>
    </w:p>
    <w:p>
      <w:pPr>
        <w:pStyle w:val="Heading2"/>
      </w:pPr>
      <w:r>
        <w:t>2. The Legal Framework: The EU AI Act and Beyond</w:t>
      </w:r>
    </w:p>
    <w:p>
      <w:pPr>
        <w:pStyle w:val="Heading3"/>
      </w:pPr>
      <w:r>
        <w:t>2.1 The EU AI Act: World's First Comprehensive AI Regulation</w:t>
      </w:r>
    </w:p>
    <w:p>
      <w:r/>
      <w:r>
        <w:t>The EU AI Act, adopted in 2024 and entering into force on August 1, 2024, represents the most ambitious regulatory framework for artificial intelligence globally. The Act establishes a risk-based approach with four tiers:</w:t>
      </w:r>
    </w:p>
    <w:p>
      <w:pPr>
        <w:pStyle w:val="ListBullet"/>
      </w:pPr>
      <w:r/>
      <w:r>
        <w:t>Unacceptable Risk (banned): Social scoring, real-time biometric identification in public spaces (with narrow exceptions), cognitive manipulation, emotion recognition in workplaces and educational institutions</w:t>
      </w:r>
    </w:p>
    <w:p>
      <w:pPr>
        <w:pStyle w:val="ListBullet"/>
      </w:pPr>
      <w:r/>
      <w:r>
        <w:t>High Risk: AI systems used in critical infrastructure, education, employment, law enforcement, migration management, and justice</w:t>
      </w:r>
    </w:p>
    <w:p>
      <w:pPr>
        <w:pStyle w:val="ListBullet"/>
      </w:pPr>
      <w:r/>
      <w:r>
        <w:t>Limited Risk: AI systems with specific transparency obligations (e.g., chatbots must disclose they are AI)</w:t>
      </w:r>
    </w:p>
    <w:p>
      <w:pPr>
        <w:pStyle w:val="ListBullet"/>
      </w:pPr>
      <w:r/>
      <w:r>
        <w:t>Minimal Risk: All other AI systems (no obligations)</w:t>
      </w:r>
    </w:p>
    <w:p>
      <w:pPr>
        <w:pStyle w:val="Heading3"/>
      </w:pPr>
      <w:r>
        <w:t>2.2 Implementation Timeline</w:t>
      </w:r>
    </w:p>
    <w:p>
      <w:r/>
      <w:r>
        <w:t>The AI Act follows a staggered implementation schedule:</w:t>
      </w:r>
    </w:p>
    <w:p>
      <w:pPr>
        <w:pStyle w:val="ListBullet"/>
      </w:pPr>
      <w:r/>
      <w:r>
        <w:t>February 2, 2025: First enforcement provisions entered into force, including the establishment of the European AI Office and prohibitions on banned AI practices</w:t>
      </w:r>
    </w:p>
    <w:p>
      <w:pPr>
        <w:pStyle w:val="ListBullet"/>
      </w:pPr>
      <w:r/>
      <w:r>
        <w:t>August 2025: General-Purpose AI (GPAI) obligations took effect. The AI Office began working with GPAI Code of Practice signatories</w:t>
      </w:r>
    </w:p>
    <w:p>
      <w:pPr>
        <w:pStyle w:val="ListBullet"/>
      </w:pPr>
      <w:r/>
      <w:r>
        <w:t>August 2026: The main body of the Act applies to high-risk AI systems. This is the critical compliance deadline for organizations deploying high-risk AI</w:t>
      </w:r>
    </w:p>
    <w:p>
      <w:pPr>
        <w:pStyle w:val="ListBullet"/>
      </w:pPr>
      <w:r/>
      <w:r>
        <w:t>August 2027: Obligations for high-risk AI systems used as safety components of products apply</w:t>
      </w:r>
    </w:p>
    <w:p>
      <w:r/>
      <w:r>
        <w:t>Notably, there are reported discussions about extending the August 2026 deadline for high-risk AI systems compliance as part of the "Digital Omnibus VII" legislative package. However, this extension has not been formally adopted, and organizations should not assume the deadline will change. [T4]</w:t>
      </w:r>
    </w:p>
    <w:p>
      <w:pPr>
        <w:pStyle w:val="Heading3"/>
      </w:pPr>
      <w:r>
        <w:t>2.3 The General-Purpose AI (GPAI) Code of Practice</w:t>
      </w:r>
    </w:p>
    <w:p>
      <w:r/>
      <w:r>
        <w:t>In August 2025, the European Commission published a GPAI Code of Practice—a voluntary compliance tool offering practical guidance for GPAI model providers on transparency, copyright, and safety &amp; security. The AI Office began working with signatories to ensure their models can be placed on the market in compliance with the Act. Major providers including Meta, Google, and xAI have engaged with this framework. [T3]</w:t>
      </w:r>
    </w:p>
    <w:p>
      <w:pPr>
        <w:pStyle w:val="Heading3"/>
      </w:pPr>
      <w:r>
        <w:t>2.4 The European AI Office</w:t>
      </w:r>
    </w:p>
    <w:p>
      <w:r/>
      <w:r>
        <w:t>Established within the European Commission, the AI Office is the central regulatory body responsible for overseeing AI Act implementation. It has 34 categories of enforcement activities at the EU level, including ex-post evaluations of the law. The Office also convenes the AI Board—a governance body comprising representatives from all member states. [T3]</w:t>
      </w:r>
    </w:p>
    <w:p>
      <w:pPr>
        <w:pStyle w:val="Heading3"/>
      </w:pPr>
      <w:r>
        <w:t>2.5 The AI Pact</w:t>
      </w:r>
    </w:p>
    <w:p>
      <w:r/>
      <w:r>
        <w:t>Complementing the regulatory framework, the Commission launched the AI Pact—a voluntary initiative inviting AI providers and deployers from Europe and beyond to comply with key AI Act obligations ahead of the mandatory deadlines. This "soft law" approach aims to build compliance culture before hard enforcement begins. [T3]</w:t>
      </w:r>
    </w:p>
    <w:p>
      <w:pPr>
        <w:pStyle w:val="Heading3"/>
      </w:pPr>
      <w:r>
        <w:t>2.6 National Strategies</w:t>
      </w:r>
    </w:p>
    <w:p>
      <w:r/>
      <w:r>
        <w:t>Individual European nations have pursued their own AI strategies alongside the EU framework:</w:t>
      </w:r>
    </w:p>
    <w:p>
      <w:pPr>
        <w:pStyle w:val="ListBullet"/>
      </w:pPr>
      <w:r/>
      <w:r>
        <w:t>France: Invested €1.3 billion in Phase I (until 2022) and €1.1 billion in Phase II (until 2025) of its national AI strategy, focusing on research centers of excellence, frugal AI, and trust. The French government has committed to supporting Mistral AI as a strategic asset. [T4]</w:t>
      </w:r>
    </w:p>
    <w:p>
      <w:pPr>
        <w:pStyle w:val="ListBullet"/>
      </w:pPr>
      <w:r/>
      <w:r>
        <w:t>Germany: Emphasizes industrial AI applications, particularly in manufacturing (Industry 4.0), with strong involvement from companies like Siemens and SAP.</w:t>
      </w:r>
    </w:p>
    <w:p>
      <w:pPr>
        <w:pStyle w:val="ListBullet"/>
      </w:pPr>
      <w:r/>
      <w:r>
        <w:t>UK (post-BBrexit): Launched a £500 million Sovereign AI Unit in April 2026, providing equity investments of up to £20 million per startup, 1 million GPU-hours of compute access, fast-tracked visas, and regulatory support. The UK follows a sector-led, principles-based regulatory approach rather than comprehensive legislation. [T4]</w:t>
      </w:r>
    </w:p>
    <w:p>
      <w:r>
        <w:br w:type="page"/>
      </w:r>
    </w:p>
    <w:p>
      <w:pPr>
        <w:pStyle w:val="Heading2"/>
      </w:pPr>
      <w:r>
        <w:t>3. Investment and Funding Ecosystem</w:t>
      </w:r>
    </w:p>
    <w:p>
      <w:pPr>
        <w:pStyle w:val="Heading3"/>
      </w:pPr>
      <w:r>
        <w:t>3.1 The InvestAI Initiative</w:t>
      </w:r>
    </w:p>
    <w:p>
      <w:r/>
      <w:r>
        <w:t>The cornerstone of Europe's investment strategy is InvestAI, launched in February 2025 at the AI Action Summit in Paris by European Commission President Ursula von der Leyen. The initiative aims to mobilize €200 billion in public and private capital for AI development across the EU. [T3]</w:t>
      </w:r>
    </w:p>
    <w:p>
      <w:r/>
      <w:r>
        <w:t>Key components of InvestAI include:</w:t>
      </w:r>
    </w:p>
    <w:p>
      <w:pPr>
        <w:pStyle w:val="ListBullet"/>
      </w:pPr>
      <w:r/>
      <w:r>
        <w:t>€20 billion dedicated fund for four AI "gigafactories"—each equipped with approximately 100,000 next-generation AI chips, managed with the European Investment Bank. These facilities are designed to give startups, SMEs, and research institutions access to compute resources normally limited to major tech players. Von der Leyen described them as "a CERN for AI."</w:t>
      </w:r>
    </w:p>
    <w:p>
      <w:pPr>
        <w:pStyle w:val="ListBullet"/>
      </w:pPr>
      <w:r/>
      <w:r>
        <w:t>€20 billion for AI factories providing supercomputing access tailored to AI needs</w:t>
      </w:r>
    </w:p>
    <w:p>
      <w:pPr>
        <w:pStyle w:val="ListBullet"/>
      </w:pPr>
      <w:r/>
      <w:r>
        <w:t>AI Champions Initiative: Over 60 companies have pledged an additional €150 billion in investments over five years, supported by industry leaders from Deutsche Bank to Spotify to Mistral AI</w:t>
      </w:r>
    </w:p>
    <w:p>
      <w:pPr>
        <w:pStyle w:val="ListBullet"/>
      </w:pPr>
      <w:r/>
      <w:r>
        <w:t>Digital Europe Programme: €2.1 billion specifically earmarked for AI development from 2021 to 2027</w:t>
      </w:r>
    </w:p>
    <w:p>
      <w:pPr>
        <w:pStyle w:val="Heading3"/>
      </w:pPr>
      <w:r>
        <w:t>3.2 Private Investment Landscape</w:t>
      </w:r>
    </w:p>
    <w:p>
      <w:r/>
      <w:r>
        <w:t>European AI VC investment has shown strong growth:</w:t>
      </w:r>
    </w:p>
    <w:p>
      <w:pPr>
        <w:pStyle w:val="ListBullet"/>
      </w:pPr>
      <w:r/>
      <w:r>
        <w:t>Q1 2025: European AI startups raised $3.4 billion, up 55% year-on-year</w:t>
      </w:r>
    </w:p>
    <w:p>
      <w:pPr>
        <w:pStyle w:val="ListBullet"/>
      </w:pPr>
      <w:r/>
      <w:r>
        <w:t>2025 total: Approximately €11 billion across 106 active investors</w:t>
      </w:r>
    </w:p>
    <w:p>
      <w:pPr>
        <w:pStyle w:val="ListBullet"/>
      </w:pPr>
      <w:r/>
      <w:r>
        <w:t>Top 2025 rounds: Mistral AI (€1.7 billion Series C), Nscale (€958 million Series B, €377 million Series C), Isomorphic Labs (€523 million venture round)</w:t>
      </w:r>
    </w:p>
    <w:p>
      <w:r/>
      <w:r>
        <w:t>However, the late-stage funding gap remains a structural weakness. European deep-tech and AI startups typically face smaller and more cautious late-stage funding rounds than their US counterparts. This limits the ability of European companies to scale to global dominance. [T4]</w:t>
      </w:r>
    </w:p>
    <w:p>
      <w:pPr>
        <w:pStyle w:val="Heading3"/>
      </w:pPr>
      <w:r>
        <w:t>3.3 Public Research Funding</w:t>
      </w:r>
    </w:p>
    <w:p>
      <w:r/>
      <w:r>
        <w:t>The EU's Horizon Europe and European Innovation Council programs provide significant research funding, though the European Commission recently canceled a €45 million Horizon Europe call for generative AI projects, signaling a recalibration of public spending priorities. [T4]</w:t>
      </w:r>
    </w:p>
    <w:p>
      <w:r>
        <w:br w:type="page"/>
      </w:r>
    </w:p>
    <w:p>
      <w:pPr>
        <w:pStyle w:val="Heading2"/>
      </w:pPr>
      <w:r>
        <w:t>4. Challenges and Structural Weaknesses</w:t>
      </w:r>
    </w:p>
    <w:p>
      <w:pPr>
        <w:pStyle w:val="Heading3"/>
      </w:pPr>
      <w:r>
        <w:t>4.1 The Compute Infrastructure Gap</w:t>
      </w:r>
    </w:p>
    <w:p>
      <w:r/>
      <w:r>
        <w:t>Europe's most urgent challenge is compute infrastructure. The continent lacks the hyperscale data center capacity of the US, with delays in scaling AI data centers compared to American and Chinese timelines. As analyst Brent Hoberman noted, "Europe's AI infrastructure strategy seems more like a leisurely Sunday drive than a race to the future." [T4]</w:t>
      </w:r>
    </w:p>
    <w:p>
      <w:r/>
      <w:r>
        <w:t>The specific problems include:</w:t>
      </w:r>
    </w:p>
    <w:p>
      <w:pPr>
        <w:pStyle w:val="ListBullet"/>
      </w:pPr>
      <w:r/>
      <w:r>
        <w:t>Planning reform bottlenecks: European environmental and zoning regulations slow data center construction</w:t>
      </w:r>
    </w:p>
    <w:p>
      <w:pPr>
        <w:pStyle w:val="ListBullet"/>
      </w:pPr>
      <w:r/>
      <w:r>
        <w:t>Energy constraints: AI data centers require massive power capacity; Europe's energy grid upgrades lag behind demand</w:t>
      </w:r>
    </w:p>
    <w:p>
      <w:pPr>
        <w:pStyle w:val="ListBullet"/>
      </w:pPr>
      <w:r/>
      <w:r>
        <w:t>Grid infrastructure: Many European regions lack the electrical capacity to support hyperscale AI operations</w:t>
      </w:r>
    </w:p>
    <w:p>
      <w:pPr>
        <w:pStyle w:val="ListBullet"/>
      </w:pPr>
      <w:r/>
      <w:r>
        <w:t>Regulatory friction: GDPR-related audit requirements for data centers, combined with the AI Act's compliance burden, create an investment environment that is less attractive than the US</w:t>
      </w:r>
    </w:p>
    <w:p>
      <w:r/>
      <w:r>
        <w:t>The Economist Impact warned in February 2026 that "Europe risks irrelevance in the frontier AI race" if it does not close this gap. The RAND Corporation analysis concluded that without sovereign ultra-dense compute, Europe does not own its AI future. [T4]</w:t>
      </w:r>
    </w:p>
    <w:p>
      <w:pPr>
        <w:pStyle w:val="Heading3"/>
      </w:pPr>
      <w:r>
        <w:t>4.2 The Talent Problem: Brain Drain and Shortage</w:t>
      </w:r>
    </w:p>
    <w:p>
      <w:r/>
      <w:r>
        <w:t>Europe faces a dual talent challenge. On one hand, Europe produces excellent AI talent—some research maps the continent as having approximately 30% more AI talent per capita than the US and nearly three times as many as China. On the other hand, Europe experiences a substantial net outflow of senior-level AI professionals. [T4]</w:t>
      </w:r>
    </w:p>
    <w:p>
      <w:r/>
      <w:r>
        <w:t>The brain drain operates in multiple directions:</w:t>
      </w:r>
    </w:p>
    <w:p>
      <w:pPr>
        <w:pStyle w:val="ListBullet"/>
      </w:pPr>
      <w:r/>
      <w:r>
        <w:t>To the US: Senior AI engineers in Western and Northern Europe earn $90,000 to $150,000, while US counterparts at frontier labs earn significantly more. The talent pipeline from European universities to US AI labs remains strong.</w:t>
      </w:r>
    </w:p>
    <w:p>
      <w:pPr>
        <w:pStyle w:val="ListBullet"/>
      </w:pPr>
      <w:r/>
      <w:r>
        <w:t>To the Middle East and Asia: Growing AI investment hubs in the Gulf states and Singapore are poaching European talent with competitive packages</w:t>
      </w:r>
    </w:p>
    <w:p>
      <w:pPr>
        <w:pStyle w:val="ListBullet"/>
      </w:pPr>
      <w:r/>
      <w:r>
        <w:t>Within Europe: The salary gap between Western/Northern Europe and Southern/Eastern Europe (where salaries often fall below $100,000) creates internal migration pressures</w:t>
      </w:r>
    </w:p>
    <w:p>
      <w:r/>
      <w:r>
        <w:t>The BCG Henderson Institute report noted that while stricter US immigration rules and academic funding cuts under the second Trump administration could redirect some talent toward Europe, the EU must also attract talent from Asia—where 85% of US-based foreign nationals in technical AI jobs hail from China or India. [T4]</w:t>
      </w:r>
    </w:p>
    <w:p>
      <w:pPr>
        <w:pStyle w:val="Heading3"/>
      </w:pPr>
      <w:r>
        <w:t>4.3 The Regulatory Burden on Startups</w:t>
      </w:r>
    </w:p>
    <w:p>
      <w:r/>
      <w:r>
        <w:t>The EU AI Act, while well-intentioned, creates a compliance architecture that disproportionately disadvantages smaller AI companies. A three-person startup building an AI-powered CV screening tool faces the same Annex III high-risk requirements as a 10,000-person enterprise building an identical product. [T4]</w:t>
      </w:r>
    </w:p>
    <w:p>
      <w:r/>
      <w:r>
        <w:t>The compliance burden includes:</w:t>
      </w:r>
    </w:p>
    <w:p>
      <w:pPr>
        <w:pStyle w:val="ListBullet"/>
      </w:pPr>
      <w:r/>
      <w:r>
        <w:t>Documentation requirements demanding legal, technical, and compliance infrastructure that early-stage companies lack</w:t>
      </w:r>
    </w:p>
    <w:p>
      <w:pPr>
        <w:pStyle w:val="ListBullet"/>
      </w:pPr>
      <w:r/>
      <w:r>
        <w:t>Risk classification logic that does not scale proportionally with company size</w:t>
      </w:r>
    </w:p>
    <w:p>
      <w:pPr>
        <w:pStyle w:val="ListBullet"/>
      </w:pPr>
      <w:r/>
      <w:r>
        <w:t>Conformity assessment requirements that represent existential costs for seed-stage companies</w:t>
      </w:r>
    </w:p>
    <w:p>
      <w:r/>
      <w:r>
        <w:t>Reuters reported in April 2025 that the European Commission acknowledged this problem and planned to seek feedback to lighten the regulatory burden for startups struggling to comply. The Commission proposed targeted amendments to the AI Act as part of the Digital Simplification Package in November 2025. [T4]</w:t>
      </w:r>
    </w:p>
    <w:p>
      <w:pPr>
        <w:pStyle w:val="Heading3"/>
      </w:pPr>
      <w:r>
        <w:t>4.4 The Commercialization Gap</w:t>
      </w:r>
    </w:p>
    <w:p>
      <w:r/>
      <w:r>
        <w:t>Europe has a persistent difficulty translating academic breakthroughs into commercial successes—a problem that Canada and the UK also face. As the Fortune analysis noted, "European founders are obsessed with Silicon Valley," with many promising European startups choosing to incorporate and scale in the US rather than building globally from a European base. [T4]</w:t>
      </w:r>
    </w:p>
    <w:p>
      <w:r/>
      <w:r>
        <w:t>The structural causes include:</w:t>
      </w:r>
    </w:p>
    <w:p>
      <w:pPr>
        <w:pStyle w:val="ListBullet"/>
      </w:pPr>
      <w:r/>
      <w:r>
        <w:t>Smaller domestic markets: Europe's 27 languages and fragmented regulations make pan-European scaling more complex than US domestic scaling</w:t>
      </w:r>
    </w:p>
    <w:p>
      <w:pPr>
        <w:pStyle w:val="ListBullet"/>
      </w:pPr>
      <w:r/>
      <w:r>
        <w:t>Risk-averse capital: European VC funds tend to be smaller and more cautious than their American counterparts</w:t>
      </w:r>
    </w:p>
    <w:p>
      <w:pPr>
        <w:pStyle w:val="ListBullet"/>
      </w:pPr>
      <w:r/>
      <w:r>
        <w:t>Exit ecosystem: Fewer European IPO markets and a culture of selling to US acquirers rather than building to global scale</w:t>
      </w:r>
    </w:p>
    <w:p>
      <w:pPr>
        <w:pStyle w:val="Heading3"/>
      </w:pPr>
      <w:r>
        <w:t>4.5 The Sovereignty Dilemma</w:t>
      </w:r>
    </w:p>
    <w:p>
      <w:r/>
      <w:r>
        <w:t>The push for "sovereign AI" creates a fundamental tension. European companies and governments increasingly demand data sovereignty and local compute infrastructure, yet achieving sovereignty requires massive investment that Europe struggles to mobilize at the scale of US government spending. The US invested approximately $20.4 billion in AI-related contracts and grants through 2024, against $285.9 billion in private investment in 2025 alone. [T4]</w:t>
      </w:r>
    </w:p>
    <w:p>
      <w:r>
        <w:br w:type="page"/>
      </w:r>
    </w:p>
    <w:p>
      <w:pPr>
        <w:pStyle w:val="Heading2"/>
      </w:pPr>
      <w:r>
        <w:t>5. Future Prospects and Strategic Outlook</w:t>
      </w:r>
    </w:p>
    <w:p>
      <w:pPr>
        <w:pStyle w:val="Heading3"/>
      </w:pPr>
      <w:r>
        <w:t>5.1 Scenario Analysis</w:t>
      </w:r>
    </w:p>
    <w:p>
      <w:r/>
      <w:r>
        <w:t>Most Likely Scenario (Base Case): Regulatory Superpower, Technological Follower</w:t>
      </w:r>
    </w:p>
    <w:p>
      <w:r/>
      <w:r>
        <w:t>Europe successfully establishes the AI Act as the global regulatory standard—the "Brussels Effect" applied to AI. European companies like Mistral AI, DeepL, and Hugging Face maintain strong positions in their niches, but no European company challenges the US-China duopoly in frontier models. The InvestAI gigafactories provide meaningful compute access but do not close the infrastructure gap. Europe becomes the world's most important AI governance jurisdiction but a secondary player in AI technology development.</w:t>
      </w:r>
    </w:p>
    <w:p>
      <w:r/>
      <w:r>
        <w:t>Optimistic Scenario: Sovereign AI Power</w:t>
      </w:r>
    </w:p>
    <w:p>
      <w:r/>
      <w:r>
        <w:t>The InvestAI initiative succeeds in building four competitive AI gigafactories, Mistral AI becomes a genuinely global frontier model provider (potentially through a strategic partnership or partial acquisition), and the European AI ecosystem develops a critical mass of scale-up companies. The regulatory framework becomes a competitive advantage, with European companies exporting both AI technology and governance frameworks. This would require sustained political commitment, massive capital mobilization, and successful talent retention strategies.</w:t>
      </w:r>
    </w:p>
    <w:p>
      <w:r/>
      <w:r>
        <w:t>Pessimistic Scenario: Irrelevance at the Frontier</w:t>
      </w:r>
    </w:p>
    <w:p>
      <w:r/>
      <w:r>
        <w:t>The compute gap widens further as the US and China accelerate their infrastructure buildouts. European startups continue to migrate to the US for scale. The AI Act's compliance burden stifles innovation rather than protecting citizens. Europe becomes a consumer of AI technology developed elsewhere, with regulatory influence but no technological agency. The RAND Corporation's February 2026 warning captures this risk: "on its present trajectory, Europe will have little say over how this technology is built or governed." [T4]</w:t>
      </w:r>
    </w:p>
    <w:p>
      <w:pPr>
        <w:pStyle w:val="Heading3"/>
      </w:pPr>
      <w:r>
        <w:t>5.2 Key Determinants for the Next 24 Months</w:t>
      </w:r>
    </w:p>
    <w:p>
      <w:r/>
      <w:r>
        <w:t>Several developments in the coming two years will be decisive:</w:t>
      </w:r>
    </w:p>
    <w:p>
      <w:pPr>
        <w:pStyle w:val="ListNumber"/>
      </w:pPr>
      <w:r/>
      <w:r>
        <w:t>The AI Act's August 2026 deadline: How the compliance burden actually plays out for startups will shape the ecosystem for years. If the compliance costs prove prohibitive, we may see a wave of European AI companies incorporating in the US or UK.</w:t>
      </w:r>
    </w:p>
    <w:p>
      <w:pPr>
        <w:pStyle w:val="ListNumber"/>
      </w:pPr>
      <w:r/>
      <w:r>
        <w:t>Mistral AI's trajectory: Whether Mistral remains independently European (or becomes a European subsidiary of a larger corporation) will be a bellwether for the continent's ability to build and retain global AI champions.</w:t>
      </w:r>
    </w:p>
    <w:p>
      <w:pPr>
        <w:pStyle w:val="ListNumber"/>
      </w:pPr>
      <w:r/>
      <w:r>
        <w:t>Gigafactory construction: The pace and success of the four AI gigafactories under InvestAI will determine whether Europe can provide meaningful sovereign compute capacity.</w:t>
      </w:r>
    </w:p>
    <w:p>
      <w:pPr>
        <w:pStyle w:val="ListNumber"/>
      </w:pPr>
      <w:r/>
      <w:r>
        <w:t>Talent retention policies: Whether Europe can develop immigration pathways competitive enough to attract and retain top AI researchers from Asia and the Americas.</w:t>
      </w:r>
    </w:p>
    <w:p>
      <w:pPr>
        <w:pStyle w:val="ListNumber"/>
      </w:pPr>
      <w:r/>
      <w:r>
        <w:t>Energy infrastructure: The ability to provide low-cost, reliable energy for AI data centers will determine whether Europe can attract hyperscale investment.</w:t>
      </w:r>
    </w:p>
    <w:p>
      <w:pPr>
        <w:pStyle w:val="Heading3"/>
      </w:pPr>
      <w:r>
        <w:t>5.3 Strategic Recommendations</w:t>
      </w:r>
    </w:p>
    <w:p>
      <w:r/>
      <w:r>
        <w:t>For European policymakers:</w:t>
      </w:r>
    </w:p>
    <w:p>
      <w:pPr>
        <w:pStyle w:val="ListBullet"/>
      </w:pPr>
      <w:r/>
      <w:r>
        <w:t>Accelerate planning reform for AI data center construction, balancing environmental concerns with strategic urgency</w:t>
      </w:r>
    </w:p>
    <w:p>
      <w:pPr>
        <w:pStyle w:val="ListBullet"/>
      </w:pPr>
      <w:r/>
      <w:r>
        <w:t>Develop a Europe-wide compute strategy with coordinated grid upgrades and nuclear energy investment</w:t>
      </w:r>
    </w:p>
    <w:p>
      <w:pPr>
        <w:pStyle w:val="ListBullet"/>
      </w:pPr>
      <w:r/>
      <w:r>
        <w:t>Create proportionate compliance pathways for startups under the AI Act, potentially through simplified frameworks for companies below certain revenue or user thresholds</w:t>
      </w:r>
    </w:p>
    <w:p>
      <w:pPr>
        <w:pStyle w:val="ListBullet"/>
      </w:pPr>
      <w:r/>
      <w:r>
        <w:t>Invest in talent attraction with competitive visa pathways, research funding, and salary competitiveness</w:t>
      </w:r>
    </w:p>
    <w:p>
      <w:pPr>
        <w:pStyle w:val="ListBullet"/>
      </w:pPr>
      <w:r/>
      <w:r>
        <w:t>Foster pan-European scaling by reducing regulatory fragmentation across member states</w:t>
      </w:r>
    </w:p>
    <w:p>
      <w:r/>
      <w:r>
        <w:t>For European AI companies:</w:t>
      </w:r>
    </w:p>
    <w:p>
      <w:pPr>
        <w:pStyle w:val="ListBullet"/>
      </w:pPr>
      <w:r/>
      <w:r>
        <w:t>Leverage the regulatory advantage: Position GDPR-compliant, AI-Act-compliant European AI as a competitive differentiator in markets where data sovereignty matters</w:t>
      </w:r>
    </w:p>
    <w:p>
      <w:pPr>
        <w:pStyle w:val="ListBullet"/>
      </w:pPr>
      <w:r/>
      <w:r>
        <w:t>Pursue strategic partnerships with US hyperscalers for compute access while maintaining European operations</w:t>
      </w:r>
    </w:p>
    <w:p>
      <w:pPr>
        <w:pStyle w:val="ListBullet"/>
      </w:pPr>
      <w:r/>
      <w:r>
        <w:t>Focus on vertical applications where European domain expertise provides competitive advantage (healthcare, manufacturing, finance)</w:t>
      </w:r>
    </w:p>
    <w:p>
      <w:pPr>
        <w:pStyle w:val="ListBullet"/>
      </w:pPr>
      <w:r/>
      <w:r>
        <w:t>Build open-source communities around European models to create network effects that compensate for smaller funding</w:t>
      </w:r>
    </w:p>
    <w:p>
      <w:r>
        <w:br w:type="page"/>
      </w:r>
    </w:p>
    <w:p>
      <w:pPr>
        <w:pStyle w:val="Heading2"/>
      </w:pPr>
      <w:r>
        <w:t>6. Conclusion</w:t>
      </w:r>
    </w:p>
    <w:p>
      <w:r/>
      <w:r>
        <w:t>Europe's AI development in 2026 presents a paradox: the continent is simultaneously the world's most ambitious AI regulator and one of its most vulnerable AI laggards in terms of technological capability. The EU AI Act gives Europe a unique form of soft power—the ability to shape global AI governance—but this influence does not automatically translate into technological sovereignty.</w:t>
      </w:r>
    </w:p>
    <w:p>
      <w:r/>
      <w:r>
        <w:t>The InvestAI initiative, Mistral AI's emergence, and the growing awareness of compute infrastructure gaps represent genuine green shoots. But the structural challenges—fragmented markets, risk-averse capital, regulatory burden on startups, energy constraints, and talent outflow—are deep and systemic.</w:t>
      </w:r>
    </w:p>
    <w:p>
      <w:r/>
      <w:r>
        <w:t>The critical question is whether Europe can convert its regulatory advantage into technological agency. If the continent can build competitive AI infrastructure, retain its talent, and nurture global-scale companies, it could emerge as a distinctive model of AI development: one that prioritizes human rights, data sovereignty, and democratic governance without sacrificing technological competitiveness. If it cannot, Europe risks becoming a regulatory superpower in a world where the technology itself is controlled by others—a scenario that would have profound implications not just for European competitiveness, but for the global balance of power in the age of artificial intelligence.</w:t>
      </w:r>
    </w:p>
    <w:p>
      <w:r>
        <w:br w:type="page"/>
      </w:r>
    </w:p>
    <w:p>
      <w:pPr>
        <w:pStyle w:val="Heading2"/>
      </w:pPr>
      <w:r>
        <w:t>Sources</w:t>
      </w:r>
    </w:p>
    <w:p>
      <w:pPr>
        <w:pStyle w:val="ListNumber"/>
      </w:pPr>
      <w:r/>
      <w:r>
        <w:t>MarketsandMarkets, "Europe Artificial Intelligence (AI) Market Forecast to 2032," [T2]</w:t>
      </w:r>
    </w:p>
    <w:p>
      <w:pPr>
        <w:pStyle w:val="ListNumber"/>
      </w:pPr>
      <w:r/>
      <w:r>
        <w:t>Sifted, "These were the most active AI investors in 2025," March 16, 2026, [T4]</w:t>
      </w:r>
    </w:p>
    <w:p>
      <w:pPr>
        <w:pStyle w:val="ListNumber"/>
      </w:pPr>
      <w:r/>
      <w:r>
        <w:t>EU-Startups, "Record breakers: Europe's top 10 AI funding rounds of 2025," November 2025, [T4]</w:t>
      </w:r>
    </w:p>
    <w:p>
      <w:pPr>
        <w:pStyle w:val="ListNumber"/>
      </w:pPr>
      <w:r/>
      <w:r>
        <w:t>Euronews, "AI power play: Can Europe catch up with the US and China?" January 27, 2026, [T4]</w:t>
      </w:r>
    </w:p>
    <w:p>
      <w:pPr>
        <w:pStyle w:val="ListNumber"/>
      </w:pPr>
      <w:r/>
      <w:r>
        <w:t>Economist Impact, "Europe risks irrelevance in the frontier AI race" (Afek &amp; Shamir, RAND Corporation), February 23, 2026, [T4]</w:t>
      </w:r>
    </w:p>
    <w:p>
      <w:pPr>
        <w:pStyle w:val="ListNumber"/>
      </w:pPr>
      <w:r/>
      <w:r>
        <w:t>European Commission, "EU launches InvestAI initiative to mobilise €200 billion," February 11, 2025, [T3]</w:t>
      </w:r>
    </w:p>
    <w:p>
      <w:pPr>
        <w:pStyle w:val="ListNumber"/>
      </w:pPr>
      <w:r/>
      <w:r>
        <w:t>European Commission, "European approach to artificial intelligence," digital-strategy.ec.europa.eu, [T3]</w:t>
      </w:r>
    </w:p>
    <w:p>
      <w:pPr>
        <w:pStyle w:val="ListNumber"/>
      </w:pPr>
      <w:r/>
      <w:r>
        <w:t>Jones Day, "EU AI Act: European Commission Publishes AI Code of Practice," August 2025, [T3]</w:t>
      </w:r>
    </w:p>
    <w:p>
      <w:pPr>
        <w:pStyle w:val="ListNumber"/>
      </w:pPr>
      <w:r/>
      <w:r>
        <w:t>European Parliament, "Towards an AI code of practice," EPRS_ATA(2025)775890, [T3]</w:t>
      </w:r>
    </w:p>
    <w:p>
      <w:pPr>
        <w:pStyle w:val="ListNumber"/>
      </w:pPr>
      <w:r/>
      <w:r>
        <w:t>Trilateral Research, "EU AI Act Timeline: Key Dates You Must Know," [T4]</w:t>
      </w:r>
    </w:p>
    <w:p>
      <w:pPr>
        <w:pStyle w:val="ListNumber"/>
      </w:pPr>
      <w:r/>
      <w:r>
        <w:t>TechJack Solutions, "EU AI Act Deadline Extension Reported," [T4]</w:t>
      </w:r>
    </w:p>
    <w:p>
      <w:pPr>
        <w:pStyle w:val="ListNumber"/>
      </w:pPr>
      <w:r/>
      <w:r>
        <w:t>Fortune, "Why the EU's AI talent strategy needs a reality check," September 15, 2025, [T4]</w:t>
      </w:r>
    </w:p>
    <w:p>
      <w:pPr>
        <w:pStyle w:val="ListNumber"/>
      </w:pPr>
      <w:r/>
      <w:r>
        <w:t>Euronews, "The AI brain drain: Why Europe can't keep the talent it trains," January 29, 2026, [T4]</w:t>
      </w:r>
    </w:p>
    <w:p>
      <w:pPr>
        <w:pStyle w:val="ListNumber"/>
      </w:pPr>
      <w:r/>
      <w:r>
        <w:t>Reuters, "Europe wants to lighten AI compliance burden for startups," April 8, 2025, [T4]</w:t>
      </w:r>
    </w:p>
    <w:p>
      <w:pPr>
        <w:pStyle w:val="ListNumber"/>
      </w:pPr>
      <w:r/>
      <w:r>
        <w:t>TechRound, "Experts Comment: The EU AI Act Comes Into Force This August," [T4]</w:t>
      </w:r>
    </w:p>
    <w:p>
      <w:pPr>
        <w:pStyle w:val="ListNumber"/>
      </w:pPr>
      <w:r/>
      <w:r>
        <w:t>CEPS, "EU Plans for AI (Giga)Factories: Sanctuaries of Innovation, or Cathedrals in the Desert?" November 2025, [T3]</w:t>
      </w:r>
    </w:p>
    <w:p>
      <w:pPr>
        <w:pStyle w:val="ListNumber"/>
      </w:pPr>
      <w:r/>
      <w:r>
        <w:t>Stanford HAI, "2026 AI Index Report: Policy and Governance," [T4]</w:t>
      </w:r>
    </w:p>
    <w:p>
      <w:pPr>
        <w:pStyle w:val="ListNumber"/>
      </w:pPr>
      <w:r/>
      <w:r>
        <w:t>Silicon Canals, "European AI investment surges 55% YoY to €3B in Q1 2025," [T4]</w:t>
      </w:r>
    </w:p>
    <w:p>
      <w:pPr>
        <w:pStyle w:val="ListNumber"/>
      </w:pPr>
      <w:r/>
      <w:r>
        <w:t>Noota, "The 9 Best European AI Companies Right Now," [T4]</w:t>
      </w:r>
    </w:p>
    <w:p>
      <w:pPr>
        <w:pStyle w:val="ListNumber"/>
      </w:pPr>
      <w:r/>
      <w:r>
        <w:t>Data-Unplugged, "European AI: 7 companies and models that decision makers should know," [T4]</w:t>
      </w:r>
    </w:p>
    <w:p>
      <w:pPr>
        <w:pStyle w:val="ListNumber"/>
      </w:pPr>
      <w:r/>
      <w:r>
        <w:t>EU-Startups, "Europe's AI ecosystem: Rapid growth and rising global ambitions," November 4, 2025, [T4]</w:t>
      </w:r>
    </w:p>
    <w:p>
      <w:pPr>
        <w:pStyle w:val="ListNumber"/>
      </w:pPr>
      <w:r/>
      <w:r>
        <w:t>Science|Business, "State of AI 2025: five key charts for Europeans," [T4]</w:t>
      </w:r>
    </w:p>
    <w:p>
      <w:pPr>
        <w:pStyle w:val="ListNumber"/>
      </w:pPr>
      <w:r/>
      <w:r>
        <w:t>Startups Magazine, "AI regulation update for startups: UK and EU signals in early 2026," [T4]</w:t>
      </w:r>
    </w:p>
    <w:p>
      <w:pPr>
        <w:pStyle w:val="ListNumber"/>
      </w:pPr>
      <w:r/>
      <w:r>
        <w:t>Taylored Solutions, "Inside InvestAI," [T3]</w:t>
      </w:r>
    </w:p>
    <w:p>
      <w:pPr>
        <w:pStyle w:val="ListNumber"/>
      </w:pPr>
      <w:r/>
      <w:r>
        <w:t>Luxembourg EC Representation, "EU launches InvestAI initiative," February 11, 2025, [T3]</w:t>
      </w:r>
    </w:p>
    <w:p>
      <w:pPr>
        <w:pStyle w:val="ListNumber"/>
      </w:pPr>
      <w:r/>
      <w:r>
        <w:t>Tech-Insider, "UK's £500M Sovereign AI Fund," April 16, 2026, [T4]</w:t>
      </w:r>
    </w:p>
    <w:p>
      <w:pPr>
        <w:pStyle w:val="ListNumber"/>
      </w:pPr>
      <w:r/>
      <w:r>
        <w:t>French Court of Auditors, "The National Strategy for Artificial Intelligence," November 2025, [T4]</w:t>
      </w:r>
    </w:p>
    <w:p>
      <w:pPr>
        <w:pStyle w:val="ListNumber"/>
      </w:pPr>
      <w:r/>
      <w:r>
        <w:t>Red Hat Survey, "UK firms accelerate 'sovereign AI' plans," [T4]</w:t>
      </w:r>
    </w:p>
    <w:p>
      <w:pPr>
        <w:pStyle w:val="ListNumber"/>
      </w:pPr>
      <w:r/>
      <w:r>
        <w:t>AI Act Service Desk, "Timeline for the Implementation of the EU AI Act," ec.europa.eu, [T3]</w:t>
      </w:r>
    </w:p>
    <w:p>
      <w:pPr>
        <w:pStyle w:val="ListNumber"/>
      </w:pPr>
      <w:r/>
      <w:r>
        <w:t>EU-Startups, "Europe's AI ecosystem: Rapid growth and rising global ambitions," November 4, 2025, [T4]</w:t>
      </w:r>
    </w:p>
    <w:p>
      <w:r>
        <w:br w:type="page"/>
      </w:r>
    </w:p>
    <w:p>
      <w:r>
        <w:rPr>
          <w:i/>
          <w:color w:val="666666"/>
          <w:sz w:val="20"/>
        </w:rPr>
      </w:r>
      <w:r>
        <w:rPr>
          <w:color w:val="666666"/>
          <w:sz w:val="20"/>
        </w:rPr>
        <w:t>Report compiled April 28, 2026. All data reflects information available as of the date of compilation. Verify current status of regulatory developments and funding 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ind w:firstLine="283"/>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1A2E"/>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