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649" w:rsidRDefault="00F74BED" w:rsidP="008D65DB">
      <w:pPr>
        <w:pStyle w:val="Title"/>
      </w:pPr>
      <w:r>
        <w:t>Classroom Learning as Assessment</w:t>
      </w:r>
      <w:r w:rsidR="00E7149E">
        <w:t xml:space="preserve"> Experience</w:t>
      </w:r>
      <w:r w:rsidRPr="008F2B22">
        <w:t>:</w:t>
      </w:r>
      <w:r w:rsidR="00EB54F8" w:rsidRPr="008F2B22">
        <w:t xml:space="preserve"> Continuous </w:t>
      </w:r>
      <w:r w:rsidRPr="008F2B22">
        <w:t>Measurement</w:t>
      </w:r>
      <w:r w:rsidR="00EB54F8" w:rsidRPr="008F2B22">
        <w:t xml:space="preserve"> and Diagnosis</w:t>
      </w:r>
      <w:r w:rsidR="00DA311D" w:rsidRPr="008F2B22">
        <w:t xml:space="preserve"> in Mathematics Curricula</w:t>
      </w:r>
      <w:r w:rsidR="00DA311D">
        <w:t>.</w:t>
      </w:r>
    </w:p>
    <w:p w:rsidR="00DA48E9" w:rsidRDefault="00DA48E9" w:rsidP="00743D63">
      <w:r>
        <w:t xml:space="preserve">IBM-Watson Education </w:t>
      </w:r>
      <w:r w:rsidR="00EF05B0">
        <w:t>pilot</w:t>
      </w:r>
      <w:r w:rsidR="002856ED">
        <w:t>ed</w:t>
      </w:r>
      <w:r w:rsidR="00EF05B0">
        <w:t xml:space="preserve"> </w:t>
      </w:r>
      <w:r w:rsidR="007C1F8B">
        <w:t>an artificial-intelligence (AI)-assisted continuous</w:t>
      </w:r>
      <w:r w:rsidR="00247BE7">
        <w:t xml:space="preserve"> cognitive</w:t>
      </w:r>
      <w:r w:rsidR="007C1F8B">
        <w:t xml:space="preserve">-diagnostic capability </w:t>
      </w:r>
      <w:r w:rsidR="00BE44EB">
        <w:t xml:space="preserve">at </w:t>
      </w:r>
      <w:r w:rsidR="00AF0E51">
        <w:t>ten</w:t>
      </w:r>
      <w:r w:rsidR="00582280">
        <w:t xml:space="preserve"> U.S. K-12 </w:t>
      </w:r>
      <w:r w:rsidR="00E82D60">
        <w:t>systems</w:t>
      </w:r>
      <w:r w:rsidR="00582280">
        <w:t xml:space="preserve"> nationwide during academic years 201</w:t>
      </w:r>
      <w:r w:rsidR="00F22419">
        <w:t>7</w:t>
      </w:r>
      <w:r w:rsidR="00582280">
        <w:t>-201</w:t>
      </w:r>
      <w:r w:rsidR="00F22419">
        <w:t>9</w:t>
      </w:r>
      <w:r w:rsidR="00582280">
        <w:t xml:space="preserve">.  </w:t>
      </w:r>
      <w:r w:rsidR="00C64554">
        <w:t xml:space="preserve">Demonstrating the feasibility of </w:t>
      </w:r>
      <w:r w:rsidR="00C639B7">
        <w:t xml:space="preserve">competency-based </w:t>
      </w:r>
      <w:r w:rsidR="00C64554">
        <w:t xml:space="preserve">personalized learning at-scale was the objective. </w:t>
      </w:r>
      <w:r w:rsidR="00247BE7">
        <w:t>These pilots employ</w:t>
      </w:r>
      <w:r w:rsidR="00F31BFD">
        <w:t>ed</w:t>
      </w:r>
      <w:r w:rsidR="00247BE7">
        <w:t xml:space="preserve"> </w:t>
      </w:r>
      <w:r w:rsidR="00247BE7" w:rsidRPr="00182B29">
        <w:rPr>
          <w:b/>
          <w:i/>
        </w:rPr>
        <w:t xml:space="preserve">criterion-referenced assessment results </w:t>
      </w:r>
      <w:r w:rsidR="005663DF" w:rsidRPr="00182B29">
        <w:rPr>
          <w:b/>
          <w:i/>
        </w:rPr>
        <w:t xml:space="preserve">— </w:t>
      </w:r>
      <w:r w:rsidR="00CE3708">
        <w:rPr>
          <w:b/>
          <w:i/>
        </w:rPr>
        <w:t xml:space="preserve">including those </w:t>
      </w:r>
      <w:r w:rsidR="005663DF" w:rsidRPr="00182B29">
        <w:rPr>
          <w:b/>
          <w:i/>
        </w:rPr>
        <w:t>from classroom-learning activities</w:t>
      </w:r>
      <w:r w:rsidR="005663DF">
        <w:t xml:space="preserve"> — </w:t>
      </w:r>
      <w:r w:rsidR="00247BE7">
        <w:t xml:space="preserve">for </w:t>
      </w:r>
      <w:r w:rsidR="00C33A44">
        <w:t>diagnos</w:t>
      </w:r>
      <w:r w:rsidR="003D567D">
        <w:t>tic purposes</w:t>
      </w:r>
      <w:r w:rsidR="00247BE7">
        <w:t>.</w:t>
      </w:r>
    </w:p>
    <w:p w:rsidR="006D6CC6" w:rsidRPr="002D2CCC" w:rsidRDefault="006D6CC6" w:rsidP="00743D63">
      <w:r w:rsidRPr="002D2CCC">
        <w:t xml:space="preserve">Maximizing each student’s opportunity to learn </w:t>
      </w:r>
      <w:r w:rsidR="006810EF">
        <w:t xml:space="preserve">[Elliott2016] </w:t>
      </w:r>
      <w:r w:rsidRPr="002D2CCC">
        <w:t xml:space="preserve">requires </w:t>
      </w:r>
      <w:r w:rsidR="00FD2AB1">
        <w:t>differentiation</w:t>
      </w:r>
      <w:r w:rsidRPr="002D2CCC">
        <w:t xml:space="preserve"> — </w:t>
      </w:r>
      <w:r w:rsidR="00FD2AB1" w:rsidRPr="002D2CCC">
        <w:t xml:space="preserve">sometimes </w:t>
      </w:r>
      <w:r w:rsidRPr="002D2CCC">
        <w:t>personaliz</w:t>
      </w:r>
      <w:r w:rsidR="00FD2AB1">
        <w:t>ation</w:t>
      </w:r>
      <w:r w:rsidRPr="002D2CCC">
        <w:t xml:space="preserve"> — </w:t>
      </w:r>
      <w:r w:rsidR="00FD2AB1">
        <w:t xml:space="preserve">of </w:t>
      </w:r>
      <w:r w:rsidRPr="002D2CCC">
        <w:t xml:space="preserve">instruction according to individual needs. Optimally achieving this </w:t>
      </w:r>
      <w:r w:rsidR="007805C1">
        <w:t xml:space="preserve">in turn </w:t>
      </w:r>
      <w:r w:rsidRPr="002D2CCC">
        <w:t xml:space="preserve">requires a detailed, continuously-evolving picture of each student’s state of proficiency. </w:t>
      </w:r>
      <w:r w:rsidR="00E1517A">
        <w:t>I</w:t>
      </w:r>
      <w:r w:rsidRPr="002D2CCC">
        <w:t>nstruction</w:t>
      </w:r>
      <w:r w:rsidR="004D4B54">
        <w:t xml:space="preserve"> is</w:t>
      </w:r>
      <w:r w:rsidRPr="002D2CCC">
        <w:t xml:space="preserve"> </w:t>
      </w:r>
      <w:r w:rsidR="00E4253E">
        <w:t>adapted</w:t>
      </w:r>
      <w:r w:rsidR="00482A08">
        <w:t xml:space="preserve"> based on individual</w:t>
      </w:r>
      <w:r w:rsidRPr="002D2CCC">
        <w:t xml:space="preserve"> strengths and weakness</w:t>
      </w:r>
      <w:r w:rsidR="00C20459">
        <w:t>es</w:t>
      </w:r>
      <w:r w:rsidRPr="002D2CCC">
        <w:t>, among other consideration</w:t>
      </w:r>
      <w:r w:rsidR="00290E9F">
        <w:t>s</w:t>
      </w:r>
      <w:r w:rsidRPr="002D2CCC">
        <w:t>.</w:t>
      </w:r>
    </w:p>
    <w:p w:rsidR="006D6CC6" w:rsidRPr="002D2CCC" w:rsidRDefault="006D6CC6" w:rsidP="00743D63">
      <w:r w:rsidRPr="002D2CCC">
        <w:t xml:space="preserve">The span and dimensionality of </w:t>
      </w:r>
      <w:r w:rsidR="006D5C24">
        <w:t>an individual learner’s</w:t>
      </w:r>
      <w:r w:rsidRPr="002D2CCC">
        <w:t xml:space="preserve"> </w:t>
      </w:r>
      <w:r w:rsidR="00290E9F">
        <w:t>proficiency-</w:t>
      </w:r>
      <w:r w:rsidRPr="002D2CCC">
        <w:t>measurand space is considerable</w:t>
      </w:r>
      <w:r w:rsidR="0063030C">
        <w:t xml:space="preserve"> [Bhola2015]</w:t>
      </w:r>
      <w:r w:rsidRPr="002D2CCC">
        <w:t xml:space="preserve">. Exhaustive measurement </w:t>
      </w:r>
      <w:r w:rsidR="00AD1886">
        <w:t>at a level of</w:t>
      </w:r>
      <w:r w:rsidR="00FC4084">
        <w:t xml:space="preserve"> </w:t>
      </w:r>
      <w:r w:rsidR="00C50815">
        <w:t>confidence</w:t>
      </w:r>
      <w:r w:rsidR="00FC4084">
        <w:t xml:space="preserve"> commensurate with </w:t>
      </w:r>
      <w:r w:rsidR="008B1F10">
        <w:t>state-</w:t>
      </w:r>
      <w:r w:rsidRPr="002D2CCC">
        <w:t>accountability</w:t>
      </w:r>
      <w:r w:rsidR="00FC4084">
        <w:t xml:space="preserve"> </w:t>
      </w:r>
      <w:r w:rsidR="00A1375F">
        <w:t>exam</w:t>
      </w:r>
      <w:r w:rsidR="008B1F10">
        <w:t>s</w:t>
      </w:r>
      <w:r w:rsidR="00A1375F">
        <w:t xml:space="preserve"> </w:t>
      </w:r>
      <w:r w:rsidRPr="002D2CCC">
        <w:t>is expensive</w:t>
      </w:r>
      <w:r w:rsidR="002D74AC">
        <w:t xml:space="preserve"> [Wainer2015]</w:t>
      </w:r>
      <w:r w:rsidRPr="002D2CCC">
        <w:t>, and can only be accomplished infrequently. Such assessments moreove</w:t>
      </w:r>
      <w:r w:rsidR="00F16743">
        <w:t>r</w:t>
      </w:r>
      <w:r w:rsidRPr="002D2CCC">
        <w:t xml:space="preserve"> inevitably under-sample students’ proficiency space.</w:t>
      </w:r>
    </w:p>
    <w:p w:rsidR="0099546A" w:rsidRPr="002D2CCC" w:rsidRDefault="00441719" w:rsidP="00743D63">
      <w:r>
        <w:t>M</w:t>
      </w:r>
      <w:r w:rsidR="006D6CC6" w:rsidRPr="002D2CCC">
        <w:t xml:space="preserve">easurements </w:t>
      </w:r>
      <w:r w:rsidR="00C92924">
        <w:t>with</w:t>
      </w:r>
      <w:r w:rsidR="00575CA9">
        <w:t xml:space="preserve"> </w:t>
      </w:r>
      <w:r w:rsidR="00420E52">
        <w:t>confidence</w:t>
      </w:r>
      <w:r w:rsidR="0084709F">
        <w:t xml:space="preserve"> levels </w:t>
      </w:r>
      <w:r w:rsidR="009A5087">
        <w:t>that are</w:t>
      </w:r>
      <w:r w:rsidR="00420E52">
        <w:t xml:space="preserve"> </w:t>
      </w:r>
      <w:r w:rsidR="009A7596">
        <w:t>lower</w:t>
      </w:r>
      <w:r w:rsidR="006D6CC6" w:rsidRPr="002D2CCC">
        <w:t xml:space="preserve"> than</w:t>
      </w:r>
      <w:r w:rsidR="00747610">
        <w:t xml:space="preserve"> those</w:t>
      </w:r>
      <w:r w:rsidR="006D6CC6" w:rsidRPr="002D2CCC">
        <w:t xml:space="preserve"> </w:t>
      </w:r>
      <w:r w:rsidR="006E14E8">
        <w:t xml:space="preserve">from </w:t>
      </w:r>
      <w:r w:rsidR="006D6CC6" w:rsidRPr="002D2CCC">
        <w:t>accountability</w:t>
      </w:r>
      <w:r w:rsidR="009A5087">
        <w:t xml:space="preserve"> </w:t>
      </w:r>
      <w:r w:rsidR="00A1375F">
        <w:t>exam</w:t>
      </w:r>
      <w:r w:rsidR="009A5087">
        <w:t>s</w:t>
      </w:r>
      <w:r w:rsidR="00D55860">
        <w:t xml:space="preserve"> </w:t>
      </w:r>
      <w:r w:rsidR="00695BE9">
        <w:t>can</w:t>
      </w:r>
      <w:r w:rsidR="002958B0">
        <w:t xml:space="preserve"> </w:t>
      </w:r>
      <w:r w:rsidR="00861AD7">
        <w:t xml:space="preserve">also </w:t>
      </w:r>
      <w:r w:rsidR="00D55860">
        <w:t>be considered</w:t>
      </w:r>
      <w:r w:rsidR="006D6CC6" w:rsidRPr="002D2CCC">
        <w:t xml:space="preserve">. </w:t>
      </w:r>
      <w:r w:rsidR="002D0361">
        <w:t>Trading</w:t>
      </w:r>
      <w:r w:rsidR="006D6CC6" w:rsidRPr="002D2CCC">
        <w:t xml:space="preserve"> off </w:t>
      </w:r>
      <w:r w:rsidR="00587F50">
        <w:t>individual-</w:t>
      </w:r>
      <w:r w:rsidR="006D6CC6" w:rsidRPr="002D2CCC">
        <w:t xml:space="preserve">measurement </w:t>
      </w:r>
      <w:r w:rsidR="00587F50">
        <w:t>confidence</w:t>
      </w:r>
      <w:r w:rsidR="006D6CC6" w:rsidRPr="002D2CCC">
        <w:t xml:space="preserve"> </w:t>
      </w:r>
      <w:r w:rsidR="002D0361">
        <w:t xml:space="preserve">can </w:t>
      </w:r>
      <w:r w:rsidR="00A877A0">
        <w:t>lead to</w:t>
      </w:r>
      <w:r w:rsidR="002D0361">
        <w:t xml:space="preserve"> greater</w:t>
      </w:r>
      <w:r w:rsidR="006D6CC6" w:rsidRPr="002D2CCC">
        <w:t xml:space="preserve"> frequency and coverage</w:t>
      </w:r>
      <w:r w:rsidR="00DC1056">
        <w:t xml:space="preserve"> </w:t>
      </w:r>
      <w:r w:rsidR="00DC1056" w:rsidRPr="002D2CCC">
        <w:t>density</w:t>
      </w:r>
      <w:r w:rsidR="006D6CC6" w:rsidRPr="002D2CCC">
        <w:t xml:space="preserve">. </w:t>
      </w:r>
      <w:r w:rsidR="00997D79">
        <w:t>As eviden</w:t>
      </w:r>
      <w:r w:rsidR="00C51A0E">
        <w:t>tiary measurements</w:t>
      </w:r>
      <w:r w:rsidR="00997D79">
        <w:t xml:space="preserve"> accrue, </w:t>
      </w:r>
      <w:r w:rsidR="00D42AD6">
        <w:t>a</w:t>
      </w:r>
      <w:r w:rsidR="00322DA7">
        <w:t xml:space="preserve"> </w:t>
      </w:r>
      <w:r w:rsidR="00D42AD6">
        <w:t xml:space="preserve">more-complete, higher-confidence </w:t>
      </w:r>
      <w:r w:rsidR="0084666A">
        <w:t xml:space="preserve">overall </w:t>
      </w:r>
      <w:r w:rsidR="006C512F">
        <w:t xml:space="preserve">proficiency </w:t>
      </w:r>
      <w:r w:rsidR="00D42AD6">
        <w:t xml:space="preserve">picture </w:t>
      </w:r>
      <w:r w:rsidR="008237BB">
        <w:t>emerges.</w:t>
      </w:r>
      <w:r w:rsidR="000E03CC">
        <w:t xml:space="preserve"> </w:t>
      </w:r>
      <w:r w:rsidR="00322DA7">
        <w:t>A</w:t>
      </w:r>
      <w:r w:rsidR="000E03CC">
        <w:t>ccountability</w:t>
      </w:r>
      <w:r w:rsidR="00A21C4B">
        <w:t xml:space="preserve">-exam-level </w:t>
      </w:r>
      <w:r w:rsidR="00587F50">
        <w:t xml:space="preserve">confidence </w:t>
      </w:r>
      <w:r w:rsidR="000E03CC">
        <w:t xml:space="preserve">measurements </w:t>
      </w:r>
      <w:r w:rsidR="00AB6982">
        <w:t>can be combined</w:t>
      </w:r>
      <w:r w:rsidR="000E03CC">
        <w:t xml:space="preserve"> with </w:t>
      </w:r>
      <w:r w:rsidR="0028771A">
        <w:t>others</w:t>
      </w:r>
      <w:r w:rsidR="000E03CC">
        <w:t xml:space="preserve"> of lower </w:t>
      </w:r>
      <w:r w:rsidR="0076752F">
        <w:t>confidence</w:t>
      </w:r>
      <w:r w:rsidR="000E03CC">
        <w:t xml:space="preserve"> to </w:t>
      </w:r>
      <w:r w:rsidR="00F72311">
        <w:t>assemble</w:t>
      </w:r>
      <w:r w:rsidR="000E03CC">
        <w:t xml:space="preserve"> a comprehensive, </w:t>
      </w:r>
      <w:r w:rsidR="006B4DFE">
        <w:t>continuously-</w:t>
      </w:r>
      <w:r w:rsidR="000E03CC">
        <w:t>evolving picture.</w:t>
      </w:r>
    </w:p>
    <w:p w:rsidR="003F2F45" w:rsidRDefault="004311C2" w:rsidP="00743D63">
      <w:pPr>
        <w:sectPr w:rsidR="003F2F45" w:rsidSect="00225973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Fusing</w:t>
      </w:r>
      <w:r w:rsidR="00D13F9B" w:rsidRPr="002D2CCC">
        <w:t xml:space="preserve"> together three well-known educational frameworks</w:t>
      </w:r>
      <w:r w:rsidR="00D13F9B">
        <w:t xml:space="preserve"> </w:t>
      </w:r>
      <w:r>
        <w:t xml:space="preserve">leads to </w:t>
      </w:r>
      <w:r w:rsidR="00E14091">
        <w:t xml:space="preserve">just </w:t>
      </w:r>
      <w:r>
        <w:t xml:space="preserve">such a </w:t>
      </w:r>
      <w:r w:rsidR="0095044C">
        <w:t xml:space="preserve">continuous-diagnostic </w:t>
      </w:r>
      <w:r w:rsidR="00864453">
        <w:t>methodology</w:t>
      </w:r>
      <w:r w:rsidR="008B751B" w:rsidRPr="002D2CCC">
        <w:t xml:space="preserve">. </w:t>
      </w:r>
      <w:r w:rsidR="00DE04B8">
        <w:t xml:space="preserve">Figure 1 illustrates. </w:t>
      </w:r>
      <w:r w:rsidR="006447CB" w:rsidRPr="002D2CCC">
        <w:t>Curriculum Alignment</w:t>
      </w:r>
      <w:r w:rsidR="00722DD1" w:rsidRPr="002D2CCC">
        <w:t xml:space="preserve"> (CA)</w:t>
      </w:r>
      <w:r w:rsidR="006447CB" w:rsidRPr="002D2CCC">
        <w:t xml:space="preserve"> provides </w:t>
      </w:r>
      <w:r w:rsidR="00095017" w:rsidRPr="002D2CCC">
        <w:t xml:space="preserve">the overarching </w:t>
      </w:r>
      <w:r w:rsidR="003A2F12" w:rsidRPr="002D2CCC">
        <w:t>integrative framework for Curriculum Instruction and Assessments</w:t>
      </w:r>
      <w:r w:rsidR="00CA7CD8" w:rsidRPr="002D2CCC">
        <w:t xml:space="preserve"> (CIA)</w:t>
      </w:r>
      <w:r w:rsidR="000966BB" w:rsidRPr="000966BB">
        <w:t xml:space="preserve"> </w:t>
      </w:r>
      <w:r w:rsidR="000966BB">
        <w:t>[Porter2001]</w:t>
      </w:r>
      <w:r w:rsidR="003A2F12" w:rsidRPr="002D2CCC">
        <w:t xml:space="preserve">. </w:t>
      </w:r>
      <w:r w:rsidR="00571E60">
        <w:t>It</w:t>
      </w:r>
      <w:r w:rsidR="001C54F9">
        <w:t xml:space="preserve"> contains important parallels </w:t>
      </w:r>
      <w:r w:rsidR="00CE1EA0">
        <w:t>to Evidence-Centered Design (ECD)</w:t>
      </w:r>
      <w:r w:rsidR="000A2ED8">
        <w:t>,</w:t>
      </w:r>
      <w:r w:rsidR="00B37FD1">
        <w:t xml:space="preserve"> Figure 2</w:t>
      </w:r>
      <w:r w:rsidR="000A2ED8">
        <w:t>,</w:t>
      </w:r>
      <w:r w:rsidR="00CE1EA0">
        <w:t xml:space="preserve"> which enjoys near-paradigmatic status as a framework for Diagnostic Cognitive Modeling</w:t>
      </w:r>
      <w:r w:rsidR="00CB16F1">
        <w:t xml:space="preserve"> (DCM)</w:t>
      </w:r>
      <w:r w:rsidR="00CE1EA0" w:rsidRPr="002D2CCC">
        <w:t xml:space="preserve"> [Mislevy2003, </w:t>
      </w:r>
      <w:r w:rsidR="00CE1EA0">
        <w:t xml:space="preserve">Rupp2010, </w:t>
      </w:r>
      <w:r w:rsidR="00CE1EA0" w:rsidRPr="002D2CCC">
        <w:t>Haertel2016]</w:t>
      </w:r>
      <w:r w:rsidR="00CE1EA0">
        <w:t>.</w:t>
      </w:r>
      <w:r w:rsidR="00FE72CE">
        <w:t xml:space="preserve"> </w:t>
      </w:r>
      <w:r w:rsidR="00CA7CD8" w:rsidRPr="004A1A38">
        <w:rPr>
          <w:b/>
          <w:i/>
        </w:rPr>
        <w:t xml:space="preserve">CIA </w:t>
      </w:r>
      <w:r w:rsidR="00F76FBC">
        <w:rPr>
          <w:b/>
          <w:i/>
        </w:rPr>
        <w:t xml:space="preserve">thereby </w:t>
      </w:r>
      <w:r w:rsidR="00CA7CD8" w:rsidRPr="004A1A38">
        <w:rPr>
          <w:b/>
          <w:i/>
        </w:rPr>
        <w:t xml:space="preserve">becomes a system for continuous diagnostic </w:t>
      </w:r>
      <w:r w:rsidR="00931D34" w:rsidRPr="004A1A38">
        <w:rPr>
          <w:b/>
          <w:i/>
        </w:rPr>
        <w:t>measurement</w:t>
      </w:r>
      <w:r w:rsidR="00931D34" w:rsidRPr="002D2CCC">
        <w:t xml:space="preserve">. </w:t>
      </w:r>
    </w:p>
    <w:p w:rsidR="00FE72CE" w:rsidRDefault="00FE72CE" w:rsidP="00743D63"/>
    <w:p w:rsidR="00C67C26" w:rsidRDefault="00722DD1" w:rsidP="00743D63">
      <w:r w:rsidRPr="002D2CCC">
        <w:lastRenderedPageBreak/>
        <w:t xml:space="preserve">The </w:t>
      </w:r>
      <w:r w:rsidR="00F84F15" w:rsidRPr="002D2CCC">
        <w:t xml:space="preserve">CA </w:t>
      </w:r>
      <w:r w:rsidR="0063354F" w:rsidRPr="00D47CF9">
        <w:rPr>
          <w:i/>
        </w:rPr>
        <w:t>Intended Curriculum</w:t>
      </w:r>
      <w:r w:rsidR="0063354F" w:rsidRPr="002D2CCC">
        <w:t xml:space="preserve"> (</w:t>
      </w:r>
      <w:r w:rsidR="00C9162A" w:rsidRPr="002D2CCC">
        <w:t>ECD</w:t>
      </w:r>
      <w:r w:rsidR="004C4D72">
        <w:t xml:space="preserve"> </w:t>
      </w:r>
      <w:r w:rsidR="004C4D72" w:rsidRPr="002D2CCC">
        <w:t>Proficiency Model</w:t>
      </w:r>
      <w:r w:rsidR="00C9162A" w:rsidRPr="002D2CCC">
        <w:t xml:space="preserve">) specifies </w:t>
      </w:r>
      <w:r w:rsidR="00E51955">
        <w:t xml:space="preserve">proficiency </w:t>
      </w:r>
      <w:r w:rsidR="00A4724C" w:rsidRPr="002D2CCC">
        <w:t xml:space="preserve">measurands. </w:t>
      </w:r>
      <w:r w:rsidR="005C7A03">
        <w:t>These</w:t>
      </w:r>
      <w:r w:rsidR="001E08B9" w:rsidRPr="002D2CCC">
        <w:t xml:space="preserve"> prescribe knowledge the learner obtain</w:t>
      </w:r>
      <w:r w:rsidR="00BA1A8D">
        <w:t>s</w:t>
      </w:r>
      <w:r w:rsidR="001E08B9" w:rsidRPr="002D2CCC">
        <w:t xml:space="preserve"> </w:t>
      </w:r>
      <w:r w:rsidR="004A05F3">
        <w:t>from</w:t>
      </w:r>
      <w:r w:rsidR="001E08B9" w:rsidRPr="002D2CCC">
        <w:t xml:space="preserve"> the curriculum. </w:t>
      </w:r>
      <w:r w:rsidR="005E024C">
        <w:t>E</w:t>
      </w:r>
      <w:r w:rsidR="00BD6D3A">
        <w:t>ducational learning standards typically provide proficiency specifications</w:t>
      </w:r>
      <w:r w:rsidR="005E024C">
        <w:t xml:space="preserve"> </w:t>
      </w:r>
      <w:r w:rsidR="007010B2">
        <w:t>w</w:t>
      </w:r>
      <w:r w:rsidR="005E024C">
        <w:t>ithin U.S. K-12</w:t>
      </w:r>
      <w:r w:rsidR="00792A63">
        <w:t xml:space="preserve"> systems</w:t>
      </w:r>
      <w:r w:rsidR="00BD6D3A">
        <w:t>.</w:t>
      </w:r>
    </w:p>
    <w:p w:rsidR="00881E00" w:rsidRPr="002D2CCC" w:rsidRDefault="001E08B9" w:rsidP="00743D63">
      <w:r w:rsidRPr="002D2CCC">
        <w:t xml:space="preserve">Often a policy statement, the </w:t>
      </w:r>
      <w:r w:rsidR="00345B31" w:rsidRPr="002D2CCC">
        <w:t xml:space="preserve">Intended Curriculum also describes the high-level </w:t>
      </w:r>
      <w:r w:rsidR="00D66C5A">
        <w:t xml:space="preserve">curricular </w:t>
      </w:r>
      <w:r w:rsidR="00345B31" w:rsidRPr="002D2CCC">
        <w:t>organization</w:t>
      </w:r>
      <w:r w:rsidR="00E07CFA">
        <w:t xml:space="preserve">. </w:t>
      </w:r>
      <w:r w:rsidR="00C6691E">
        <w:t>This</w:t>
      </w:r>
      <w:r w:rsidR="00345B31" w:rsidRPr="002D2CCC">
        <w:t xml:space="preserve"> typically</w:t>
      </w:r>
      <w:r w:rsidR="00C6691E">
        <w:t xml:space="preserve"> appears</w:t>
      </w:r>
      <w:r w:rsidR="00345B31" w:rsidRPr="002D2CCC">
        <w:t xml:space="preserve"> in </w:t>
      </w:r>
      <w:r w:rsidR="00A93C62">
        <w:t>the form</w:t>
      </w:r>
      <w:r w:rsidR="00345B31" w:rsidRPr="002D2CCC">
        <w:t xml:space="preserve"> of academic courses and </w:t>
      </w:r>
      <w:r w:rsidR="00A10348">
        <w:t xml:space="preserve">their </w:t>
      </w:r>
      <w:r w:rsidR="005023C6" w:rsidRPr="002D2CCC">
        <w:t>constituent instructional units.</w:t>
      </w:r>
      <w:r w:rsidR="00403FDD">
        <w:t xml:space="preserve"> </w:t>
      </w:r>
      <w:r w:rsidR="00F228DC">
        <w:t xml:space="preserve"> The</w:t>
      </w:r>
      <w:r w:rsidR="00403FDD">
        <w:t xml:space="preserve"> structural view can be thought of as analogous to an ECD Assembly Model.</w:t>
      </w:r>
    </w:p>
    <w:p w:rsidR="00E45CC2" w:rsidRDefault="00C46695" w:rsidP="00743D63">
      <w:r>
        <w:t>Understanding by Design (</w:t>
      </w:r>
      <w:proofErr w:type="spellStart"/>
      <w:r w:rsidR="006F3A7D" w:rsidRPr="002D2CCC">
        <w:t>UbD</w:t>
      </w:r>
      <w:proofErr w:type="spellEnd"/>
      <w:r>
        <w:t>)</w:t>
      </w:r>
      <w:r w:rsidR="006F3A7D" w:rsidRPr="002D2CCC">
        <w:t xml:space="preserve"> </w:t>
      </w:r>
      <w:r w:rsidR="00457AF1">
        <w:t>frames the</w:t>
      </w:r>
      <w:r w:rsidR="006F3A7D" w:rsidRPr="002D2CCC">
        <w:t xml:space="preserve"> CA </w:t>
      </w:r>
      <w:r w:rsidR="006F3A7D" w:rsidRPr="00D47CF9">
        <w:rPr>
          <w:i/>
        </w:rPr>
        <w:t>Enacted Curriculum</w:t>
      </w:r>
      <w:r w:rsidR="006F3A7D" w:rsidRPr="002D2CCC">
        <w:t xml:space="preserve">, </w:t>
      </w:r>
      <w:r w:rsidR="00ED0F21">
        <w:t>analogous to</w:t>
      </w:r>
      <w:r w:rsidR="006F3A7D" w:rsidRPr="002D2CCC">
        <w:t xml:space="preserve"> the ECD</w:t>
      </w:r>
      <w:r w:rsidR="001E572B" w:rsidRPr="002D2CCC">
        <w:t xml:space="preserve"> Task Model. </w:t>
      </w:r>
      <w:proofErr w:type="spellStart"/>
      <w:r w:rsidR="00822BC3" w:rsidRPr="002D2CCC">
        <w:t>UbD</w:t>
      </w:r>
      <w:proofErr w:type="spellEnd"/>
      <w:r w:rsidR="00822BC3" w:rsidRPr="002D2CCC">
        <w:t xml:space="preserve"> </w:t>
      </w:r>
      <w:r w:rsidR="00F942CB">
        <w:t>considers</w:t>
      </w:r>
      <w:r w:rsidR="00B86054" w:rsidRPr="002D2CCC">
        <w:t xml:space="preserve"> </w:t>
      </w:r>
      <w:r w:rsidR="00F4016F" w:rsidRPr="002D2CCC">
        <w:t>"...evidence gathered through a variety of formal and informal assessments during a unit of study or a course … «including» traditional quizzes and tests, performance tasks and projects, observations and dialogues, as well as students’ self-assessments gathered over time"</w:t>
      </w:r>
      <w:r w:rsidR="00B86054" w:rsidRPr="002D2CCC">
        <w:t xml:space="preserve"> [Wiggins2005]. </w:t>
      </w:r>
      <w:r w:rsidR="00F57B6A" w:rsidRPr="008F727D">
        <w:rPr>
          <w:b/>
          <w:i/>
        </w:rPr>
        <w:t>Recognizing</w:t>
      </w:r>
      <w:r w:rsidR="00B94DF1" w:rsidRPr="008F727D">
        <w:rPr>
          <w:b/>
          <w:i/>
        </w:rPr>
        <w:t xml:space="preserve"> </w:t>
      </w:r>
      <w:r w:rsidR="00E45CC2" w:rsidRPr="008F727D">
        <w:rPr>
          <w:b/>
          <w:i/>
        </w:rPr>
        <w:t xml:space="preserve">that </w:t>
      </w:r>
      <w:proofErr w:type="spellStart"/>
      <w:r w:rsidR="00B94DF1" w:rsidRPr="008F727D">
        <w:rPr>
          <w:b/>
          <w:i/>
        </w:rPr>
        <w:t>UbD</w:t>
      </w:r>
      <w:proofErr w:type="spellEnd"/>
      <w:r w:rsidR="00B94DF1" w:rsidRPr="008F727D">
        <w:rPr>
          <w:b/>
          <w:i/>
        </w:rPr>
        <w:t xml:space="preserve"> </w:t>
      </w:r>
      <w:r w:rsidR="00CA0F02" w:rsidRPr="008F727D">
        <w:rPr>
          <w:b/>
          <w:i/>
        </w:rPr>
        <w:t>casts</w:t>
      </w:r>
      <w:r w:rsidR="00E45CC2" w:rsidRPr="008F727D">
        <w:rPr>
          <w:b/>
          <w:i/>
        </w:rPr>
        <w:t xml:space="preserve"> </w:t>
      </w:r>
      <w:r w:rsidR="00F57B6A" w:rsidRPr="008F727D">
        <w:rPr>
          <w:b/>
          <w:i/>
        </w:rPr>
        <w:t xml:space="preserve">classroom learning </w:t>
      </w:r>
      <w:r w:rsidR="00C47FF9" w:rsidRPr="008F727D">
        <w:rPr>
          <w:b/>
          <w:i/>
        </w:rPr>
        <w:t xml:space="preserve">in part </w:t>
      </w:r>
      <w:r w:rsidR="00E45CC2" w:rsidRPr="008F727D">
        <w:rPr>
          <w:b/>
          <w:i/>
        </w:rPr>
        <w:t>as evidentiary accrual represents the key point</w:t>
      </w:r>
      <w:r w:rsidR="00E45CC2">
        <w:t>.</w:t>
      </w:r>
      <w:r w:rsidR="006D5B84">
        <w:t xml:space="preserve"> Marzano </w:t>
      </w:r>
      <w:r w:rsidR="00F878DA">
        <w:t xml:space="preserve">further </w:t>
      </w:r>
      <w:r w:rsidR="00CD3E1F">
        <w:t>describes</w:t>
      </w:r>
      <w:r w:rsidR="006565BE">
        <w:t xml:space="preserve"> </w:t>
      </w:r>
      <w:r w:rsidR="006F1A25">
        <w:t>sharpen</w:t>
      </w:r>
      <w:r w:rsidR="00CD3E1F">
        <w:t xml:space="preserve">ing </w:t>
      </w:r>
      <w:r w:rsidR="006565BE">
        <w:t>of instruction</w:t>
      </w:r>
      <w:r w:rsidR="009E5EB8">
        <w:t>al targeting</w:t>
      </w:r>
      <w:r w:rsidR="006565BE">
        <w:t xml:space="preserve"> </w:t>
      </w:r>
      <w:r w:rsidR="00CB6084">
        <w:t>to</w:t>
      </w:r>
      <w:r w:rsidR="006565BE">
        <w:t xml:space="preserve"> </w:t>
      </w:r>
      <w:r w:rsidR="001E6ECE">
        <w:t xml:space="preserve">improve evidentiary confidence </w:t>
      </w:r>
      <w:r w:rsidR="005F4D30">
        <w:t>from learning activities</w:t>
      </w:r>
      <w:r w:rsidR="00CD3E1F">
        <w:t xml:space="preserve"> [Marzano2008]</w:t>
      </w:r>
      <w:r w:rsidR="006565BE">
        <w:t>.</w:t>
      </w:r>
    </w:p>
    <w:p w:rsidR="00AF2D01" w:rsidRDefault="00E45CC2" w:rsidP="00743D63">
      <w:r>
        <w:t xml:space="preserve">The CA </w:t>
      </w:r>
      <w:r w:rsidR="005F51EE" w:rsidRPr="00D47CF9">
        <w:rPr>
          <w:i/>
        </w:rPr>
        <w:t>A</w:t>
      </w:r>
      <w:r w:rsidRPr="00D47CF9">
        <w:rPr>
          <w:i/>
        </w:rPr>
        <w:t xml:space="preserve">ssessed </w:t>
      </w:r>
      <w:r w:rsidR="005F51EE" w:rsidRPr="00D47CF9">
        <w:rPr>
          <w:i/>
        </w:rPr>
        <w:t>C</w:t>
      </w:r>
      <w:r w:rsidRPr="00D47CF9">
        <w:rPr>
          <w:i/>
        </w:rPr>
        <w:t>urriculum</w:t>
      </w:r>
      <w:r>
        <w:t xml:space="preserve"> — analogous to the ECD Evidence Model </w:t>
      </w:r>
      <w:r w:rsidR="005B51A4">
        <w:t xml:space="preserve">— </w:t>
      </w:r>
      <w:r w:rsidR="005F51EE">
        <w:t xml:space="preserve">describes the </w:t>
      </w:r>
      <w:r w:rsidR="003A1ACD">
        <w:t>aggregation</w:t>
      </w:r>
      <w:r w:rsidR="005F51EE">
        <w:t xml:space="preserve"> of </w:t>
      </w:r>
      <w:r w:rsidR="009326FD">
        <w:t xml:space="preserve">the entire body of evidence </w:t>
      </w:r>
      <w:r w:rsidR="00634EF8">
        <w:t>attesting to each learner’s</w:t>
      </w:r>
      <w:r w:rsidR="005B6D6F">
        <w:t xml:space="preserve"> overall</w:t>
      </w:r>
      <w:r w:rsidR="00634EF8">
        <w:t xml:space="preserve"> state of proficiency. The ECD Evidence Model also specifies how to translate this body of evidence into the </w:t>
      </w:r>
      <w:r w:rsidR="00634EF8" w:rsidRPr="00BE1945">
        <w:rPr>
          <w:i/>
        </w:rPr>
        <w:t>Learned Curriculum</w:t>
      </w:r>
      <w:r w:rsidR="00634EF8">
        <w:t>.</w:t>
      </w:r>
    </w:p>
    <w:p w:rsidR="00493CB2" w:rsidRDefault="00E25B28" w:rsidP="00743D63">
      <w:r>
        <w:t xml:space="preserve">The </w:t>
      </w:r>
      <w:r w:rsidR="00276ECE">
        <w:t xml:space="preserve">Learned Curriculum </w:t>
      </w:r>
      <w:r w:rsidR="00084413">
        <w:t xml:space="preserve">represents </w:t>
      </w:r>
      <w:r w:rsidR="00C91C72">
        <w:t>a view of</w:t>
      </w:r>
      <w:r w:rsidR="00084413">
        <w:t xml:space="preserve"> </w:t>
      </w:r>
      <w:r w:rsidR="008A638F">
        <w:t>a student’s actual state of</w:t>
      </w:r>
      <w:r w:rsidR="00084413">
        <w:t xml:space="preserve"> proficiency</w:t>
      </w:r>
      <w:r w:rsidR="00CF5AE1">
        <w:t>, as well as associated degree</w:t>
      </w:r>
      <w:r w:rsidR="00C0607D">
        <w:t>s</w:t>
      </w:r>
      <w:r w:rsidR="00CF5AE1">
        <w:t xml:space="preserve"> of confidence</w:t>
      </w:r>
      <w:r w:rsidR="0021018E">
        <w:t xml:space="preserve"> </w:t>
      </w:r>
      <w:r w:rsidR="009F62AB">
        <w:t>thereabout</w:t>
      </w:r>
      <w:r w:rsidR="00084413">
        <w:t>.</w:t>
      </w:r>
      <w:r w:rsidR="002D4463">
        <w:t xml:space="preserve"> It contains estimates of all measurands —</w:t>
      </w:r>
      <w:r w:rsidR="00946ED0">
        <w:t xml:space="preserve"> </w:t>
      </w:r>
      <w:r w:rsidR="002D4463">
        <w:t>proficiency</w:t>
      </w:r>
      <w:r w:rsidR="00946ED0">
        <w:t xml:space="preserve"> factors</w:t>
      </w:r>
      <w:r w:rsidR="002D4463">
        <w:t xml:space="preserve"> — within the curricular span of interest. </w:t>
      </w:r>
      <w:r w:rsidR="00084413">
        <w:t xml:space="preserve"> </w:t>
      </w:r>
      <w:r w:rsidR="00F93DAD">
        <w:t>DCM</w:t>
      </w:r>
      <w:r w:rsidR="002E6DFC">
        <w:t>s</w:t>
      </w:r>
      <w:r w:rsidR="00F93DAD">
        <w:t xml:space="preserve"> </w:t>
      </w:r>
      <w:r w:rsidR="00C843AF">
        <w:t>infer</w:t>
      </w:r>
      <w:r w:rsidR="00F93DAD">
        <w:t xml:space="preserve"> this from the body of evidence</w:t>
      </w:r>
      <w:r w:rsidR="00A8501E">
        <w:t xml:space="preserve"> in-aggregate</w:t>
      </w:r>
      <w:r w:rsidR="00276ECE">
        <w:t xml:space="preserve">. </w:t>
      </w:r>
    </w:p>
    <w:p w:rsidR="00AD3275" w:rsidRDefault="004607B4" w:rsidP="00743D63">
      <w:r>
        <w:t>Proficiency-state estimates from a</w:t>
      </w:r>
      <w:r w:rsidR="00050F9E">
        <w:t xml:space="preserve"> suitably-designed DCM </w:t>
      </w:r>
      <w:r w:rsidR="007E398D">
        <w:t xml:space="preserve">are not limited to </w:t>
      </w:r>
      <w:r w:rsidR="0013479E">
        <w:t xml:space="preserve">directly-measured </w:t>
      </w:r>
      <w:r w:rsidR="007E398D">
        <w:t>learning standards</w:t>
      </w:r>
      <w:r w:rsidR="00731C97">
        <w:t xml:space="preserve">. </w:t>
      </w:r>
      <w:r w:rsidR="00232702">
        <w:t xml:space="preserve">Learning-standard progressions describe </w:t>
      </w:r>
      <w:r w:rsidR="0048244C">
        <w:t xml:space="preserve">how </w:t>
      </w:r>
      <w:r w:rsidR="009833C2">
        <w:t>mastering</w:t>
      </w:r>
      <w:r w:rsidR="0048244C">
        <w:t xml:space="preserve"> one standard depends upon proficiency in </w:t>
      </w:r>
      <w:r w:rsidR="009833C2">
        <w:t>prerequisites</w:t>
      </w:r>
      <w:r w:rsidR="0048244C">
        <w:t xml:space="preserve"> [Stevens2002]. Zimba  built a directed</w:t>
      </w:r>
      <w:r w:rsidR="008A1B54">
        <w:t>-</w:t>
      </w:r>
      <w:r w:rsidR="0048244C">
        <w:t xml:space="preserve">graph </w:t>
      </w:r>
      <w:r w:rsidR="0015612E">
        <w:t>view of the</w:t>
      </w:r>
      <w:r w:rsidR="0048244C">
        <w:t xml:space="preserve"> progression</w:t>
      </w:r>
      <w:r w:rsidR="0015612E">
        <w:t xml:space="preserve"> of</w:t>
      </w:r>
      <w:r w:rsidR="0048244C">
        <w:t xml:space="preserve"> Common-Core State Standards (CCSS) for Math</w:t>
      </w:r>
      <w:r w:rsidR="008A21A9">
        <w:t xml:space="preserve"> [Zimba2012]</w:t>
      </w:r>
      <w:r w:rsidR="0048244C">
        <w:t xml:space="preserve">. </w:t>
      </w:r>
      <w:r w:rsidR="00556311">
        <w:t>Th</w:t>
      </w:r>
      <w:r w:rsidR="007C63F8">
        <w:t>is a</w:t>
      </w:r>
      <w:r w:rsidR="00556311">
        <w:t>llows for a DCM based on a Bayesian Network [Rupp2010, Almond2015].</w:t>
      </w:r>
    </w:p>
    <w:p w:rsidR="0043716F" w:rsidRPr="001516C8" w:rsidRDefault="00C27268" w:rsidP="00743D63">
      <w:r>
        <w:t>Aggregating</w:t>
      </w:r>
      <w:r w:rsidR="00556311">
        <w:t xml:space="preserve"> a </w:t>
      </w:r>
      <w:r w:rsidR="006A069F">
        <w:t xml:space="preserve">mixed-confidence </w:t>
      </w:r>
      <w:r w:rsidR="00556311">
        <w:t xml:space="preserve">body of evidence to a DCM </w:t>
      </w:r>
      <w:r w:rsidR="00866ECD">
        <w:t>requires particular attention</w:t>
      </w:r>
      <w:r w:rsidR="00556311">
        <w:t xml:space="preserve">. </w:t>
      </w:r>
      <w:r w:rsidR="000545B1">
        <w:t xml:space="preserve">The </w:t>
      </w:r>
      <w:r w:rsidR="00556311">
        <w:t>Theory of Evidence</w:t>
      </w:r>
      <w:r w:rsidR="00A25021">
        <w:t xml:space="preserve"> (</w:t>
      </w:r>
      <w:proofErr w:type="spellStart"/>
      <w:r w:rsidR="00A25021">
        <w:t>ToE</w:t>
      </w:r>
      <w:proofErr w:type="spellEnd"/>
      <w:r w:rsidR="00A25021">
        <w:t>)</w:t>
      </w:r>
      <w:r w:rsidR="00556311">
        <w:t xml:space="preserve"> </w:t>
      </w:r>
      <w:r w:rsidR="00C71A1F">
        <w:t>gives a</w:t>
      </w:r>
      <w:r w:rsidR="00C42C79">
        <w:t xml:space="preserve"> formal probabilistic framework</w:t>
      </w:r>
      <w:r w:rsidR="00C71A1F">
        <w:t xml:space="preserve"> for this</w:t>
      </w:r>
      <w:r w:rsidR="004544C5">
        <w:t xml:space="preserve"> [Shafer1976, Salicone2007]</w:t>
      </w:r>
      <w:r w:rsidR="00A25021">
        <w:t xml:space="preserve">. </w:t>
      </w:r>
      <w:r w:rsidR="000D76F6">
        <w:t xml:space="preserve">Almond </w:t>
      </w:r>
      <w:r w:rsidR="00F61DAD">
        <w:t>describe</w:t>
      </w:r>
      <w:r w:rsidR="003B0E71">
        <w:t>d</w:t>
      </w:r>
      <w:r w:rsidR="00F61DAD">
        <w:t xml:space="preserve"> a graphical</w:t>
      </w:r>
      <w:r w:rsidR="00E6193E">
        <w:t xml:space="preserve">-modeling approach </w:t>
      </w:r>
      <w:r w:rsidR="001D2BED">
        <w:t>based on</w:t>
      </w:r>
      <w:r w:rsidR="00DF12D1">
        <w:t xml:space="preserve"> </w:t>
      </w:r>
      <w:proofErr w:type="spellStart"/>
      <w:r w:rsidR="00DF12D1">
        <w:t>ToE</w:t>
      </w:r>
      <w:proofErr w:type="spellEnd"/>
      <w:r w:rsidR="00504754">
        <w:t xml:space="preserve"> [Almond1995]</w:t>
      </w:r>
      <w:r w:rsidR="00DF12D1">
        <w:t xml:space="preserve">.  IBM’s </w:t>
      </w:r>
      <w:r w:rsidR="00CE156F">
        <w:t xml:space="preserve">continuous-diagnosis </w:t>
      </w:r>
      <w:r w:rsidR="00DF12D1">
        <w:t xml:space="preserve">pilot employs </w:t>
      </w:r>
      <w:r w:rsidR="00997D79">
        <w:t>a Bay</w:t>
      </w:r>
      <w:r w:rsidR="00BD5BA8">
        <w:t xml:space="preserve">esian-Network adaptation that </w:t>
      </w:r>
      <w:r w:rsidR="009E3FFB">
        <w:t xml:space="preserve">functionally </w:t>
      </w:r>
      <w:r w:rsidR="00BD5BA8">
        <w:t>approximates Almond’s approach.</w:t>
      </w:r>
    </w:p>
    <w:p w:rsidR="0062466C" w:rsidRDefault="007B3FE2" w:rsidP="006D6CC6">
      <w:r>
        <w:t>Interpretation</w:t>
      </w:r>
      <w:r w:rsidR="00E879C2">
        <w:t xml:space="preserve"> of</w:t>
      </w:r>
      <w:r>
        <w:t xml:space="preserve"> </w:t>
      </w:r>
      <w:r w:rsidR="00347762">
        <w:t>DCM proficiency-state estimates for</w:t>
      </w:r>
      <w:r w:rsidR="00DB1DD5">
        <w:t xml:space="preserve"> distinct learning standards varies depending on their graphical location </w:t>
      </w:r>
      <w:r w:rsidR="00737367">
        <w:t>with respect</w:t>
      </w:r>
      <w:r w:rsidR="005F1942">
        <w:t xml:space="preserve"> to</w:t>
      </w:r>
      <w:r w:rsidR="00737367">
        <w:t xml:space="preserve"> </w:t>
      </w:r>
      <w:r w:rsidR="002C0874">
        <w:t>directly-measured standards</w:t>
      </w:r>
      <w:r w:rsidR="00707448">
        <w:t xml:space="preserve">. </w:t>
      </w:r>
      <w:r w:rsidR="00303C4D">
        <w:t xml:space="preserve">Location in terms of directed-graph topological order is key. </w:t>
      </w:r>
      <w:r w:rsidR="00871950">
        <w:t>Estimates</w:t>
      </w:r>
      <w:r w:rsidR="002B38C8">
        <w:t xml:space="preserve"> for </w:t>
      </w:r>
      <w:r w:rsidR="008E45E1">
        <w:t>not-assessed</w:t>
      </w:r>
      <w:r w:rsidR="002B38C8">
        <w:t xml:space="preserve"> </w:t>
      </w:r>
      <w:r w:rsidR="002B38C8">
        <w:lastRenderedPageBreak/>
        <w:t xml:space="preserve">learning standards topologically preceding </w:t>
      </w:r>
      <w:r w:rsidR="00EC04CF">
        <w:t>directly-measured ones are</w:t>
      </w:r>
      <w:r w:rsidR="002B38C8">
        <w:t xml:space="preserve"> retrospectively diagnostic. </w:t>
      </w:r>
      <w:r w:rsidR="00AE1C8B">
        <w:t xml:space="preserve">They indicate </w:t>
      </w:r>
      <w:r w:rsidR="00E71A0D">
        <w:t xml:space="preserve">likely </w:t>
      </w:r>
      <w:r w:rsidR="00AE1C8B">
        <w:t xml:space="preserve">strengths </w:t>
      </w:r>
      <w:r w:rsidR="00310310">
        <w:t xml:space="preserve">or weaknesses. </w:t>
      </w:r>
      <w:r w:rsidR="0062466C">
        <w:t xml:space="preserve">Estimates for which all measurements are topological predecessors </w:t>
      </w:r>
      <w:r w:rsidR="004B5120">
        <w:t xml:space="preserve">in contrast </w:t>
      </w:r>
      <w:r w:rsidR="0062466C">
        <w:t xml:space="preserve">indicate readiness </w:t>
      </w:r>
      <w:r w:rsidR="00711694">
        <w:t>to engage</w:t>
      </w:r>
      <w:r w:rsidR="0062466C">
        <w:t xml:space="preserve"> the associated content.</w:t>
      </w:r>
    </w:p>
    <w:p w:rsidR="00215B75" w:rsidRDefault="00970363" w:rsidP="006D6CC6">
      <w:r>
        <w:t xml:space="preserve">Retrospective diagnosis </w:t>
      </w:r>
      <w:r w:rsidR="008718D2">
        <w:t>allows teachers to triangulate areas of weakness for individual learners</w:t>
      </w:r>
      <w:r w:rsidR="00872CD4">
        <w:t xml:space="preserve">. Localized weaknesses are addressed </w:t>
      </w:r>
      <w:r w:rsidR="00554E51">
        <w:t xml:space="preserve">through incorporating scaffolding into instruction, or </w:t>
      </w:r>
      <w:r w:rsidR="00217CA8">
        <w:t xml:space="preserve">by </w:t>
      </w:r>
      <w:r w:rsidR="00554E51">
        <w:t xml:space="preserve">providing supplementary remedial instruction. </w:t>
      </w:r>
      <w:r w:rsidR="001A04B6">
        <w:t xml:space="preserve">The forward-looking </w:t>
      </w:r>
      <w:r w:rsidR="00215B75">
        <w:t>estimates represent a “</w:t>
      </w:r>
      <w:r w:rsidR="00855976">
        <w:t xml:space="preserve">readiness </w:t>
      </w:r>
      <w:r w:rsidR="00215B75">
        <w:t>barometer”</w:t>
      </w:r>
      <w:r w:rsidR="002E2798">
        <w:t xml:space="preserve"> regarding what comes next.</w:t>
      </w:r>
    </w:p>
    <w:p w:rsidR="00970363" w:rsidRDefault="00140FCB" w:rsidP="006D6CC6">
      <w:r>
        <w:t xml:space="preserve">Given </w:t>
      </w:r>
      <w:r w:rsidR="008245BA">
        <w:t xml:space="preserve">its use of </w:t>
      </w:r>
      <w:r>
        <w:t>mixed</w:t>
      </w:r>
      <w:r w:rsidR="008245BA">
        <w:t>-confidence</w:t>
      </w:r>
      <w:r>
        <w:t xml:space="preserve"> </w:t>
      </w:r>
      <w:r w:rsidR="00830917">
        <w:t>eviden</w:t>
      </w:r>
      <w:r w:rsidR="008245BA">
        <w:t>ce</w:t>
      </w:r>
      <w:r>
        <w:t xml:space="preserve">, IBM’s continuous-diagnosis framework </w:t>
      </w:r>
      <w:r w:rsidR="007876EA">
        <w:t>may</w:t>
      </w:r>
      <w:r>
        <w:t xml:space="preserve"> not </w:t>
      </w:r>
      <w:r w:rsidR="00C101A6">
        <w:t>achieve accountability-</w:t>
      </w:r>
      <w:r w:rsidR="0006103E">
        <w:t xml:space="preserve">exam </w:t>
      </w:r>
      <w:r w:rsidR="00C101A6">
        <w:t>confidence levels</w:t>
      </w:r>
      <w:r>
        <w:t xml:space="preserve"> </w:t>
      </w:r>
      <w:r w:rsidR="00940B13">
        <w:t xml:space="preserve">potentially </w:t>
      </w:r>
      <w:r w:rsidR="00595FCD">
        <w:t>provided by</w:t>
      </w:r>
      <w:r>
        <w:t xml:space="preserve"> a Through-Course Summative Assessment (TCSA) regime [Mislevy2002]. </w:t>
      </w:r>
      <w:r w:rsidR="00016C8F">
        <w:t xml:space="preserve"> </w:t>
      </w:r>
      <w:r w:rsidR="00C101A6">
        <w:t>Its</w:t>
      </w:r>
      <w:r w:rsidR="00DF6718">
        <w:t xml:space="preserve"> confidence</w:t>
      </w:r>
      <w:r w:rsidR="00C101A6">
        <w:t xml:space="preserve"> level</w:t>
      </w:r>
      <w:r w:rsidR="00537DCF">
        <w:t>s</w:t>
      </w:r>
      <w:r w:rsidR="00C101A6">
        <w:t xml:space="preserve"> </w:t>
      </w:r>
      <w:r w:rsidR="00657DD8">
        <w:t>do however support its intended purpose of instructional tailoring.</w:t>
      </w:r>
    </w:p>
    <w:p w:rsidR="00C22192" w:rsidRPr="006D6CC6" w:rsidRDefault="00C22192" w:rsidP="006D6CC6"/>
    <w:p w:rsidR="008D65DB" w:rsidRDefault="00C43D61" w:rsidP="00C43D61">
      <w:pPr>
        <w:pStyle w:val="Heading1"/>
      </w:pPr>
      <w:r>
        <w:t>References</w:t>
      </w:r>
    </w:p>
    <w:p w:rsidR="00485574" w:rsidRPr="001A64A1" w:rsidRDefault="001A1314" w:rsidP="00437026">
      <w:pPr>
        <w:tabs>
          <w:tab w:val="left" w:pos="1620"/>
        </w:tabs>
        <w:ind w:left="1620" w:hanging="1620"/>
        <w:rPr>
          <w:rFonts w:cs="Calibri Light"/>
          <w:sz w:val="20"/>
          <w:szCs w:val="20"/>
        </w:rPr>
      </w:pPr>
      <w:r>
        <w:rPr>
          <w:rFonts w:cs="Calibri Light"/>
          <w:sz w:val="20"/>
          <w:szCs w:val="20"/>
        </w:rPr>
        <w:t>[Almond</w:t>
      </w:r>
      <w:r w:rsidR="001A64A1">
        <w:rPr>
          <w:rFonts w:cs="Calibri Light"/>
          <w:sz w:val="20"/>
          <w:szCs w:val="20"/>
        </w:rPr>
        <w:t>1995</w:t>
      </w:r>
      <w:r>
        <w:rPr>
          <w:rFonts w:cs="Calibri Light"/>
          <w:sz w:val="20"/>
          <w:szCs w:val="20"/>
        </w:rPr>
        <w:t>]</w:t>
      </w:r>
      <w:r w:rsidR="001A64A1">
        <w:rPr>
          <w:rFonts w:cs="Calibri Light"/>
          <w:sz w:val="20"/>
          <w:szCs w:val="20"/>
        </w:rPr>
        <w:tab/>
        <w:t xml:space="preserve">R. A. Almond, </w:t>
      </w:r>
      <w:r w:rsidR="001A64A1">
        <w:rPr>
          <w:rFonts w:cs="Calibri Light"/>
          <w:i/>
          <w:sz w:val="20"/>
          <w:szCs w:val="20"/>
        </w:rPr>
        <w:t>Graphical Belief Modeling</w:t>
      </w:r>
      <w:r w:rsidR="001A64A1">
        <w:rPr>
          <w:rFonts w:cs="Calibri Light"/>
          <w:sz w:val="20"/>
          <w:szCs w:val="20"/>
        </w:rPr>
        <w:t xml:space="preserve">, </w:t>
      </w:r>
      <w:r w:rsidR="00C1775D">
        <w:rPr>
          <w:rFonts w:cs="Calibri Light"/>
          <w:sz w:val="20"/>
          <w:szCs w:val="20"/>
        </w:rPr>
        <w:t>London, UK: Chapman-Hall, 1995.</w:t>
      </w:r>
    </w:p>
    <w:p w:rsidR="00925357" w:rsidRPr="00312B93" w:rsidRDefault="00925357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[Almond2015]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</w:t>
      </w:r>
      <w:r w:rsidR="00485574">
        <w:rPr>
          <w:sz w:val="20"/>
          <w:szCs w:val="20"/>
        </w:rPr>
        <w:t xml:space="preserve">A. </w:t>
      </w:r>
      <w:r w:rsidRPr="00312B93">
        <w:rPr>
          <w:sz w:val="20"/>
          <w:szCs w:val="20"/>
        </w:rPr>
        <w:t xml:space="preserve">Almond,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Bayesian Networks in Educational Assessments</w:t>
      </w:r>
      <w:r w:rsidRPr="00312B93">
        <w:rPr>
          <w:sz w:val="20"/>
          <w:szCs w:val="20"/>
        </w:rPr>
        <w:t xml:space="preserve">, New York: Springer, 2015, </w:t>
      </w:r>
      <w:hyperlink r:id="rId9" w:history="1">
        <w:r w:rsidR="00AD07E3" w:rsidRPr="00312B93">
          <w:rPr>
            <w:rStyle w:val="Hyperlink"/>
            <w:sz w:val="20"/>
            <w:szCs w:val="20"/>
          </w:rPr>
          <w:t>https://www.springer.com/us/book/9781493921249</w:t>
        </w:r>
      </w:hyperlink>
      <w:r w:rsidRPr="00312B93">
        <w:rPr>
          <w:sz w:val="20"/>
          <w:szCs w:val="20"/>
        </w:rPr>
        <w:t>.</w:t>
      </w:r>
    </w:p>
    <w:p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[Bhola2003]</w:t>
      </w:r>
      <w:r w:rsidRPr="00312B93">
        <w:rPr>
          <w:sz w:val="20"/>
          <w:szCs w:val="20"/>
        </w:rPr>
        <w:tab/>
        <w:t xml:space="preserve">D. Bhola,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“Aligning tests with states' content standards: Methods and issues,” </w:t>
      </w:r>
      <w:r w:rsidRPr="00312B93">
        <w:rPr>
          <w:i/>
          <w:sz w:val="20"/>
          <w:szCs w:val="20"/>
        </w:rPr>
        <w:t>Education Measurement: Issues and Practice</w:t>
      </w:r>
      <w:r w:rsidRPr="00312B93">
        <w:rPr>
          <w:sz w:val="20"/>
          <w:szCs w:val="20"/>
        </w:rPr>
        <w:t xml:space="preserve">s, National Council on Measurements in Education, Fall 2003, </w:t>
      </w:r>
      <w:hyperlink r:id="rId10" w:history="1">
        <w:r w:rsidRPr="00312B93">
          <w:rPr>
            <w:rStyle w:val="Hyperlink"/>
            <w:sz w:val="20"/>
            <w:szCs w:val="20"/>
          </w:rPr>
          <w:t>http://ibm.biz/NCME-ExamAlgmt</w:t>
        </w:r>
      </w:hyperlink>
      <w:r w:rsidRPr="00312B93">
        <w:rPr>
          <w:sz w:val="20"/>
          <w:szCs w:val="20"/>
        </w:rPr>
        <w:t>.</w:t>
      </w:r>
    </w:p>
    <w:p w:rsidR="006514A3" w:rsidRPr="00312B9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[Elliott2016]</w:t>
      </w:r>
      <w:r w:rsidRPr="00312B93">
        <w:rPr>
          <w:sz w:val="20"/>
          <w:szCs w:val="20"/>
        </w:rPr>
        <w:tab/>
        <w:t xml:space="preserve">S. N. Elliott and B. J. Bartlett, “Opportunity to Learn”, </w:t>
      </w:r>
      <w:r w:rsidRPr="00996DDB">
        <w:rPr>
          <w:i/>
          <w:sz w:val="20"/>
          <w:szCs w:val="20"/>
        </w:rPr>
        <w:t>Oxford Handbooks Online</w:t>
      </w:r>
      <w:r w:rsidRPr="00312B93">
        <w:rPr>
          <w:sz w:val="20"/>
          <w:szCs w:val="20"/>
        </w:rPr>
        <w:t xml:space="preserve">, May 2016, </w:t>
      </w:r>
      <w:hyperlink r:id="rId11" w:history="1">
        <w:r w:rsidRPr="00312B93">
          <w:rPr>
            <w:rStyle w:val="Hyperlink"/>
            <w:sz w:val="20"/>
            <w:szCs w:val="20"/>
          </w:rPr>
          <w:t>http://ibm.biz/Oxford-Hbk-OTL</w:t>
        </w:r>
      </w:hyperlink>
      <w:r w:rsidRPr="00312B93">
        <w:rPr>
          <w:sz w:val="20"/>
          <w:szCs w:val="20"/>
        </w:rPr>
        <w:t>.</w:t>
      </w:r>
    </w:p>
    <w:p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[Haertel2016]</w:t>
      </w:r>
      <w:r w:rsidRPr="00312B93">
        <w:rPr>
          <w:sz w:val="20"/>
          <w:szCs w:val="20"/>
        </w:rPr>
        <w:tab/>
        <w:t xml:space="preserve">G. </w:t>
      </w:r>
      <w:proofErr w:type="spellStart"/>
      <w:r w:rsidRPr="00312B93">
        <w:rPr>
          <w:sz w:val="20"/>
          <w:szCs w:val="20"/>
        </w:rPr>
        <w:t>Haertel</w:t>
      </w:r>
      <w:proofErr w:type="spellEnd"/>
      <w:r w:rsidRPr="00312B93">
        <w:rPr>
          <w:sz w:val="20"/>
          <w:szCs w:val="20"/>
        </w:rPr>
        <w:t xml:space="preserve">, </w:t>
      </w:r>
      <w:r w:rsidRPr="002713E4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“General introduction to evidence-centered design”, </w:t>
      </w:r>
      <w:r w:rsidRPr="00312B93">
        <w:rPr>
          <w:i/>
          <w:sz w:val="20"/>
          <w:szCs w:val="20"/>
        </w:rPr>
        <w:t>Meeting the Challenges to Measurement in an Era of Accountability</w:t>
      </w:r>
      <w:r w:rsidRPr="00312B93">
        <w:rPr>
          <w:sz w:val="20"/>
          <w:szCs w:val="20"/>
        </w:rPr>
        <w:t xml:space="preserve">, New York: Routledge, for the National Council on Measurement in Education, 2016, </w:t>
      </w:r>
      <w:hyperlink r:id="rId12" w:history="1">
        <w:r w:rsidRPr="00312B93">
          <w:rPr>
            <w:rStyle w:val="Hyperlink"/>
            <w:sz w:val="20"/>
            <w:szCs w:val="20"/>
          </w:rPr>
          <w:t>https://amzn.to/2OhMMx7</w:t>
        </w:r>
      </w:hyperlink>
      <w:r w:rsidRPr="00312B93">
        <w:rPr>
          <w:sz w:val="20"/>
          <w:szCs w:val="20"/>
        </w:rPr>
        <w:t>.</w:t>
      </w:r>
    </w:p>
    <w:p w:rsidR="0036434B" w:rsidRPr="004B5ABB" w:rsidRDefault="0036434B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[Hack2009]</w:t>
      </w:r>
      <w:r>
        <w:rPr>
          <w:sz w:val="20"/>
          <w:szCs w:val="20"/>
        </w:rPr>
        <w:tab/>
      </w:r>
      <w:r w:rsidR="004B5ABB">
        <w:rPr>
          <w:sz w:val="20"/>
          <w:szCs w:val="20"/>
        </w:rPr>
        <w:t xml:space="preserve">Hack, S., </w:t>
      </w:r>
      <w:r w:rsidR="004B5ABB">
        <w:rPr>
          <w:i/>
          <w:sz w:val="20"/>
          <w:szCs w:val="20"/>
        </w:rPr>
        <w:t>Evidence and Inquiry</w:t>
      </w:r>
      <w:r w:rsidR="004B5ABB">
        <w:rPr>
          <w:sz w:val="20"/>
          <w:szCs w:val="20"/>
        </w:rPr>
        <w:t xml:space="preserve">, expanded edition, </w:t>
      </w:r>
      <w:r w:rsidR="00EE1A29">
        <w:rPr>
          <w:sz w:val="20"/>
          <w:szCs w:val="20"/>
        </w:rPr>
        <w:t xml:space="preserve">New York: </w:t>
      </w:r>
      <w:proofErr w:type="spellStart"/>
      <w:r w:rsidR="00EE1A29">
        <w:rPr>
          <w:sz w:val="20"/>
          <w:szCs w:val="20"/>
        </w:rPr>
        <w:t>Promethius</w:t>
      </w:r>
      <w:proofErr w:type="spellEnd"/>
      <w:r w:rsidR="002811EC">
        <w:rPr>
          <w:sz w:val="20"/>
          <w:szCs w:val="20"/>
        </w:rPr>
        <w:t>, 2009.</w:t>
      </w:r>
    </w:p>
    <w:p w:rsidR="00E53DA6" w:rsidRPr="00312B93" w:rsidRDefault="00E53DA6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[Marzano2008]</w:t>
      </w:r>
      <w:r w:rsidRPr="00312B93">
        <w:rPr>
          <w:sz w:val="20"/>
          <w:szCs w:val="20"/>
        </w:rPr>
        <w:tab/>
        <w:t xml:space="preserve">R. J. Marzano and M. W. </w:t>
      </w:r>
      <w:proofErr w:type="spellStart"/>
      <w:r w:rsidRPr="00312B93">
        <w:rPr>
          <w:sz w:val="20"/>
          <w:szCs w:val="20"/>
        </w:rPr>
        <w:t>Haystead</w:t>
      </w:r>
      <w:proofErr w:type="spellEnd"/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Making Standards Useful in the Education</w:t>
      </w:r>
      <w:r w:rsidRPr="00312B93">
        <w:rPr>
          <w:sz w:val="20"/>
          <w:szCs w:val="20"/>
        </w:rPr>
        <w:t xml:space="preserve">, Alexandria, VA: ASCD, 2008, </w:t>
      </w:r>
      <w:hyperlink r:id="rId13" w:history="1">
        <w:r w:rsidR="00ED0F8A" w:rsidRPr="00ED0F8A">
          <w:rPr>
            <w:rStyle w:val="Hyperlink"/>
            <w:sz w:val="20"/>
            <w:szCs w:val="20"/>
          </w:rPr>
          <w:t>http://ibm.biz/ASCD_Marzano_Stds_Classroom</w:t>
        </w:r>
      </w:hyperlink>
      <w:r w:rsidRPr="00312B93">
        <w:rPr>
          <w:sz w:val="20"/>
          <w:szCs w:val="20"/>
        </w:rPr>
        <w:t>.</w:t>
      </w:r>
    </w:p>
    <w:p w:rsidR="00A23B68" w:rsidRPr="00312B93" w:rsidRDefault="00A23B6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[Mislevy200</w:t>
      </w:r>
      <w:r w:rsidR="00A53A18" w:rsidRPr="00312B93">
        <w:rPr>
          <w:sz w:val="20"/>
          <w:szCs w:val="20"/>
        </w:rPr>
        <w:t>3</w:t>
      </w:r>
      <w:r w:rsidRPr="00312B93">
        <w:rPr>
          <w:sz w:val="20"/>
          <w:szCs w:val="20"/>
        </w:rPr>
        <w:t>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</w:t>
      </w:r>
      <w:proofErr w:type="spellStart"/>
      <w:r w:rsidRPr="00312B93">
        <w:rPr>
          <w:sz w:val="20"/>
          <w:szCs w:val="20"/>
        </w:rPr>
        <w:t>Mislevy</w:t>
      </w:r>
      <w:proofErr w:type="spellEnd"/>
      <w:r w:rsidRPr="00312B93">
        <w:rPr>
          <w:sz w:val="20"/>
          <w:szCs w:val="20"/>
        </w:rPr>
        <w:t xml:space="preserve">, </w:t>
      </w:r>
      <w:r w:rsidRPr="0067614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>, “A brief introduction to evidence-centered design,” Research Report RR-03-16, Educational Testing Service (ETS), July 2003,</w:t>
      </w:r>
      <w:r w:rsidR="009340B8">
        <w:rPr>
          <w:sz w:val="20"/>
          <w:szCs w:val="20"/>
        </w:rPr>
        <w:t xml:space="preserve"> </w:t>
      </w:r>
      <w:hyperlink r:id="rId14" w:history="1">
        <w:r w:rsidR="009340B8" w:rsidRPr="009340B8">
          <w:rPr>
            <w:rStyle w:val="Hyperlink"/>
            <w:sz w:val="20"/>
            <w:szCs w:val="20"/>
          </w:rPr>
          <w:t>http://ibm.biz/ETS_ECD_RschRep</w:t>
        </w:r>
      </w:hyperlink>
      <w:r w:rsidRPr="00312B93">
        <w:rPr>
          <w:sz w:val="20"/>
          <w:szCs w:val="20"/>
        </w:rPr>
        <w:t>.</w:t>
      </w:r>
    </w:p>
    <w:p w:rsidR="00A53A18" w:rsidRPr="00312B93" w:rsidRDefault="00A53A1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[Mislevy2002]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</w:t>
      </w:r>
      <w:proofErr w:type="spellStart"/>
      <w:r w:rsidRPr="00312B93">
        <w:rPr>
          <w:sz w:val="20"/>
          <w:szCs w:val="20"/>
        </w:rPr>
        <w:t>Mislevy</w:t>
      </w:r>
      <w:proofErr w:type="spellEnd"/>
      <w:r w:rsidRPr="00312B93">
        <w:rPr>
          <w:sz w:val="20"/>
          <w:szCs w:val="20"/>
        </w:rPr>
        <w:t xml:space="preserve"> and R Zwick, “Scaling, linking, and reporting in a periodic assessment,” </w:t>
      </w:r>
      <w:r w:rsidRPr="00312B93">
        <w:rPr>
          <w:i/>
          <w:sz w:val="20"/>
          <w:szCs w:val="20"/>
        </w:rPr>
        <w:t>Journal of Education Measurement</w:t>
      </w:r>
      <w:r w:rsidRPr="00312B93">
        <w:rPr>
          <w:sz w:val="20"/>
          <w:szCs w:val="20"/>
        </w:rPr>
        <w:t xml:space="preserve">, National Council on Measurements in Education, Summer 2002, </w:t>
      </w:r>
      <w:hyperlink r:id="rId15" w:history="1">
        <w:r w:rsidR="00B94519" w:rsidRPr="00312B93">
          <w:rPr>
            <w:rStyle w:val="Hyperlink"/>
            <w:sz w:val="20"/>
            <w:szCs w:val="20"/>
          </w:rPr>
          <w:t>http://ibm.biz/NCME-TCSA</w:t>
        </w:r>
      </w:hyperlink>
      <w:r w:rsidRPr="00312B93">
        <w:rPr>
          <w:sz w:val="20"/>
          <w:szCs w:val="20"/>
        </w:rPr>
        <w:t>.</w:t>
      </w:r>
    </w:p>
    <w:p w:rsidR="00564771" w:rsidRPr="00312B93" w:rsidRDefault="00564771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[Kahneman2011]</w:t>
      </w:r>
      <w:r w:rsidR="00312B93">
        <w:rPr>
          <w:sz w:val="20"/>
          <w:szCs w:val="20"/>
        </w:rPr>
        <w:tab/>
      </w:r>
      <w:r w:rsidRPr="00312B93">
        <w:rPr>
          <w:sz w:val="20"/>
          <w:szCs w:val="20"/>
        </w:rPr>
        <w:t xml:space="preserve">Kahneman, D., </w:t>
      </w:r>
      <w:r w:rsidRPr="00312B93">
        <w:rPr>
          <w:i/>
          <w:sz w:val="20"/>
          <w:szCs w:val="20"/>
        </w:rPr>
        <w:t>Thinking Fast and Slow</w:t>
      </w:r>
      <w:r w:rsidRPr="00312B93">
        <w:rPr>
          <w:sz w:val="20"/>
          <w:szCs w:val="20"/>
        </w:rPr>
        <w:t xml:space="preserve">, New York: Macmillan, 2011, </w:t>
      </w:r>
      <w:hyperlink r:id="rId16" w:history="1">
        <w:r w:rsidRPr="00312B93">
          <w:rPr>
            <w:rStyle w:val="Hyperlink"/>
            <w:sz w:val="20"/>
            <w:szCs w:val="20"/>
          </w:rPr>
          <w:t>https://amzn.to/2tSGHy8</w:t>
        </w:r>
      </w:hyperlink>
      <w:r w:rsidRPr="00312B93">
        <w:rPr>
          <w:sz w:val="20"/>
          <w:szCs w:val="20"/>
        </w:rPr>
        <w:t>.</w:t>
      </w:r>
    </w:p>
    <w:p w:rsidR="00761446" w:rsidRPr="00312B93" w:rsidRDefault="002F4A3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lastRenderedPageBreak/>
        <w:t>[Porter2001]</w:t>
      </w:r>
      <w:r w:rsidRPr="00312B93">
        <w:rPr>
          <w:sz w:val="20"/>
          <w:szCs w:val="20"/>
        </w:rPr>
        <w:tab/>
        <w:t xml:space="preserve">A. C. Porter and J. L. Smithson, “Defining, developing, and using curriculum indicators,” Report RR-048, Consortium for Policy Research in Education, University of Pennsylvania, December 2001, </w:t>
      </w:r>
      <w:hyperlink r:id="rId17" w:history="1">
        <w:r w:rsidR="00E22691" w:rsidRPr="00312B93">
          <w:rPr>
            <w:rStyle w:val="Hyperlink"/>
            <w:sz w:val="20"/>
            <w:szCs w:val="20"/>
          </w:rPr>
          <w:t>http://ibm.biz/PorterCurriculumAlignment</w:t>
        </w:r>
      </w:hyperlink>
      <w:r w:rsidRPr="00312B93">
        <w:rPr>
          <w:sz w:val="20"/>
          <w:szCs w:val="20"/>
        </w:rPr>
        <w:t>.</w:t>
      </w:r>
      <w:r w:rsidR="006514A3" w:rsidRPr="00312B93">
        <w:rPr>
          <w:sz w:val="20"/>
          <w:szCs w:val="20"/>
        </w:rPr>
        <w:t xml:space="preserve"> </w:t>
      </w:r>
    </w:p>
    <w:p w:rsidR="006514A3" w:rsidRPr="00312B93" w:rsidRDefault="0076144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[Porter200</w:t>
      </w:r>
      <w:r>
        <w:rPr>
          <w:sz w:val="20"/>
          <w:szCs w:val="20"/>
        </w:rPr>
        <w:t>2</w:t>
      </w:r>
      <w:r w:rsidRPr="00312B93">
        <w:rPr>
          <w:sz w:val="20"/>
          <w:szCs w:val="20"/>
        </w:rPr>
        <w:t>]</w:t>
      </w:r>
      <w:r w:rsidRPr="00312B93">
        <w:rPr>
          <w:sz w:val="20"/>
          <w:szCs w:val="20"/>
        </w:rPr>
        <w:tab/>
        <w:t>A. C. Porter, “</w:t>
      </w:r>
      <w:r>
        <w:rPr>
          <w:sz w:val="20"/>
          <w:szCs w:val="20"/>
        </w:rPr>
        <w:t>Measuring the content of instruction: Uses in research and practice</w:t>
      </w:r>
      <w:r w:rsidRPr="00312B93">
        <w:rPr>
          <w:sz w:val="20"/>
          <w:szCs w:val="20"/>
        </w:rPr>
        <w:t xml:space="preserve">,” </w:t>
      </w:r>
      <w:r w:rsidRPr="00761446">
        <w:rPr>
          <w:i/>
          <w:sz w:val="20"/>
          <w:szCs w:val="20"/>
        </w:rPr>
        <w:t>Educational  Researcher</w:t>
      </w:r>
      <w:r>
        <w:rPr>
          <w:sz w:val="20"/>
          <w:szCs w:val="20"/>
        </w:rPr>
        <w:t>, October 2002 31(7)3-14</w:t>
      </w:r>
      <w:r w:rsidRPr="00312B93">
        <w:rPr>
          <w:sz w:val="20"/>
          <w:szCs w:val="20"/>
        </w:rPr>
        <w:t>,</w:t>
      </w:r>
      <w:r w:rsidR="008506A2" w:rsidRPr="008506A2">
        <w:rPr>
          <w:sz w:val="20"/>
          <w:szCs w:val="20"/>
        </w:rPr>
        <w:t xml:space="preserve"> </w:t>
      </w:r>
      <w:hyperlink r:id="rId18" w:history="1">
        <w:r w:rsidR="008506A2" w:rsidRPr="008506A2">
          <w:rPr>
            <w:rStyle w:val="Hyperlink"/>
            <w:sz w:val="20"/>
            <w:szCs w:val="20"/>
          </w:rPr>
          <w:t>http://ibm.biz/EdRschr_Meas_Cont_Instruction</w:t>
        </w:r>
      </w:hyperlink>
      <w:r w:rsidRPr="00312B93">
        <w:rPr>
          <w:sz w:val="20"/>
          <w:szCs w:val="20"/>
        </w:rPr>
        <w:t>.</w:t>
      </w:r>
    </w:p>
    <w:p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[Rupp2010]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A. Rupp, </w:t>
      </w:r>
      <w:r w:rsidRPr="00EC18F9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Diagnostic Measurement: Theory, Methods, and Applications</w:t>
      </w:r>
      <w:r w:rsidRPr="00312B93">
        <w:rPr>
          <w:sz w:val="20"/>
          <w:szCs w:val="20"/>
        </w:rPr>
        <w:t xml:space="preserve">, New York: Guilford, 2010, </w:t>
      </w:r>
      <w:hyperlink r:id="rId19" w:history="1">
        <w:r w:rsidRPr="00312B93">
          <w:rPr>
            <w:rStyle w:val="Hyperlink"/>
            <w:sz w:val="20"/>
            <w:szCs w:val="20"/>
          </w:rPr>
          <w:t>https://amzn.to/2AnMHVy</w:t>
        </w:r>
      </w:hyperlink>
      <w:r w:rsidRPr="00312B93">
        <w:rPr>
          <w:sz w:val="20"/>
          <w:szCs w:val="20"/>
        </w:rPr>
        <w:t>.</w:t>
      </w:r>
    </w:p>
    <w:p w:rsidR="00424D99" w:rsidRPr="000C63E9" w:rsidRDefault="00424D99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</w:t>
      </w:r>
      <w:r w:rsidR="00DF56DA">
        <w:rPr>
          <w:sz w:val="20"/>
          <w:szCs w:val="20"/>
        </w:rPr>
        <w:t>Salicone</w:t>
      </w:r>
      <w:r w:rsidR="008D78BA">
        <w:rPr>
          <w:sz w:val="20"/>
          <w:szCs w:val="20"/>
        </w:rPr>
        <w:t>2007]</w:t>
      </w:r>
      <w:r w:rsidR="008D78BA">
        <w:rPr>
          <w:sz w:val="20"/>
          <w:szCs w:val="20"/>
        </w:rPr>
        <w:tab/>
      </w:r>
      <w:r w:rsidR="000C63E9">
        <w:rPr>
          <w:sz w:val="20"/>
          <w:szCs w:val="20"/>
        </w:rPr>
        <w:t xml:space="preserve">S. </w:t>
      </w:r>
      <w:proofErr w:type="spellStart"/>
      <w:r w:rsidR="000C63E9">
        <w:rPr>
          <w:sz w:val="20"/>
          <w:szCs w:val="20"/>
        </w:rPr>
        <w:t>Salicone</w:t>
      </w:r>
      <w:proofErr w:type="spellEnd"/>
      <w:r w:rsidR="000C63E9">
        <w:rPr>
          <w:sz w:val="20"/>
          <w:szCs w:val="20"/>
        </w:rPr>
        <w:t xml:space="preserve">, </w:t>
      </w:r>
      <w:r w:rsidR="000C63E9">
        <w:rPr>
          <w:i/>
          <w:sz w:val="20"/>
          <w:szCs w:val="20"/>
        </w:rPr>
        <w:t>Measurement Uncertainty: An Approach via the Mathematical Theory of Evidence</w:t>
      </w:r>
      <w:r w:rsidR="000C63E9">
        <w:rPr>
          <w:sz w:val="20"/>
          <w:szCs w:val="20"/>
        </w:rPr>
        <w:t xml:space="preserve">, </w:t>
      </w:r>
      <w:r w:rsidR="005F1E19">
        <w:rPr>
          <w:sz w:val="20"/>
          <w:szCs w:val="20"/>
        </w:rPr>
        <w:t xml:space="preserve">New York: Springer </w:t>
      </w:r>
      <w:proofErr w:type="spellStart"/>
      <w:r w:rsidR="005F1E19">
        <w:rPr>
          <w:sz w:val="20"/>
          <w:szCs w:val="20"/>
        </w:rPr>
        <w:t>Science+Business</w:t>
      </w:r>
      <w:proofErr w:type="spellEnd"/>
      <w:r w:rsidR="005F1E19">
        <w:rPr>
          <w:sz w:val="20"/>
          <w:szCs w:val="20"/>
        </w:rPr>
        <w:t xml:space="preserve"> Media, LLC, 2007.</w:t>
      </w:r>
    </w:p>
    <w:p w:rsidR="00495212" w:rsidRPr="00495212" w:rsidRDefault="00495212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[Shafer1976]</w:t>
      </w:r>
      <w:r>
        <w:rPr>
          <w:sz w:val="20"/>
          <w:szCs w:val="20"/>
        </w:rPr>
        <w:tab/>
        <w:t xml:space="preserve">G. Shafer, </w:t>
      </w:r>
      <w:r>
        <w:rPr>
          <w:i/>
          <w:sz w:val="20"/>
          <w:szCs w:val="20"/>
        </w:rPr>
        <w:t>A Mathematical Theory of Evidence</w:t>
      </w:r>
      <w:r>
        <w:rPr>
          <w:sz w:val="20"/>
          <w:szCs w:val="20"/>
        </w:rPr>
        <w:t xml:space="preserve">, </w:t>
      </w:r>
      <w:r w:rsidR="00DE716E">
        <w:rPr>
          <w:sz w:val="20"/>
          <w:szCs w:val="20"/>
        </w:rPr>
        <w:t>Princeton, NJ:  Princeton University Press, 1976.</w:t>
      </w:r>
    </w:p>
    <w:p w:rsidR="00EC016A" w:rsidRDefault="006514A3" w:rsidP="00EC016A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[Stevens2002]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Stevens, S., </w:t>
      </w:r>
      <w:r w:rsidRPr="00CA7CD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(2002), “Using learning progressions to inform curriculum, instruction and assessment design,” Center for Highly Interactive Educations, Curricula &amp; Computing in Education, School of Education/College of Engineering, University of Michigan, Retrieved on July 24, 2018 from </w:t>
      </w:r>
      <w:hyperlink r:id="rId20" w:history="1">
        <w:r w:rsidRPr="00312B93">
          <w:rPr>
            <w:rStyle w:val="Hyperlink"/>
            <w:sz w:val="20"/>
            <w:szCs w:val="20"/>
          </w:rPr>
          <w:t>http://ibm.biz/CHICCCE-Progressions</w:t>
        </w:r>
      </w:hyperlink>
      <w:r w:rsidRPr="00312B93">
        <w:rPr>
          <w:sz w:val="20"/>
          <w:szCs w:val="20"/>
        </w:rPr>
        <w:t>.</w:t>
      </w:r>
    </w:p>
    <w:p w:rsidR="00834E65" w:rsidRPr="00EC016A" w:rsidRDefault="00834E65" w:rsidP="00EC016A">
      <w:pPr>
        <w:tabs>
          <w:tab w:val="left" w:pos="1620"/>
        </w:tabs>
        <w:ind w:left="1620" w:hanging="1620"/>
        <w:rPr>
          <w:sz w:val="20"/>
          <w:szCs w:val="20"/>
        </w:rPr>
      </w:pPr>
      <w:r w:rsidRPr="00EC016A">
        <w:rPr>
          <w:sz w:val="20"/>
        </w:rPr>
        <w:t>[Tomlinson2014]</w:t>
      </w:r>
      <w:r w:rsidRPr="00EC016A">
        <w:rPr>
          <w:sz w:val="20"/>
        </w:rPr>
        <w:tab/>
        <w:t xml:space="preserve">C. A. Tomlinson, The Differentiated </w:t>
      </w:r>
      <w:r w:rsidR="00792960" w:rsidRPr="00EC016A">
        <w:rPr>
          <w:sz w:val="20"/>
        </w:rPr>
        <w:t>Classroom</w:t>
      </w:r>
      <w:r w:rsidRPr="00EC016A">
        <w:rPr>
          <w:sz w:val="20"/>
        </w:rPr>
        <w:t xml:space="preserve">, second edition, Alexandria, VA: ASCD, 2014, </w:t>
      </w:r>
      <w:hyperlink r:id="rId21" w:history="1">
        <w:r w:rsidR="001353D9" w:rsidRPr="00EC016A">
          <w:rPr>
            <w:sz w:val="20"/>
          </w:rPr>
          <w:t>http://ibm.biz/ASCD_Tomlinson_DiffCR</w:t>
        </w:r>
      </w:hyperlink>
      <w:r w:rsidRPr="00EC016A">
        <w:rPr>
          <w:sz w:val="20"/>
        </w:rPr>
        <w:t>.</w:t>
      </w:r>
    </w:p>
    <w:p w:rsidR="00CB0493" w:rsidRPr="00312B93" w:rsidRDefault="00CB049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[Wainer2015]</w:t>
      </w:r>
      <w:r w:rsidRPr="00312B93">
        <w:rPr>
          <w:sz w:val="20"/>
          <w:szCs w:val="20"/>
        </w:rPr>
        <w:tab/>
        <w:t xml:space="preserve">H. </w:t>
      </w:r>
      <w:proofErr w:type="spellStart"/>
      <w:r w:rsidRPr="00312B93">
        <w:rPr>
          <w:sz w:val="20"/>
          <w:szCs w:val="20"/>
        </w:rPr>
        <w:t>Wainer</w:t>
      </w:r>
      <w:proofErr w:type="spellEnd"/>
      <w:r w:rsidRPr="00312B93">
        <w:rPr>
          <w:sz w:val="20"/>
          <w:szCs w:val="20"/>
        </w:rPr>
        <w:t xml:space="preserve"> and R. Feinberg, “For want of a nail: Why unnecessarily long tests may be impeding the progress of Western civilization,” </w:t>
      </w:r>
      <w:r w:rsidRPr="00312B93">
        <w:rPr>
          <w:i/>
          <w:sz w:val="20"/>
          <w:szCs w:val="20"/>
        </w:rPr>
        <w:t>Significance</w:t>
      </w:r>
      <w:r w:rsidRPr="00312B93">
        <w:rPr>
          <w:sz w:val="20"/>
          <w:szCs w:val="20"/>
        </w:rPr>
        <w:t xml:space="preserve">, The Royal Statistical Society, February 2015, </w:t>
      </w:r>
      <w:hyperlink r:id="rId22" w:history="1">
        <w:r w:rsidRPr="00312B93">
          <w:rPr>
            <w:rStyle w:val="Hyperlink"/>
            <w:sz w:val="20"/>
            <w:szCs w:val="20"/>
          </w:rPr>
          <w:t>http://ibm.biz/RSS-Significance-TestEfficiency</w:t>
        </w:r>
      </w:hyperlink>
      <w:r w:rsidRPr="00312B93">
        <w:rPr>
          <w:sz w:val="20"/>
          <w:szCs w:val="20"/>
        </w:rPr>
        <w:t>.</w:t>
      </w:r>
    </w:p>
    <w:p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[Wiggins2005]</w:t>
      </w:r>
      <w:r w:rsidRPr="00312B93">
        <w:rPr>
          <w:sz w:val="20"/>
          <w:szCs w:val="20"/>
        </w:rPr>
        <w:tab/>
        <w:t xml:space="preserve">G. Wiggins, J. McTighe, </w:t>
      </w:r>
      <w:r w:rsidRPr="00312B93">
        <w:rPr>
          <w:i/>
          <w:sz w:val="20"/>
          <w:szCs w:val="20"/>
        </w:rPr>
        <w:t>Understanding by Design</w:t>
      </w:r>
      <w:r w:rsidRPr="00312B93">
        <w:rPr>
          <w:sz w:val="20"/>
          <w:szCs w:val="20"/>
        </w:rPr>
        <w:t>, second edition, Alexandria, VA: ASCD, 2005,</w:t>
      </w:r>
      <w:r w:rsidR="004D1925" w:rsidRPr="00312B93">
        <w:rPr>
          <w:sz w:val="20"/>
          <w:szCs w:val="20"/>
        </w:rPr>
        <w:t xml:space="preserve"> </w:t>
      </w:r>
      <w:hyperlink r:id="rId23" w:history="1">
        <w:r w:rsidR="004D1925" w:rsidRPr="00312B93">
          <w:rPr>
            <w:rStyle w:val="Hyperlink"/>
            <w:sz w:val="20"/>
            <w:szCs w:val="20"/>
          </w:rPr>
          <w:t>http://ibm.biz/ASCD_UBD_Book</w:t>
        </w:r>
      </w:hyperlink>
      <w:r w:rsidRPr="00312B93">
        <w:rPr>
          <w:sz w:val="20"/>
          <w:szCs w:val="20"/>
        </w:rPr>
        <w:t>.</w:t>
      </w:r>
    </w:p>
    <w:p w:rsidR="00A70655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[Zimba2012]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J. Zimba, “A graph of the content standards”, Student Achievement Partners, June 7, 2012, </w:t>
      </w:r>
      <w:hyperlink r:id="rId24" w:history="1">
        <w:r w:rsidRPr="00312B93">
          <w:rPr>
            <w:rStyle w:val="Hyperlink"/>
            <w:sz w:val="20"/>
            <w:szCs w:val="20"/>
          </w:rPr>
          <w:t>http://ibm.biz/Zimba-Wiring-Diagram</w:t>
        </w:r>
      </w:hyperlink>
      <w:r w:rsidRPr="00312B93">
        <w:rPr>
          <w:sz w:val="20"/>
          <w:szCs w:val="20"/>
        </w:rPr>
        <w:t>.</w:t>
      </w:r>
    </w:p>
    <w:p w:rsidR="00F7651B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:rsidR="00B87C0C" w:rsidRDefault="00B87C0C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7651B" w:rsidRPr="00312B93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:rsidR="00A70655" w:rsidRDefault="00366EB3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 w:rsidRPr="003236A7">
        <w:rPr>
          <w:b/>
          <w:i/>
          <w:sz w:val="20"/>
          <w:szCs w:val="20"/>
        </w:rPr>
        <w:t>Figure 1</w:t>
      </w:r>
      <w:r w:rsidRPr="003236A7">
        <w:rPr>
          <w:sz w:val="20"/>
          <w:szCs w:val="20"/>
        </w:rPr>
        <w:t xml:space="preserve"> — </w:t>
      </w:r>
      <w:r w:rsidR="003236A7">
        <w:rPr>
          <w:sz w:val="20"/>
          <w:szCs w:val="20"/>
        </w:rPr>
        <w:t xml:space="preserve">IBM’s </w:t>
      </w:r>
      <w:r w:rsidR="00BE7C0C">
        <w:rPr>
          <w:sz w:val="20"/>
          <w:szCs w:val="20"/>
        </w:rPr>
        <w:t xml:space="preserve">continuous-diagnostic framework employs Curriculum Alignment [Porter2001] as </w:t>
      </w:r>
      <w:r w:rsidR="004A146B">
        <w:rPr>
          <w:sz w:val="20"/>
          <w:szCs w:val="20"/>
        </w:rPr>
        <w:t xml:space="preserve">its </w:t>
      </w:r>
      <w:r w:rsidR="000D318A">
        <w:rPr>
          <w:sz w:val="20"/>
          <w:szCs w:val="20"/>
        </w:rPr>
        <w:t>overarching integrative structure.</w:t>
      </w:r>
    </w:p>
    <w:p w:rsidR="00FE2181" w:rsidRDefault="00FE2181">
      <w:pPr>
        <w:spacing w:after="0"/>
        <w:rPr>
          <w:sz w:val="20"/>
          <w:szCs w:val="20"/>
        </w:rPr>
      </w:pPr>
      <w:r w:rsidRPr="003236A7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-543675</wp:posOffset>
            </wp:positionH>
            <wp:positionV relativeFrom="paragraph">
              <wp:posOffset>1481434</wp:posOffset>
            </wp:positionV>
            <wp:extent cx="7444105" cy="4946015"/>
            <wp:effectExtent l="4445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410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br w:type="page"/>
      </w:r>
    </w:p>
    <w:p w:rsidR="00FE2181" w:rsidRDefault="00FE2181" w:rsidP="00FE2181">
      <w:pPr>
        <w:tabs>
          <w:tab w:val="left" w:pos="1710"/>
        </w:tabs>
        <w:ind w:left="1710" w:hanging="1080"/>
        <w:rPr>
          <w:sz w:val="20"/>
          <w:szCs w:val="20"/>
        </w:rPr>
      </w:pPr>
      <w:r w:rsidRPr="003236A7">
        <w:rPr>
          <w:b/>
          <w:i/>
          <w:sz w:val="20"/>
          <w:szCs w:val="20"/>
        </w:rPr>
        <w:lastRenderedPageBreak/>
        <w:t xml:space="preserve">Figure </w:t>
      </w:r>
      <w:r>
        <w:rPr>
          <w:b/>
          <w:i/>
          <w:sz w:val="20"/>
          <w:szCs w:val="20"/>
        </w:rPr>
        <w:t xml:space="preserve">2 </w:t>
      </w:r>
      <w:r w:rsidRPr="003236A7">
        <w:rPr>
          <w:sz w:val="20"/>
          <w:szCs w:val="20"/>
        </w:rPr>
        <w:t xml:space="preserve">— </w:t>
      </w:r>
      <w:r>
        <w:rPr>
          <w:sz w:val="20"/>
          <w:szCs w:val="20"/>
        </w:rPr>
        <w:t>IBM’s continuous-diagnostic framework extends Evidence-Centered Design [Mislevy2003, Rupp2010, Haertel2016] into a framework for adaptive personalization of instruction according to individual-student states of proficiency.</w:t>
      </w:r>
    </w:p>
    <w:p w:rsidR="00D94FC0" w:rsidRDefault="00FE2181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499568</wp:posOffset>
            </wp:positionV>
            <wp:extent cx="5943600" cy="47263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FC0" w:rsidRPr="003236A7" w:rsidRDefault="00D94FC0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1 2019-03-11_10-23-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C0" w:rsidRPr="003236A7" w:rsidSect="003F2F45">
      <w:headerReference w:type="default" r:id="rId28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332" w:rsidRDefault="00134332" w:rsidP="00C8516E">
      <w:pPr>
        <w:spacing w:after="0"/>
      </w:pPr>
      <w:r>
        <w:separator/>
      </w:r>
    </w:p>
  </w:endnote>
  <w:endnote w:type="continuationSeparator" w:id="0">
    <w:p w:rsidR="00134332" w:rsidRDefault="00134332" w:rsidP="00C851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Nunito ExtraLight">
    <w:panose1 w:val="00000300000000000000"/>
    <w:charset w:val="00"/>
    <w:family w:val="auto"/>
    <w:pitch w:val="variable"/>
    <w:sig w:usb0="20000007" w:usb1="00000001" w:usb2="00000000" w:usb3="00000000" w:csb0="00000193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Light">
    <w:panose1 w:val="020B0402020203020204"/>
    <w:charset w:val="00"/>
    <w:family w:val="auto"/>
    <w:pitch w:val="variable"/>
    <w:sig w:usb0="00000003" w:usb1="00000000" w:usb2="00000000" w:usb3="00000000" w:csb0="00000001" w:csb1="00000000"/>
  </w:font>
  <w:font w:name="Nunito Bold">
    <w:panose1 w:val="00000800000000000000"/>
    <w:charset w:val="00"/>
    <w:family w:val="auto"/>
    <w:pitch w:val="variable"/>
    <w:sig w:usb0="20000007" w:usb1="00000001" w:usb2="00000000" w:usb3="00000000" w:csb0="00000193" w:csb1="00000000"/>
  </w:font>
  <w:font w:name="Nunito">
    <w:panose1 w:val="00000500000000000000"/>
    <w:charset w:val="4D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A2B" w:rsidRPr="00181A2B" w:rsidRDefault="00181A2B" w:rsidP="00181A2B">
    <w:pPr>
      <w:pStyle w:val="Footer"/>
      <w:jc w:val="center"/>
      <w:rPr>
        <w:rFonts w:ascii="Avenir Medium" w:hAnsi="Avenir Medium"/>
        <w:color w:val="4B6BAF"/>
        <w:sz w:val="20"/>
        <w:szCs w:val="20"/>
      </w:rPr>
    </w:pPr>
    <w:r w:rsidRPr="00181A2B">
      <w:rPr>
        <w:rFonts w:ascii="Avenir Medium" w:hAnsi="Avenir Medium"/>
        <w:color w:val="4B6BAF"/>
        <w:sz w:val="20"/>
        <w:szCs w:val="20"/>
      </w:rPr>
      <w:t xml:space="preserve">Page </w:t>
    </w:r>
    <w:r w:rsidR="00134332">
      <w:fldChar w:fldCharType="begin"/>
    </w:r>
    <w:r w:rsidR="00134332">
      <w:instrText xml:space="preserve"> PAGE  \* MERGEFORMAT </w:instrText>
    </w:r>
    <w:r w:rsidR="00134332">
      <w:fldChar w:fldCharType="separate"/>
    </w:r>
    <w:r w:rsidR="00EC016A">
      <w:rPr>
        <w:rFonts w:ascii="Avenir Medium" w:hAnsi="Avenir Medium"/>
        <w:noProof/>
        <w:color w:val="4B6BAF"/>
        <w:sz w:val="20"/>
        <w:szCs w:val="20"/>
      </w:rPr>
      <w:t>4</w:t>
    </w:r>
    <w:r w:rsidR="00134332">
      <w:rPr>
        <w:rFonts w:ascii="Avenir Medium" w:hAnsi="Avenir Medium"/>
        <w:noProof/>
        <w:color w:val="4B6BAF"/>
        <w:sz w:val="20"/>
        <w:szCs w:val="20"/>
      </w:rPr>
      <w:fldChar w:fldCharType="end"/>
    </w:r>
    <w:r w:rsidRPr="00181A2B">
      <w:rPr>
        <w:rFonts w:ascii="Avenir Medium" w:hAnsi="Avenir Medium"/>
        <w:color w:val="4B6BAF"/>
        <w:sz w:val="20"/>
        <w:szCs w:val="20"/>
      </w:rPr>
      <w:t xml:space="preserve"> of </w:t>
    </w:r>
    <w:r w:rsidR="00134332">
      <w:fldChar w:fldCharType="begin"/>
    </w:r>
    <w:r w:rsidR="00134332">
      <w:instrText xml:space="preserve"> NUMPAGES  \* MERGEFORMAT </w:instrText>
    </w:r>
    <w:r w:rsidR="00134332">
      <w:fldChar w:fldCharType="separate"/>
    </w:r>
    <w:r w:rsidR="00EC016A">
      <w:rPr>
        <w:rFonts w:ascii="Avenir Medium" w:hAnsi="Avenir Medium"/>
        <w:noProof/>
        <w:color w:val="4B6BAF"/>
        <w:sz w:val="20"/>
        <w:szCs w:val="20"/>
      </w:rPr>
      <w:t>6</w:t>
    </w:r>
    <w:r w:rsidR="00134332">
      <w:rPr>
        <w:rFonts w:ascii="Avenir Medium" w:hAnsi="Avenir Medium"/>
        <w:noProof/>
        <w:color w:val="4B6BAF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332" w:rsidRDefault="00134332" w:rsidP="00C8516E">
      <w:pPr>
        <w:spacing w:after="0"/>
      </w:pPr>
      <w:r>
        <w:separator/>
      </w:r>
    </w:p>
  </w:footnote>
  <w:footnote w:type="continuationSeparator" w:id="0">
    <w:p w:rsidR="00134332" w:rsidRDefault="00134332" w:rsidP="00C8516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16A" w:rsidRDefault="00181A2B" w:rsidP="00EC016A">
    <w:pPr>
      <w:pStyle w:val="Header"/>
      <w:jc w:val="center"/>
      <w:rPr>
        <w:rFonts w:ascii="Nunito" w:hAnsi="Nunito"/>
        <w:color w:val="4B6BAF"/>
        <w:sz w:val="16"/>
        <w:szCs w:val="16"/>
      </w:rPr>
    </w:pPr>
    <w:r w:rsidRPr="00FE2181">
      <w:rPr>
        <w:rFonts w:ascii="Nunito" w:hAnsi="Nunito"/>
        <w:color w:val="4B6BAF"/>
        <w:sz w:val="16"/>
        <w:szCs w:val="16"/>
      </w:rPr>
      <w:t>©2019, IBM</w:t>
    </w:r>
  </w:p>
  <w:p w:rsidR="00FE2181" w:rsidRPr="00FE2181" w:rsidRDefault="00FE2181" w:rsidP="00EC016A">
    <w:pPr>
      <w:pStyle w:val="Header"/>
      <w:jc w:val="center"/>
      <w:rPr>
        <w:rFonts w:ascii="Nunito" w:hAnsi="Nunito"/>
        <w:color w:val="4B6BAF"/>
        <w:sz w:val="16"/>
        <w:szCs w:val="16"/>
      </w:rPr>
    </w:pPr>
  </w:p>
  <w:p w:rsidR="00181A2B" w:rsidRPr="00FE2181" w:rsidRDefault="00EC016A" w:rsidP="00EC016A">
    <w:pPr>
      <w:pStyle w:val="Header"/>
      <w:jc w:val="center"/>
      <w:rPr>
        <w:rFonts w:ascii="Nunito" w:hAnsi="Nunito"/>
        <w:b/>
        <w:bCs/>
        <w:i/>
        <w:iCs/>
        <w:color w:val="003459"/>
      </w:rPr>
    </w:pPr>
    <w:r w:rsidRPr="00FE2181">
      <w:rPr>
        <w:rFonts w:ascii="Nunito" w:hAnsi="Nunito"/>
        <w:b/>
        <w:bCs/>
        <w:i/>
        <w:iCs/>
        <w:color w:val="003459"/>
      </w:rPr>
      <w:t xml:space="preserve">Abstract submitted to, accepted </w:t>
    </w:r>
    <w:r w:rsidR="00FE2181">
      <w:rPr>
        <w:rFonts w:ascii="Nunito" w:hAnsi="Nunito"/>
        <w:b/>
        <w:bCs/>
        <w:i/>
        <w:iCs/>
        <w:color w:val="003459"/>
      </w:rPr>
      <w:t>by National Council on Measurements in Education (NCME)conference “Classroom assessment as a learning Experience”, September 2019.  Paper subsequently withdrawn.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F45" w:rsidRDefault="003F2F45" w:rsidP="00EC016A">
    <w:pPr>
      <w:pStyle w:val="Header"/>
      <w:jc w:val="center"/>
      <w:rPr>
        <w:rFonts w:ascii="Nunito" w:hAnsi="Nunito"/>
        <w:color w:val="4B6BAF"/>
        <w:sz w:val="16"/>
        <w:szCs w:val="16"/>
      </w:rPr>
    </w:pPr>
    <w:r w:rsidRPr="00FE2181">
      <w:rPr>
        <w:rFonts w:ascii="Nunito" w:hAnsi="Nunito"/>
        <w:color w:val="4B6BAF"/>
        <w:sz w:val="16"/>
        <w:szCs w:val="16"/>
      </w:rPr>
      <w:t>©2019, IBM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7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4CEF"/>
    <w:rsid w:val="00016C8F"/>
    <w:rsid w:val="0002152C"/>
    <w:rsid w:val="00047847"/>
    <w:rsid w:val="00050F9E"/>
    <w:rsid w:val="000545B1"/>
    <w:rsid w:val="0006103E"/>
    <w:rsid w:val="0006123F"/>
    <w:rsid w:val="00084413"/>
    <w:rsid w:val="000867D6"/>
    <w:rsid w:val="00086E60"/>
    <w:rsid w:val="00095017"/>
    <w:rsid w:val="000966BB"/>
    <w:rsid w:val="000A14FE"/>
    <w:rsid w:val="000A2ED8"/>
    <w:rsid w:val="000C0ABC"/>
    <w:rsid w:val="000C63E9"/>
    <w:rsid w:val="000D318A"/>
    <w:rsid w:val="000D648B"/>
    <w:rsid w:val="000D76F6"/>
    <w:rsid w:val="000E03CC"/>
    <w:rsid w:val="000F1167"/>
    <w:rsid w:val="000F2475"/>
    <w:rsid w:val="000F61FF"/>
    <w:rsid w:val="00113616"/>
    <w:rsid w:val="001272CC"/>
    <w:rsid w:val="00134332"/>
    <w:rsid w:val="0013479E"/>
    <w:rsid w:val="001353D9"/>
    <w:rsid w:val="00140FCB"/>
    <w:rsid w:val="001449EA"/>
    <w:rsid w:val="001516C8"/>
    <w:rsid w:val="0015612E"/>
    <w:rsid w:val="00175E7A"/>
    <w:rsid w:val="001817C6"/>
    <w:rsid w:val="00181A2B"/>
    <w:rsid w:val="00182B29"/>
    <w:rsid w:val="001979AB"/>
    <w:rsid w:val="001A04B6"/>
    <w:rsid w:val="001A0857"/>
    <w:rsid w:val="001A1314"/>
    <w:rsid w:val="001A610D"/>
    <w:rsid w:val="001A64A1"/>
    <w:rsid w:val="001C54F9"/>
    <w:rsid w:val="001D2BED"/>
    <w:rsid w:val="001D71CA"/>
    <w:rsid w:val="001E08B9"/>
    <w:rsid w:val="001E572B"/>
    <w:rsid w:val="001E6ECE"/>
    <w:rsid w:val="001F4CEF"/>
    <w:rsid w:val="0021018E"/>
    <w:rsid w:val="00210A11"/>
    <w:rsid w:val="00215B75"/>
    <w:rsid w:val="00217CA8"/>
    <w:rsid w:val="00223264"/>
    <w:rsid w:val="00225973"/>
    <w:rsid w:val="00232702"/>
    <w:rsid w:val="00247BE7"/>
    <w:rsid w:val="00251786"/>
    <w:rsid w:val="00260530"/>
    <w:rsid w:val="002713E4"/>
    <w:rsid w:val="00271D1A"/>
    <w:rsid w:val="00276ECE"/>
    <w:rsid w:val="002775C1"/>
    <w:rsid w:val="002811EC"/>
    <w:rsid w:val="002856ED"/>
    <w:rsid w:val="0028771A"/>
    <w:rsid w:val="00290E9F"/>
    <w:rsid w:val="002937F2"/>
    <w:rsid w:val="002958B0"/>
    <w:rsid w:val="002A001B"/>
    <w:rsid w:val="002A5010"/>
    <w:rsid w:val="002B112D"/>
    <w:rsid w:val="002B38C8"/>
    <w:rsid w:val="002C0874"/>
    <w:rsid w:val="002D0361"/>
    <w:rsid w:val="002D2CCC"/>
    <w:rsid w:val="002D4463"/>
    <w:rsid w:val="002D74AC"/>
    <w:rsid w:val="002E2798"/>
    <w:rsid w:val="002E6DFC"/>
    <w:rsid w:val="002F12F9"/>
    <w:rsid w:val="002F4A36"/>
    <w:rsid w:val="002F7E04"/>
    <w:rsid w:val="00300062"/>
    <w:rsid w:val="00303C4D"/>
    <w:rsid w:val="00310071"/>
    <w:rsid w:val="00310310"/>
    <w:rsid w:val="00312B93"/>
    <w:rsid w:val="00322018"/>
    <w:rsid w:val="00322DA7"/>
    <w:rsid w:val="003236A7"/>
    <w:rsid w:val="003258E5"/>
    <w:rsid w:val="003261BE"/>
    <w:rsid w:val="00345B31"/>
    <w:rsid w:val="00347762"/>
    <w:rsid w:val="0036434B"/>
    <w:rsid w:val="00366EB3"/>
    <w:rsid w:val="0036776A"/>
    <w:rsid w:val="00375ADC"/>
    <w:rsid w:val="0038513A"/>
    <w:rsid w:val="003946E4"/>
    <w:rsid w:val="003A1ACD"/>
    <w:rsid w:val="003A2F12"/>
    <w:rsid w:val="003B0E71"/>
    <w:rsid w:val="003D249C"/>
    <w:rsid w:val="003D567D"/>
    <w:rsid w:val="003D7928"/>
    <w:rsid w:val="003E60EE"/>
    <w:rsid w:val="003F09A4"/>
    <w:rsid w:val="003F292C"/>
    <w:rsid w:val="003F2F45"/>
    <w:rsid w:val="003F4259"/>
    <w:rsid w:val="003F6D54"/>
    <w:rsid w:val="00403FDD"/>
    <w:rsid w:val="00413371"/>
    <w:rsid w:val="00420E52"/>
    <w:rsid w:val="00424D99"/>
    <w:rsid w:val="004311C2"/>
    <w:rsid w:val="0043371D"/>
    <w:rsid w:val="00437026"/>
    <w:rsid w:val="0043716F"/>
    <w:rsid w:val="00441719"/>
    <w:rsid w:val="00444123"/>
    <w:rsid w:val="00445550"/>
    <w:rsid w:val="004544C5"/>
    <w:rsid w:val="00457AF1"/>
    <w:rsid w:val="004607B4"/>
    <w:rsid w:val="00460D9C"/>
    <w:rsid w:val="00472D35"/>
    <w:rsid w:val="004736C9"/>
    <w:rsid w:val="00481E29"/>
    <w:rsid w:val="0048244C"/>
    <w:rsid w:val="00482A08"/>
    <w:rsid w:val="00485574"/>
    <w:rsid w:val="00493CB2"/>
    <w:rsid w:val="00495212"/>
    <w:rsid w:val="004A05F3"/>
    <w:rsid w:val="004A0F80"/>
    <w:rsid w:val="004A146B"/>
    <w:rsid w:val="004A1A38"/>
    <w:rsid w:val="004A3304"/>
    <w:rsid w:val="004B5120"/>
    <w:rsid w:val="004B5ABB"/>
    <w:rsid w:val="004B5BE6"/>
    <w:rsid w:val="004C4D72"/>
    <w:rsid w:val="004D07C6"/>
    <w:rsid w:val="004D1925"/>
    <w:rsid w:val="004D35E0"/>
    <w:rsid w:val="004D4B54"/>
    <w:rsid w:val="004E2D67"/>
    <w:rsid w:val="004E7159"/>
    <w:rsid w:val="004E74BD"/>
    <w:rsid w:val="005016C6"/>
    <w:rsid w:val="005023C6"/>
    <w:rsid w:val="00504754"/>
    <w:rsid w:val="0052400B"/>
    <w:rsid w:val="00537DCF"/>
    <w:rsid w:val="00554E51"/>
    <w:rsid w:val="0055581C"/>
    <w:rsid w:val="00556311"/>
    <w:rsid w:val="00557002"/>
    <w:rsid w:val="005578A7"/>
    <w:rsid w:val="00561AF7"/>
    <w:rsid w:val="00563511"/>
    <w:rsid w:val="00564771"/>
    <w:rsid w:val="005663DF"/>
    <w:rsid w:val="00571E60"/>
    <w:rsid w:val="00575CA9"/>
    <w:rsid w:val="00576C23"/>
    <w:rsid w:val="00580411"/>
    <w:rsid w:val="00582280"/>
    <w:rsid w:val="00587F50"/>
    <w:rsid w:val="005945E3"/>
    <w:rsid w:val="00595FCD"/>
    <w:rsid w:val="00596973"/>
    <w:rsid w:val="005A0ED1"/>
    <w:rsid w:val="005A20A2"/>
    <w:rsid w:val="005A5762"/>
    <w:rsid w:val="005B51A4"/>
    <w:rsid w:val="005B6D6F"/>
    <w:rsid w:val="005B789E"/>
    <w:rsid w:val="005C2065"/>
    <w:rsid w:val="005C7A03"/>
    <w:rsid w:val="005C7D30"/>
    <w:rsid w:val="005D3F86"/>
    <w:rsid w:val="005E024C"/>
    <w:rsid w:val="005E4990"/>
    <w:rsid w:val="005E70CA"/>
    <w:rsid w:val="005F1942"/>
    <w:rsid w:val="005F1E19"/>
    <w:rsid w:val="005F4D30"/>
    <w:rsid w:val="005F51EE"/>
    <w:rsid w:val="005F7D16"/>
    <w:rsid w:val="0061315F"/>
    <w:rsid w:val="0062466C"/>
    <w:rsid w:val="0063021B"/>
    <w:rsid w:val="0063030C"/>
    <w:rsid w:val="0063354F"/>
    <w:rsid w:val="00634EF8"/>
    <w:rsid w:val="006447CB"/>
    <w:rsid w:val="006514A3"/>
    <w:rsid w:val="00651564"/>
    <w:rsid w:val="006565BE"/>
    <w:rsid w:val="00657DD8"/>
    <w:rsid w:val="00662864"/>
    <w:rsid w:val="00666852"/>
    <w:rsid w:val="006673B3"/>
    <w:rsid w:val="00676148"/>
    <w:rsid w:val="006810EF"/>
    <w:rsid w:val="00695BE9"/>
    <w:rsid w:val="006967B0"/>
    <w:rsid w:val="006A069F"/>
    <w:rsid w:val="006A0D48"/>
    <w:rsid w:val="006B4B6A"/>
    <w:rsid w:val="006B4DFE"/>
    <w:rsid w:val="006B5DF0"/>
    <w:rsid w:val="006C512F"/>
    <w:rsid w:val="006D5B84"/>
    <w:rsid w:val="006D5C24"/>
    <w:rsid w:val="006D6CC6"/>
    <w:rsid w:val="006D7E9A"/>
    <w:rsid w:val="006E14E8"/>
    <w:rsid w:val="006E68AB"/>
    <w:rsid w:val="006E70BC"/>
    <w:rsid w:val="006F197B"/>
    <w:rsid w:val="006F1A25"/>
    <w:rsid w:val="006F28EE"/>
    <w:rsid w:val="006F3A7D"/>
    <w:rsid w:val="007010B2"/>
    <w:rsid w:val="00707448"/>
    <w:rsid w:val="00711694"/>
    <w:rsid w:val="007228A8"/>
    <w:rsid w:val="00722DD1"/>
    <w:rsid w:val="00731C97"/>
    <w:rsid w:val="00733467"/>
    <w:rsid w:val="00737367"/>
    <w:rsid w:val="00747610"/>
    <w:rsid w:val="007524A0"/>
    <w:rsid w:val="00760699"/>
    <w:rsid w:val="00761446"/>
    <w:rsid w:val="00764558"/>
    <w:rsid w:val="007670C7"/>
    <w:rsid w:val="0076752F"/>
    <w:rsid w:val="00771EBA"/>
    <w:rsid w:val="007805C1"/>
    <w:rsid w:val="007876EA"/>
    <w:rsid w:val="00792960"/>
    <w:rsid w:val="00792A63"/>
    <w:rsid w:val="007A22A3"/>
    <w:rsid w:val="007B1D6E"/>
    <w:rsid w:val="007B3FE2"/>
    <w:rsid w:val="007C1F8B"/>
    <w:rsid w:val="007C63F8"/>
    <w:rsid w:val="007D3D45"/>
    <w:rsid w:val="007E398D"/>
    <w:rsid w:val="007E5907"/>
    <w:rsid w:val="00807780"/>
    <w:rsid w:val="00812507"/>
    <w:rsid w:val="008144AA"/>
    <w:rsid w:val="00815C2A"/>
    <w:rsid w:val="00822BC3"/>
    <w:rsid w:val="008237BB"/>
    <w:rsid w:val="008245BA"/>
    <w:rsid w:val="00830917"/>
    <w:rsid w:val="00834E65"/>
    <w:rsid w:val="00836AB8"/>
    <w:rsid w:val="0084666A"/>
    <w:rsid w:val="0084709F"/>
    <w:rsid w:val="008506A2"/>
    <w:rsid w:val="008516B3"/>
    <w:rsid w:val="00855976"/>
    <w:rsid w:val="00861AD7"/>
    <w:rsid w:val="00864453"/>
    <w:rsid w:val="00866ECD"/>
    <w:rsid w:val="008718D2"/>
    <w:rsid w:val="00871950"/>
    <w:rsid w:val="00872CD4"/>
    <w:rsid w:val="00875712"/>
    <w:rsid w:val="00880DD8"/>
    <w:rsid w:val="00881E00"/>
    <w:rsid w:val="00884F3A"/>
    <w:rsid w:val="008861D1"/>
    <w:rsid w:val="008A1B54"/>
    <w:rsid w:val="008A21A9"/>
    <w:rsid w:val="008A39CD"/>
    <w:rsid w:val="008A638F"/>
    <w:rsid w:val="008B0377"/>
    <w:rsid w:val="008B1F10"/>
    <w:rsid w:val="008B751B"/>
    <w:rsid w:val="008C0E5F"/>
    <w:rsid w:val="008D0ABF"/>
    <w:rsid w:val="008D65DB"/>
    <w:rsid w:val="008D78BA"/>
    <w:rsid w:val="008E2B3D"/>
    <w:rsid w:val="008E45E1"/>
    <w:rsid w:val="008F2B22"/>
    <w:rsid w:val="008F727D"/>
    <w:rsid w:val="00905947"/>
    <w:rsid w:val="00905C11"/>
    <w:rsid w:val="0091333F"/>
    <w:rsid w:val="00925357"/>
    <w:rsid w:val="00926708"/>
    <w:rsid w:val="00931D34"/>
    <w:rsid w:val="009326FD"/>
    <w:rsid w:val="00933744"/>
    <w:rsid w:val="009340B8"/>
    <w:rsid w:val="00940B13"/>
    <w:rsid w:val="00946ED0"/>
    <w:rsid w:val="0095044C"/>
    <w:rsid w:val="009618AB"/>
    <w:rsid w:val="00970363"/>
    <w:rsid w:val="00971266"/>
    <w:rsid w:val="00975FD2"/>
    <w:rsid w:val="009833C2"/>
    <w:rsid w:val="00994D9E"/>
    <w:rsid w:val="0099546A"/>
    <w:rsid w:val="00996DDB"/>
    <w:rsid w:val="00997D79"/>
    <w:rsid w:val="009A3C7F"/>
    <w:rsid w:val="009A5087"/>
    <w:rsid w:val="009A7596"/>
    <w:rsid w:val="009B43EB"/>
    <w:rsid w:val="009B54A8"/>
    <w:rsid w:val="009E3FFB"/>
    <w:rsid w:val="009E41BF"/>
    <w:rsid w:val="009E5EB8"/>
    <w:rsid w:val="009E753C"/>
    <w:rsid w:val="009F4F5B"/>
    <w:rsid w:val="009F62AB"/>
    <w:rsid w:val="00A10348"/>
    <w:rsid w:val="00A1375F"/>
    <w:rsid w:val="00A17DE4"/>
    <w:rsid w:val="00A21C4B"/>
    <w:rsid w:val="00A23B68"/>
    <w:rsid w:val="00A24C35"/>
    <w:rsid w:val="00A25021"/>
    <w:rsid w:val="00A31A91"/>
    <w:rsid w:val="00A328E7"/>
    <w:rsid w:val="00A34C4E"/>
    <w:rsid w:val="00A40B86"/>
    <w:rsid w:val="00A43643"/>
    <w:rsid w:val="00A4724C"/>
    <w:rsid w:val="00A50224"/>
    <w:rsid w:val="00A53A18"/>
    <w:rsid w:val="00A61FEC"/>
    <w:rsid w:val="00A70655"/>
    <w:rsid w:val="00A77AB0"/>
    <w:rsid w:val="00A83617"/>
    <w:rsid w:val="00A83695"/>
    <w:rsid w:val="00A8501E"/>
    <w:rsid w:val="00A877A0"/>
    <w:rsid w:val="00A93C62"/>
    <w:rsid w:val="00AA350B"/>
    <w:rsid w:val="00AA5EA5"/>
    <w:rsid w:val="00AB172B"/>
    <w:rsid w:val="00AB1792"/>
    <w:rsid w:val="00AB6982"/>
    <w:rsid w:val="00AC493C"/>
    <w:rsid w:val="00AD07E3"/>
    <w:rsid w:val="00AD1886"/>
    <w:rsid w:val="00AD3275"/>
    <w:rsid w:val="00AE1C8B"/>
    <w:rsid w:val="00AE7A92"/>
    <w:rsid w:val="00AF0E51"/>
    <w:rsid w:val="00AF2629"/>
    <w:rsid w:val="00AF2D01"/>
    <w:rsid w:val="00B035B8"/>
    <w:rsid w:val="00B07710"/>
    <w:rsid w:val="00B21FFA"/>
    <w:rsid w:val="00B244BA"/>
    <w:rsid w:val="00B34C1A"/>
    <w:rsid w:val="00B37FD1"/>
    <w:rsid w:val="00B43390"/>
    <w:rsid w:val="00B552E5"/>
    <w:rsid w:val="00B63135"/>
    <w:rsid w:val="00B818AA"/>
    <w:rsid w:val="00B86054"/>
    <w:rsid w:val="00B87C0C"/>
    <w:rsid w:val="00B94519"/>
    <w:rsid w:val="00B94DF1"/>
    <w:rsid w:val="00BA04D0"/>
    <w:rsid w:val="00BA1A8D"/>
    <w:rsid w:val="00BA6927"/>
    <w:rsid w:val="00BA72A7"/>
    <w:rsid w:val="00BB2682"/>
    <w:rsid w:val="00BC00DD"/>
    <w:rsid w:val="00BD5BA8"/>
    <w:rsid w:val="00BD6D3A"/>
    <w:rsid w:val="00BE1945"/>
    <w:rsid w:val="00BE44EB"/>
    <w:rsid w:val="00BE7C0C"/>
    <w:rsid w:val="00BF1BDA"/>
    <w:rsid w:val="00BF3828"/>
    <w:rsid w:val="00BF4A7B"/>
    <w:rsid w:val="00BF5CFC"/>
    <w:rsid w:val="00C04ED6"/>
    <w:rsid w:val="00C0607D"/>
    <w:rsid w:val="00C101A6"/>
    <w:rsid w:val="00C1775D"/>
    <w:rsid w:val="00C20459"/>
    <w:rsid w:val="00C22192"/>
    <w:rsid w:val="00C27268"/>
    <w:rsid w:val="00C27E6F"/>
    <w:rsid w:val="00C33A44"/>
    <w:rsid w:val="00C34A72"/>
    <w:rsid w:val="00C37868"/>
    <w:rsid w:val="00C42C3E"/>
    <w:rsid w:val="00C42C79"/>
    <w:rsid w:val="00C43D61"/>
    <w:rsid w:val="00C46695"/>
    <w:rsid w:val="00C466E0"/>
    <w:rsid w:val="00C47FF9"/>
    <w:rsid w:val="00C50815"/>
    <w:rsid w:val="00C511D3"/>
    <w:rsid w:val="00C51A0E"/>
    <w:rsid w:val="00C62B99"/>
    <w:rsid w:val="00C639B7"/>
    <w:rsid w:val="00C64554"/>
    <w:rsid w:val="00C6691E"/>
    <w:rsid w:val="00C67C26"/>
    <w:rsid w:val="00C71138"/>
    <w:rsid w:val="00C71A1F"/>
    <w:rsid w:val="00C74D61"/>
    <w:rsid w:val="00C843AF"/>
    <w:rsid w:val="00C8516E"/>
    <w:rsid w:val="00C87EA3"/>
    <w:rsid w:val="00C9162A"/>
    <w:rsid w:val="00C91C72"/>
    <w:rsid w:val="00C91EEF"/>
    <w:rsid w:val="00C92924"/>
    <w:rsid w:val="00C953A5"/>
    <w:rsid w:val="00CA0F02"/>
    <w:rsid w:val="00CA6276"/>
    <w:rsid w:val="00CA7CD8"/>
    <w:rsid w:val="00CB0493"/>
    <w:rsid w:val="00CB16F1"/>
    <w:rsid w:val="00CB2EFA"/>
    <w:rsid w:val="00CB4BAB"/>
    <w:rsid w:val="00CB6084"/>
    <w:rsid w:val="00CC5D0E"/>
    <w:rsid w:val="00CD0A60"/>
    <w:rsid w:val="00CD0CFA"/>
    <w:rsid w:val="00CD3E1F"/>
    <w:rsid w:val="00CD5459"/>
    <w:rsid w:val="00CD67F2"/>
    <w:rsid w:val="00CD6E8D"/>
    <w:rsid w:val="00CE156F"/>
    <w:rsid w:val="00CE1EA0"/>
    <w:rsid w:val="00CE29AA"/>
    <w:rsid w:val="00CE3708"/>
    <w:rsid w:val="00CE4B1E"/>
    <w:rsid w:val="00CF5AE1"/>
    <w:rsid w:val="00D02A9C"/>
    <w:rsid w:val="00D114FF"/>
    <w:rsid w:val="00D13F9B"/>
    <w:rsid w:val="00D42AD6"/>
    <w:rsid w:val="00D47CF9"/>
    <w:rsid w:val="00D55860"/>
    <w:rsid w:val="00D66C5A"/>
    <w:rsid w:val="00D7288F"/>
    <w:rsid w:val="00D828BF"/>
    <w:rsid w:val="00D8795B"/>
    <w:rsid w:val="00D94FC0"/>
    <w:rsid w:val="00DA311D"/>
    <w:rsid w:val="00DA48E9"/>
    <w:rsid w:val="00DB1DD5"/>
    <w:rsid w:val="00DB2284"/>
    <w:rsid w:val="00DB3CDE"/>
    <w:rsid w:val="00DB4567"/>
    <w:rsid w:val="00DB598A"/>
    <w:rsid w:val="00DC1056"/>
    <w:rsid w:val="00DC4CC7"/>
    <w:rsid w:val="00DD2D7D"/>
    <w:rsid w:val="00DE04B8"/>
    <w:rsid w:val="00DE63EB"/>
    <w:rsid w:val="00DE716E"/>
    <w:rsid w:val="00DF12D1"/>
    <w:rsid w:val="00DF4F96"/>
    <w:rsid w:val="00DF56DA"/>
    <w:rsid w:val="00DF6718"/>
    <w:rsid w:val="00E07CFA"/>
    <w:rsid w:val="00E14091"/>
    <w:rsid w:val="00E1517A"/>
    <w:rsid w:val="00E22691"/>
    <w:rsid w:val="00E25B28"/>
    <w:rsid w:val="00E30E3C"/>
    <w:rsid w:val="00E34678"/>
    <w:rsid w:val="00E406D4"/>
    <w:rsid w:val="00E4253E"/>
    <w:rsid w:val="00E45CC2"/>
    <w:rsid w:val="00E51955"/>
    <w:rsid w:val="00E53DA6"/>
    <w:rsid w:val="00E551B0"/>
    <w:rsid w:val="00E6193E"/>
    <w:rsid w:val="00E62615"/>
    <w:rsid w:val="00E7149E"/>
    <w:rsid w:val="00E71A0D"/>
    <w:rsid w:val="00E82D60"/>
    <w:rsid w:val="00E860AC"/>
    <w:rsid w:val="00E879C2"/>
    <w:rsid w:val="00EB0CFE"/>
    <w:rsid w:val="00EB1A9F"/>
    <w:rsid w:val="00EB54F8"/>
    <w:rsid w:val="00EC016A"/>
    <w:rsid w:val="00EC04CF"/>
    <w:rsid w:val="00EC109F"/>
    <w:rsid w:val="00EC1223"/>
    <w:rsid w:val="00EC18F9"/>
    <w:rsid w:val="00EC69FC"/>
    <w:rsid w:val="00ED0F21"/>
    <w:rsid w:val="00ED0F8A"/>
    <w:rsid w:val="00ED2261"/>
    <w:rsid w:val="00EE1A29"/>
    <w:rsid w:val="00EF05B0"/>
    <w:rsid w:val="00EF19B0"/>
    <w:rsid w:val="00EF374D"/>
    <w:rsid w:val="00F0238C"/>
    <w:rsid w:val="00F16743"/>
    <w:rsid w:val="00F22419"/>
    <w:rsid w:val="00F228DC"/>
    <w:rsid w:val="00F31BFD"/>
    <w:rsid w:val="00F4016F"/>
    <w:rsid w:val="00F56CCC"/>
    <w:rsid w:val="00F57B6A"/>
    <w:rsid w:val="00F61DAD"/>
    <w:rsid w:val="00F72311"/>
    <w:rsid w:val="00F74BED"/>
    <w:rsid w:val="00F7651B"/>
    <w:rsid w:val="00F76FBC"/>
    <w:rsid w:val="00F84F15"/>
    <w:rsid w:val="00F878DA"/>
    <w:rsid w:val="00F90651"/>
    <w:rsid w:val="00F93DAD"/>
    <w:rsid w:val="00F942CB"/>
    <w:rsid w:val="00F96EFE"/>
    <w:rsid w:val="00FC2834"/>
    <w:rsid w:val="00FC4084"/>
    <w:rsid w:val="00FD0649"/>
    <w:rsid w:val="00FD21EC"/>
    <w:rsid w:val="00FD2AB1"/>
    <w:rsid w:val="00FE1BD8"/>
    <w:rsid w:val="00FE2181"/>
    <w:rsid w:val="00FE72CE"/>
    <w:rsid w:val="00FF3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14E99"/>
  <w15:docId w15:val="{05CE82AD-FE1B-BD42-92C2-C8FE8A6C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16A"/>
    <w:pPr>
      <w:spacing w:after="120"/>
    </w:pPr>
    <w:rPr>
      <w:rFonts w:ascii="Nunito ExtraLight" w:hAnsi="Nunito Extra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3D61"/>
    <w:pPr>
      <w:keepNext/>
      <w:keepLines/>
      <w:spacing w:before="240" w:after="0"/>
      <w:outlineLvl w:val="0"/>
    </w:pPr>
    <w:rPr>
      <w:rFonts w:ascii="Avenir Medium" w:eastAsiaTheme="majorEastAsia" w:hAnsi="Avenir Medium" w:cstheme="majorBidi"/>
      <w:color w:val="0051B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Test2">
    <w:name w:val="Table Test 2"/>
    <w:basedOn w:val="TableNormal"/>
    <w:uiPriority w:val="99"/>
    <w:rsid w:val="00C466E0"/>
    <w:rPr>
      <w:rFonts w:ascii="Avenir Light" w:eastAsia="Calibri" w:hAnsi="Avenir Light" w:cs="Times New Roman"/>
      <w:sz w:val="20"/>
      <w:szCs w:val="20"/>
    </w:rPr>
    <w:tblPr/>
  </w:style>
  <w:style w:type="paragraph" w:styleId="Title">
    <w:name w:val="Title"/>
    <w:basedOn w:val="Normal"/>
    <w:next w:val="Normal"/>
    <w:link w:val="TitleChar"/>
    <w:uiPriority w:val="10"/>
    <w:qFormat/>
    <w:rsid w:val="00EC016A"/>
    <w:pPr>
      <w:spacing w:after="240"/>
      <w:contextualSpacing/>
    </w:pPr>
    <w:rPr>
      <w:rFonts w:ascii="Nunito Bold" w:eastAsiaTheme="majorEastAsia" w:hAnsi="Nunito Bold" w:cstheme="majorBidi"/>
      <w:color w:val="0051BA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16A"/>
    <w:rPr>
      <w:rFonts w:ascii="Nunito Bold" w:eastAsiaTheme="majorEastAsia" w:hAnsi="Nunito Bold" w:cstheme="majorBidi"/>
      <w:color w:val="0051BA"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43D61"/>
    <w:rPr>
      <w:rFonts w:ascii="Avenir Medium" w:eastAsiaTheme="majorEastAsia" w:hAnsi="Avenir Medium" w:cstheme="majorBidi"/>
      <w:color w:val="0051B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516E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516E"/>
    <w:rPr>
      <w:rFonts w:ascii="Avenir Light" w:hAnsi="Avenir Light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516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15C2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15C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92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C5D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0E"/>
    <w:rPr>
      <w:rFonts w:ascii="Avenir Light" w:hAnsi="Avenir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0E"/>
    <w:rPr>
      <w:rFonts w:ascii="Avenir Light" w:hAnsi="Avenir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FC0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FC0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81A2B"/>
    <w:rPr>
      <w:rFonts w:ascii="Avenir Light" w:hAnsi="Avenir Light"/>
    </w:rPr>
  </w:style>
  <w:style w:type="paragraph" w:styleId="Footer">
    <w:name w:val="footer"/>
    <w:basedOn w:val="Normal"/>
    <w:link w:val="Foot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81A2B"/>
    <w:rPr>
      <w:rFonts w:ascii="Avenir Light" w:hAnsi="Avenir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3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2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994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1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5059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ibm.biz/ASCD_Marzano_Stds_Classroom" TargetMode="External"/><Relationship Id="rId18" Type="http://schemas.openxmlformats.org/officeDocument/2006/relationships/hyperlink" Target="https://ibm.biz/EdRschr_Meas_Cont_Instruction" TargetMode="External"/><Relationship Id="rId26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yperlink" Target="http://ibm.biz/ASCD_Tomlinson_DiffCR" TargetMode="External"/><Relationship Id="rId7" Type="http://schemas.openxmlformats.org/officeDocument/2006/relationships/header" Target="header1.xml"/><Relationship Id="rId12" Type="http://schemas.openxmlformats.org/officeDocument/2006/relationships/hyperlink" Target="https://amzn.to/2OhMMx7" TargetMode="External"/><Relationship Id="rId17" Type="http://schemas.openxmlformats.org/officeDocument/2006/relationships/hyperlink" Target="http://ibm.biz/PorterCurriculumAlignment" TargetMode="External"/><Relationship Id="rId25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amzn.to/2tSGHy8" TargetMode="External"/><Relationship Id="rId20" Type="http://schemas.openxmlformats.org/officeDocument/2006/relationships/hyperlink" Target="http://ibm.biz/CHICCCE-Progression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ibm.biz/Oxford-Hbk-OTL" TargetMode="External"/><Relationship Id="rId24" Type="http://schemas.openxmlformats.org/officeDocument/2006/relationships/hyperlink" Target="http://ibm.biz/Zimba-Wiring-Diagra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bm.biz/NCME-TCSA" TargetMode="External"/><Relationship Id="rId23" Type="http://schemas.openxmlformats.org/officeDocument/2006/relationships/hyperlink" Target="http://ibm.biz/ASCD_UBD_Book" TargetMode="External"/><Relationship Id="rId28" Type="http://schemas.openxmlformats.org/officeDocument/2006/relationships/header" Target="header2.xml"/><Relationship Id="rId10" Type="http://schemas.openxmlformats.org/officeDocument/2006/relationships/hyperlink" Target="http://ibm.biz/NCME-ExamAlgmt" TargetMode="External"/><Relationship Id="rId19" Type="http://schemas.openxmlformats.org/officeDocument/2006/relationships/hyperlink" Target="https://amzn.to/2AnMHV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pringer.com/us/book/9781493921249" TargetMode="External"/><Relationship Id="rId14" Type="http://schemas.openxmlformats.org/officeDocument/2006/relationships/hyperlink" Target="http://ibm.biz/ETS_ECD_RschRep" TargetMode="External"/><Relationship Id="rId22" Type="http://schemas.openxmlformats.org/officeDocument/2006/relationships/hyperlink" Target="http://ibm.biz/RSS-Significance-TestEfficiency" TargetMode="External"/><Relationship Id="rId27" Type="http://schemas.openxmlformats.org/officeDocument/2006/relationships/image" Target="media/image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31F4F7-1804-EB49-839A-823B00A58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Hamlett</dc:creator>
  <cp:keywords/>
  <dc:description/>
  <cp:lastModifiedBy>Neil Hamlett</cp:lastModifiedBy>
  <cp:revision>12</cp:revision>
  <dcterms:created xsi:type="dcterms:W3CDTF">2019-03-08T16:32:00Z</dcterms:created>
  <dcterms:modified xsi:type="dcterms:W3CDTF">2020-04-04T11:43:00Z</dcterms:modified>
</cp:coreProperties>
</file>