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7C3AED"/>
          <w:sz w:val="84"/>
        </w:rPr>
        <w:t>⚡ NEXORA</w:t>
      </w:r>
    </w:p>
    <w:p>
      <w:pPr>
        <w:jc w:val="center"/>
      </w:pPr>
      <w:r>
        <w:rPr>
          <w:b/>
          <w:color w:val="BC8CFF"/>
          <w:sz w:val="44"/>
        </w:rPr>
        <w:t>AI PLATFORM</w:t>
      </w:r>
    </w:p>
    <w:p/>
    <w:p>
      <w:pPr>
        <w:jc w:val="center"/>
      </w:pPr>
      <w:r>
        <w:rPr>
          <w:sz w:val="28"/>
        </w:rPr>
        <w:t>Complete Technical Documentation</w:t>
      </w:r>
    </w:p>
    <w:p/>
    <w:p>
      <w:pPr>
        <w:jc w:val="center"/>
      </w:pPr>
      <w:r>
        <w:rPr>
          <w:color w:val="6B7280"/>
          <w:sz w:val="22"/>
        </w:rPr>
        <w:t>Version 2.0  ·  May 2026</w:t>
      </w:r>
    </w:p>
    <w:p/>
    <w:p/>
    <w:p>
      <w:pPr>
        <w:jc w:val="center"/>
      </w:pPr>
      <w:r>
        <w:rPr>
          <w:i/>
          <w:color w:val="6B7280"/>
          <w:sz w:val="18"/>
        </w:rPr>
        <w:t>CONFIDENTIAL — INVESTOR / TECHNICAL EDITION</w:t>
      </w:r>
    </w:p>
    <w:p>
      <w:r>
        <w:br w:type="page"/>
      </w:r>
    </w:p>
    <w:p>
      <w:pPr>
        <w:pStyle w:val="Heading1"/>
      </w:pPr>
      <w:r>
        <w:rPr>
          <w:color w:val="7C3AED"/>
        </w:rPr>
        <w:t>1. Project Overview</w:t>
      </w:r>
    </w:p>
    <w:p>
      <w:pPr>
        <w:spacing w:before="40" w:after="40"/>
        <w:pBdr>
          <w:bottom w:val="single" w:sz="4" w:space="1" w:color="BC8CFF"/>
        </w:pBdr>
      </w:pPr>
    </w:p>
    <w:p>
      <w:r>
        <w:rPr>
          <w:b w:val="0"/>
          <w:i w:val="0"/>
          <w:color w:val="1F2D3D"/>
          <w:sz w:val="20"/>
        </w:rPr>
        <w:t>Nexora is a production-grade, multi-agent AI development platform that enables developers to build software autonomously. Users describe what they want — and the AI plans, codes, debugs, and delivers working software step by step.</w:t>
      </w:r>
    </w:p>
    <w:p/>
    <w:p>
      <w:r>
        <w:rPr>
          <w:b w:val="0"/>
          <w:i w:val="0"/>
          <w:color w:val="1F2D3D"/>
          <w:sz w:val="20"/>
        </w:rPr>
        <w:t>The platform operates on a continuous Plan → Execute → Observe → Fix loop, with 36 distinct capability phases built over the core engine. It supports 15+ AI providers, 5 specialist coding agents, a 3-tier memory system, autonomous goal execution, background task scheduling, and a full SaaS billing system powered by Razorpay.</w:t>
      </w:r>
    </w:p>
    <w:p/>
    <w:p>
      <w:r>
        <w:rPr>
          <w:b/>
          <w:i w:val="0"/>
          <w:color w:val="1F2D3D"/>
          <w:sz w:val="20"/>
        </w:rPr>
        <w:t>Key Platform Metrics:</w:t>
      </w:r>
    </w:p>
    <w:p>
      <w:pPr>
        <w:pStyle w:val="ListBullet"/>
        <w:ind w:left="0"/>
      </w:pPr>
      <w:r>
        <w:rPr>
          <w:color w:val="1F2D3D"/>
        </w:rPr>
        <w:t>~10,000 lines of backend Python (web_app.py)</w:t>
      </w:r>
    </w:p>
    <w:p>
      <w:pPr>
        <w:pStyle w:val="ListBullet"/>
        <w:ind w:left="0"/>
      </w:pPr>
      <w:r>
        <w:rPr>
          <w:color w:val="1F2D3D"/>
        </w:rPr>
        <w:t>~16,000 lines of frontend JavaScript/HTML (index.html)</w:t>
      </w:r>
    </w:p>
    <w:p>
      <w:pPr>
        <w:pStyle w:val="ListBullet"/>
        <w:ind w:left="0"/>
      </w:pPr>
      <w:r>
        <w:rPr>
          <w:color w:val="1F2D3D"/>
        </w:rPr>
        <w:t>36 feature phases, all production-tested</w:t>
      </w:r>
    </w:p>
    <w:p>
      <w:pPr>
        <w:pStyle w:val="ListBullet"/>
        <w:ind w:left="0"/>
      </w:pPr>
      <w:r>
        <w:rPr>
          <w:color w:val="1F2D3D"/>
        </w:rPr>
        <w:t>15+ AI provider integrations</w:t>
      </w:r>
    </w:p>
    <w:p>
      <w:pPr>
        <w:pStyle w:val="ListBullet"/>
        <w:ind w:left="0"/>
      </w:pPr>
      <w:r>
        <w:rPr>
          <w:color w:val="1F2D3D"/>
        </w:rPr>
        <w:t>2 SQLite databases (sessions.db, billing.db)</w:t>
      </w:r>
    </w:p>
    <w:p>
      <w:pPr>
        <w:pStyle w:val="ListBullet"/>
        <w:ind w:left="0"/>
      </w:pPr>
      <w:r>
        <w:rPr>
          <w:color w:val="1F2D3D"/>
        </w:rPr>
        <w:t>Full SaaS billing with Razorpay</w:t>
      </w:r>
    </w:p>
    <w:p/>
    <w:p>
      <w:pPr>
        <w:pStyle w:val="Heading1"/>
      </w:pPr>
      <w:r>
        <w:rPr>
          <w:color w:val="7C3AED"/>
        </w:rPr>
        <w:t>2. System Architecture</w:t>
      </w:r>
    </w:p>
    <w:p>
      <w:pPr>
        <w:spacing w:before="40" w:after="40"/>
        <w:pBdr>
          <w:bottom w:val="single" w:sz="4" w:space="1" w:color="BC8CFF"/>
        </w:pBdr>
      </w:pPr>
    </w:p>
    <w:p>
      <w:pPr>
        <w:pStyle w:val="Heading2"/>
      </w:pPr>
      <w:r>
        <w:t>2.1 Backend Architecture</w:t>
      </w:r>
    </w:p>
    <w:p>
      <w:pPr>
        <w:pStyle w:val="ListBullet"/>
        <w:ind w:left="0"/>
      </w:pPr>
      <w:r>
        <w:rPr>
          <w:b/>
          <w:color w:val="1F2D3D"/>
        </w:rPr>
        <w:t>web_app.py:</w:t>
      </w:r>
      <w:r>
        <w:rPr>
          <w:color w:val="6B7280"/>
        </w:rPr>
        <w:t xml:space="preserve"> Flask application, all 36 phases, ~10,000 lines</w:t>
      </w:r>
    </w:p>
    <w:p>
      <w:pPr>
        <w:pStyle w:val="ListBullet"/>
        <w:ind w:left="0"/>
      </w:pPr>
      <w:r>
        <w:rPr>
          <w:b/>
          <w:color w:val="1F2D3D"/>
        </w:rPr>
        <w:t>agent.py:</w:t>
      </w:r>
      <w:r>
        <w:rPr>
          <w:color w:val="6B7280"/>
        </w:rPr>
        <w:t xml:space="preserve"> Core autonomous agent loop (Plan-Execute-Observe-Fix)</w:t>
      </w:r>
    </w:p>
    <w:p>
      <w:pPr>
        <w:pStyle w:val="ListBullet"/>
        <w:ind w:left="0"/>
      </w:pPr>
      <w:r>
        <w:rPr>
          <w:b/>
          <w:color w:val="1F2D3D"/>
        </w:rPr>
        <w:t>orchestrator.py:</w:t>
      </w:r>
      <w:r>
        <w:rPr>
          <w:color w:val="6B7280"/>
        </w:rPr>
        <w:t xml:space="preserve"> Multi-agent pipeline orchestration</w:t>
      </w:r>
    </w:p>
    <w:p>
      <w:pPr>
        <w:pStyle w:val="ListBullet"/>
        <w:ind w:left="0"/>
      </w:pPr>
      <w:r>
        <w:rPr>
          <w:b/>
          <w:color w:val="1F2D3D"/>
        </w:rPr>
        <w:t>router.py / model_router.py:</w:t>
      </w:r>
      <w:r>
        <w:rPr>
          <w:color w:val="6B7280"/>
        </w:rPr>
        <w:t xml:space="preserve"> Intelligent LLM selection and routing</w:t>
      </w:r>
    </w:p>
    <w:p>
      <w:pPr>
        <w:pStyle w:val="ListBullet"/>
        <w:ind w:left="0"/>
      </w:pPr>
      <w:r>
        <w:rPr>
          <w:b/>
          <w:color w:val="1F2D3D"/>
        </w:rPr>
        <w:t>memory.py:</w:t>
      </w:r>
      <w:r>
        <w:rPr>
          <w:color w:val="6B7280"/>
        </w:rPr>
        <w:t xml:space="preserve"> 3-tier context management system</w:t>
      </w:r>
    </w:p>
    <w:p>
      <w:pPr>
        <w:pStyle w:val="ListBullet"/>
        <w:ind w:left="0"/>
      </w:pPr>
      <w:r>
        <w:rPr>
          <w:b/>
          <w:color w:val="1F2D3D"/>
        </w:rPr>
        <w:t>payments.py:</w:t>
      </w:r>
      <w:r>
        <w:rPr>
          <w:color w:val="6B7280"/>
        </w:rPr>
        <w:t xml:space="preserve"> Full Razorpay billing integration</w:t>
      </w:r>
    </w:p>
    <w:p>
      <w:pPr>
        <w:pStyle w:val="ListBullet"/>
        <w:ind w:left="0"/>
      </w:pPr>
      <w:r>
        <w:rPr>
          <w:b/>
          <w:color w:val="1F2D3D"/>
        </w:rPr>
        <w:t>auth_system.py:</w:t>
      </w:r>
      <w:r>
        <w:rPr>
          <w:color w:val="6B7280"/>
        </w:rPr>
        <w:t xml:space="preserve"> JWT-based authentication</w:t>
      </w:r>
    </w:p>
    <w:p>
      <w:pPr>
        <w:pStyle w:val="ListBullet"/>
        <w:ind w:left="0"/>
      </w:pPr>
      <w:r>
        <w:rPr>
          <w:b/>
          <w:color w:val="1F2D3D"/>
        </w:rPr>
        <w:t>tools.py + tools/:</w:t>
      </w:r>
      <w:r>
        <w:rPr>
          <w:color w:val="6B7280"/>
        </w:rPr>
        <w:t xml:space="preserve"> Extensible tool registry</w:t>
      </w:r>
    </w:p>
    <w:p>
      <w:pPr>
        <w:pStyle w:val="ListBullet"/>
        <w:ind w:left="0"/>
      </w:pPr>
      <w:r>
        <w:rPr>
          <w:b/>
          <w:color w:val="1F2D3D"/>
        </w:rPr>
        <w:t>vector_store.py + long_term_memory.py:</w:t>
      </w:r>
      <w:r>
        <w:rPr>
          <w:color w:val="6B7280"/>
        </w:rPr>
        <w:t xml:space="preserve"> Semantic memory via ChromaDB</w:t>
      </w:r>
    </w:p>
    <w:p>
      <w:pPr>
        <w:pStyle w:val="Heading2"/>
      </w:pPr>
      <w:r>
        <w:t>2.2 Frontend Architecture</w:t>
      </w:r>
    </w:p>
    <w:p>
      <w:pPr>
        <w:pStyle w:val="ListBullet"/>
        <w:ind w:left="0"/>
      </w:pPr>
      <w:r>
        <w:rPr>
          <w:color w:val="1F2D3D"/>
        </w:rPr>
        <w:t>Single-page application in templates/index.html (~16,000 lines)</w:t>
      </w:r>
    </w:p>
    <w:p>
      <w:pPr>
        <w:pStyle w:val="ListBullet"/>
        <w:ind w:left="0"/>
      </w:pPr>
      <w:r>
        <w:rPr>
          <w:b/>
          <w:color w:val="1F2D3D"/>
        </w:rPr>
        <w:t>Three-panel responsive layout:</w:t>
      </w:r>
      <w:r>
        <w:rPr>
          <w:color w:val="6B7280"/>
        </w:rPr>
        <w:t xml:space="preserve"> AI Thinking / Logs-Code-Terminal / Inspector</w:t>
      </w:r>
    </w:p>
    <w:p>
      <w:pPr>
        <w:pStyle w:val="ListBullet"/>
        <w:ind w:left="0"/>
      </w:pPr>
      <w:r>
        <w:rPr>
          <w:color w:val="1F2D3D"/>
        </w:rPr>
        <w:t>Dark/light theme with CSS custom properties</w:t>
      </w:r>
    </w:p>
    <w:p>
      <w:pPr>
        <w:pStyle w:val="ListBullet"/>
        <w:ind w:left="0"/>
      </w:pPr>
      <w:r>
        <w:rPr>
          <w:color w:val="1F2D3D"/>
        </w:rPr>
        <w:t>Real-time polling for agent status, queue, and session updates</w:t>
      </w:r>
    </w:p>
    <w:p>
      <w:pPr>
        <w:pStyle w:val="ListBullet"/>
        <w:ind w:left="0"/>
      </w:pPr>
      <w:r>
        <w:rPr>
          <w:color w:val="1F2D3D"/>
        </w:rPr>
        <w:t>All 36 phases integrated into the single SPA</w:t>
      </w:r>
    </w:p>
    <w:p>
      <w:pPr>
        <w:pStyle w:val="Heading2"/>
      </w:pPr>
      <w:r>
        <w:t>2.3 Data Layer</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7C3AED"/>
          </w:tcPr>
          <w:p>
            <w:r>
              <w:rPr>
                <w:b/>
                <w:color w:val="FFFFFF"/>
                <w:sz w:val="18"/>
              </w:rPr>
              <w:t>Database</w:t>
            </w:r>
          </w:p>
        </w:tc>
        <w:tc>
          <w:tcPr>
            <w:tcW w:type="dxa" w:w="4320"/>
            <w:shd w:val="clear" w:color="auto" w:fill="7C3AED"/>
          </w:tcPr>
          <w:p>
            <w:r>
              <w:rPr>
                <w:b/>
                <w:color w:val="FFFFFF"/>
                <w:sz w:val="18"/>
              </w:rPr>
              <w:t>Tables</w:t>
            </w:r>
          </w:p>
        </w:tc>
        <w:tc>
          <w:tcPr>
            <w:tcW w:type="dxa" w:w="2880"/>
            <w:shd w:val="clear" w:color="auto" w:fill="7C3AED"/>
          </w:tcPr>
          <w:p>
            <w:r>
              <w:rPr>
                <w:b/>
                <w:color w:val="FFFFFF"/>
                <w:sz w:val="18"/>
              </w:rPr>
              <w:t>Purpose</w:t>
            </w:r>
          </w:p>
        </w:tc>
      </w:tr>
      <w:tr>
        <w:tc>
          <w:tcPr>
            <w:tcW w:type="dxa" w:w="2160"/>
            <w:shd w:val="clear" w:color="auto" w:fill="F5F3FF"/>
          </w:tcPr>
          <w:p>
            <w:r>
              <w:rPr>
                <w:sz w:val="18"/>
              </w:rPr>
              <w:t>sessions.db</w:t>
            </w:r>
          </w:p>
        </w:tc>
        <w:tc>
          <w:tcPr>
            <w:tcW w:type="dxa" w:w="4320"/>
            <w:shd w:val="clear" w:color="auto" w:fill="F5F3FF"/>
          </w:tcPr>
          <w:p>
            <w:r>
              <w:rPr>
                <w:sz w:val="18"/>
              </w:rPr>
              <w:t>sessions, settings, scheduler, chat_summaries, errors</w:t>
            </w:r>
          </w:p>
        </w:tc>
        <w:tc>
          <w:tcPr>
            <w:tcW w:type="dxa" w:w="2880"/>
            <w:shd w:val="clear" w:color="auto" w:fill="F5F3FF"/>
          </w:tcPr>
          <w:p>
            <w:r>
              <w:rPr>
                <w:sz w:val="18"/>
              </w:rPr>
              <w:t>Core app state</w:t>
            </w:r>
          </w:p>
        </w:tc>
      </w:tr>
      <w:tr>
        <w:tc>
          <w:tcPr>
            <w:tcW w:type="dxa" w:w="2160"/>
          </w:tcPr>
          <w:p>
            <w:r>
              <w:rPr>
                <w:sz w:val="18"/>
              </w:rPr>
              <w:t>billing.db</w:t>
            </w:r>
          </w:p>
        </w:tc>
        <w:tc>
          <w:tcPr>
            <w:tcW w:type="dxa" w:w="4320"/>
          </w:tcPr>
          <w:p>
            <w:r>
              <w:rPr>
                <w:sz w:val="18"/>
              </w:rPr>
              <w:t>subscriptions, invoices, payment_events</w:t>
            </w:r>
          </w:p>
        </w:tc>
        <w:tc>
          <w:tcPr>
            <w:tcW w:type="dxa" w:w="2880"/>
          </w:tcPr>
          <w:p>
            <w:r>
              <w:rPr>
                <w:sz w:val="18"/>
              </w:rPr>
              <w:t>SaaS billing</w:t>
            </w:r>
          </w:p>
        </w:tc>
      </w:tr>
    </w:tbl>
    <w:p/>
    <w:p>
      <w:pPr>
        <w:pStyle w:val="Heading1"/>
      </w:pPr>
      <w:r>
        <w:rPr>
          <w:color w:val="7C3AED"/>
        </w:rPr>
        <w:t>3. Feature Breakdown (Phase 1 → Phase 36)</w:t>
      </w:r>
    </w:p>
    <w:p>
      <w:pPr>
        <w:spacing w:before="40" w:after="40"/>
        <w:pBdr>
          <w:bottom w:val="single" w:sz="4" w:space="1" w:color="BC8CFF"/>
        </w:pBdr>
      </w:pPr>
    </w:p>
    <w:tbl>
      <w:tblPr>
        <w:tblStyle w:val="TableGrid"/>
        <w:tblW w:type="auto" w:w="0"/>
        <w:jc w:val="left"/>
        <w:tblLook w:firstColumn="1" w:firstRow="1" w:lastColumn="0" w:lastRow="0" w:noHBand="0" w:noVBand="1" w:val="04A0"/>
      </w:tblPr>
      <w:tblGrid>
        <w:gridCol w:w="3041"/>
        <w:gridCol w:w="3041"/>
        <w:gridCol w:w="3041"/>
      </w:tblGrid>
      <w:tr>
        <w:tc>
          <w:tcPr>
            <w:tcW w:type="dxa" w:w="1008"/>
            <w:shd w:val="clear" w:color="auto" w:fill="7C3AED"/>
          </w:tcPr>
          <w:p>
            <w:r>
              <w:rPr>
                <w:b/>
                <w:color w:val="FFFFFF"/>
                <w:sz w:val="18"/>
              </w:rPr>
              <w:t>Phase</w:t>
            </w:r>
          </w:p>
        </w:tc>
        <w:tc>
          <w:tcPr>
            <w:tcW w:type="dxa" w:w="3312"/>
            <w:shd w:val="clear" w:color="auto" w:fill="7C3AED"/>
          </w:tcPr>
          <w:p>
            <w:r>
              <w:rPr>
                <w:b/>
                <w:color w:val="FFFFFF"/>
                <w:sz w:val="18"/>
              </w:rPr>
              <w:t>Feature</w:t>
            </w:r>
          </w:p>
        </w:tc>
        <w:tc>
          <w:tcPr>
            <w:tcW w:type="dxa" w:w="5040"/>
            <w:shd w:val="clear" w:color="auto" w:fill="7C3AED"/>
          </w:tcPr>
          <w:p>
            <w:r>
              <w:rPr>
                <w:b/>
                <w:color w:val="FFFFFF"/>
                <w:sz w:val="18"/>
              </w:rPr>
              <w:t>Description</w:t>
            </w:r>
          </w:p>
        </w:tc>
      </w:tr>
      <w:tr>
        <w:tc>
          <w:tcPr>
            <w:tcW w:type="dxa" w:w="1008"/>
            <w:shd w:val="clear" w:color="auto" w:fill="F5F3FF"/>
          </w:tcPr>
          <w:p>
            <w:r>
              <w:rPr>
                <w:sz w:val="18"/>
              </w:rPr>
              <w:t>1–3</w:t>
            </w:r>
          </w:p>
        </w:tc>
        <w:tc>
          <w:tcPr>
            <w:tcW w:type="dxa" w:w="3312"/>
            <w:shd w:val="clear" w:color="auto" w:fill="F5F3FF"/>
          </w:tcPr>
          <w:p>
            <w:r>
              <w:rPr>
                <w:sz w:val="18"/>
              </w:rPr>
              <w:t>Core Agent Loop</w:t>
            </w:r>
          </w:p>
        </w:tc>
        <w:tc>
          <w:tcPr>
            <w:tcW w:type="dxa" w:w="5040"/>
            <w:shd w:val="clear" w:color="auto" w:fill="F5F3FF"/>
          </w:tcPr>
          <w:p>
            <w:r>
              <w:rPr>
                <w:sz w:val="18"/>
              </w:rPr>
              <w:t>Plan → Execute → Observe → Fix autonomous development loop</w:t>
            </w:r>
          </w:p>
        </w:tc>
      </w:tr>
      <w:tr>
        <w:tc>
          <w:tcPr>
            <w:tcW w:type="dxa" w:w="1008"/>
          </w:tcPr>
          <w:p>
            <w:r>
              <w:rPr>
                <w:sz w:val="18"/>
              </w:rPr>
              <w:t>4</w:t>
            </w:r>
          </w:p>
        </w:tc>
        <w:tc>
          <w:tcPr>
            <w:tcW w:type="dxa" w:w="3312"/>
          </w:tcPr>
          <w:p>
            <w:r>
              <w:rPr>
                <w:sz w:val="18"/>
              </w:rPr>
              <w:t>Intelligence &amp; Personalization</w:t>
            </w:r>
          </w:p>
        </w:tc>
        <w:tc>
          <w:tcPr>
            <w:tcW w:type="dxa" w:w="5040"/>
          </w:tcPr>
          <w:p>
            <w:r>
              <w:rPr>
                <w:sz w:val="18"/>
              </w:rPr>
              <w:t>Adaptive responses, session learning, preference tracking</w:t>
            </w:r>
          </w:p>
        </w:tc>
      </w:tr>
      <w:tr>
        <w:tc>
          <w:tcPr>
            <w:tcW w:type="dxa" w:w="1008"/>
            <w:shd w:val="clear" w:color="auto" w:fill="F5F3FF"/>
          </w:tcPr>
          <w:p>
            <w:r>
              <w:rPr>
                <w:sz w:val="18"/>
              </w:rPr>
              <w:t>5</w:t>
            </w:r>
          </w:p>
        </w:tc>
        <w:tc>
          <w:tcPr>
            <w:tcW w:type="dxa" w:w="3312"/>
            <w:shd w:val="clear" w:color="auto" w:fill="F5F3FF"/>
          </w:tcPr>
          <w:p>
            <w:r>
              <w:rPr>
                <w:sz w:val="18"/>
              </w:rPr>
              <w:t>BYOK Multi-Provider</w:t>
            </w:r>
          </w:p>
        </w:tc>
        <w:tc>
          <w:tcPr>
            <w:tcW w:type="dxa" w:w="5040"/>
            <w:shd w:val="clear" w:color="auto" w:fill="F5F3FF"/>
          </w:tcPr>
          <w:p>
            <w:r>
              <w:rPr>
                <w:sz w:val="18"/>
              </w:rPr>
              <w:t>15+ AI providers with cost-aware routing and auto-failover</w:t>
            </w:r>
          </w:p>
        </w:tc>
      </w:tr>
      <w:tr>
        <w:tc>
          <w:tcPr>
            <w:tcW w:type="dxa" w:w="1008"/>
          </w:tcPr>
          <w:p>
            <w:r>
              <w:rPr>
                <w:sz w:val="18"/>
              </w:rPr>
              <w:t>6</w:t>
            </w:r>
          </w:p>
        </w:tc>
        <w:tc>
          <w:tcPr>
            <w:tcW w:type="dxa" w:w="3312"/>
          </w:tcPr>
          <w:p>
            <w:r>
              <w:rPr>
                <w:sz w:val="18"/>
              </w:rPr>
              <w:t>Decision Intelligence</w:t>
            </w:r>
          </w:p>
        </w:tc>
        <w:tc>
          <w:tcPr>
            <w:tcW w:type="dxa" w:w="5040"/>
          </w:tcPr>
          <w:p>
            <w:r>
              <w:rPr>
                <w:sz w:val="18"/>
              </w:rPr>
              <w:t>Priority lock, fast/smart/cheap routing modes</w:t>
            </w:r>
          </w:p>
        </w:tc>
      </w:tr>
      <w:tr>
        <w:tc>
          <w:tcPr>
            <w:tcW w:type="dxa" w:w="1008"/>
            <w:shd w:val="clear" w:color="auto" w:fill="F5F3FF"/>
          </w:tcPr>
          <w:p>
            <w:r>
              <w:rPr>
                <w:sz w:val="18"/>
              </w:rPr>
              <w:t>7</w:t>
            </w:r>
          </w:p>
        </w:tc>
        <w:tc>
          <w:tcPr>
            <w:tcW w:type="dxa" w:w="3312"/>
            <w:shd w:val="clear" w:color="auto" w:fill="F5F3FF"/>
          </w:tcPr>
          <w:p>
            <w:r>
              <w:rPr>
                <w:sz w:val="18"/>
              </w:rPr>
              <w:t>Structured Agents</w:t>
            </w:r>
          </w:p>
        </w:tc>
        <w:tc>
          <w:tcPr>
            <w:tcW w:type="dxa" w:w="5040"/>
            <w:shd w:val="clear" w:color="auto" w:fill="F5F3FF"/>
          </w:tcPr>
          <w:p>
            <w:r>
              <w:rPr>
                <w:sz w:val="18"/>
              </w:rPr>
              <w:t>5 specialist agents triggered by task context</w:t>
            </w:r>
          </w:p>
        </w:tc>
      </w:tr>
      <w:tr>
        <w:tc>
          <w:tcPr>
            <w:tcW w:type="dxa" w:w="1008"/>
          </w:tcPr>
          <w:p>
            <w:r>
              <w:rPr>
                <w:sz w:val="18"/>
              </w:rPr>
              <w:t>8</w:t>
            </w:r>
          </w:p>
        </w:tc>
        <w:tc>
          <w:tcPr>
            <w:tcW w:type="dxa" w:w="3312"/>
          </w:tcPr>
          <w:p>
            <w:r>
              <w:rPr>
                <w:sz w:val="18"/>
              </w:rPr>
              <w:t>Monetization Layer</w:t>
            </w:r>
          </w:p>
        </w:tc>
        <w:tc>
          <w:tcPr>
            <w:tcW w:type="dxa" w:w="5040"/>
          </w:tcPr>
          <w:p>
            <w:r>
              <w:rPr>
                <w:sz w:val="18"/>
              </w:rPr>
              <w:t>Plan gating (Free/Pro/Elite) with server-side usage quotas</w:t>
            </w:r>
          </w:p>
        </w:tc>
      </w:tr>
      <w:tr>
        <w:tc>
          <w:tcPr>
            <w:tcW w:type="dxa" w:w="1008"/>
            <w:shd w:val="clear" w:color="auto" w:fill="F5F3FF"/>
          </w:tcPr>
          <w:p>
            <w:r>
              <w:rPr>
                <w:sz w:val="18"/>
              </w:rPr>
              <w:t>9</w:t>
            </w:r>
          </w:p>
        </w:tc>
        <w:tc>
          <w:tcPr>
            <w:tcW w:type="dxa" w:w="3312"/>
            <w:shd w:val="clear" w:color="auto" w:fill="F5F3FF"/>
          </w:tcPr>
          <w:p>
            <w:r>
              <w:rPr>
                <w:sz w:val="18"/>
              </w:rPr>
              <w:t>Model Intelligence Routing</w:t>
            </w:r>
          </w:p>
        </w:tc>
        <w:tc>
          <w:tcPr>
            <w:tcW w:type="dxa" w:w="5040"/>
            <w:shd w:val="clear" w:color="auto" w:fill="F5F3FF"/>
          </w:tcPr>
          <w:p>
            <w:r>
              <w:rPr>
                <w:sz w:val="18"/>
              </w:rPr>
              <w:t>Per-role model assignment (planning, coding, debug)</w:t>
            </w:r>
          </w:p>
        </w:tc>
      </w:tr>
      <w:tr>
        <w:tc>
          <w:tcPr>
            <w:tcW w:type="dxa" w:w="1008"/>
          </w:tcPr>
          <w:p>
            <w:r>
              <w:rPr>
                <w:sz w:val="18"/>
              </w:rPr>
              <w:t>10</w:t>
            </w:r>
          </w:p>
        </w:tc>
        <w:tc>
          <w:tcPr>
            <w:tcW w:type="dxa" w:w="3312"/>
          </w:tcPr>
          <w:p>
            <w:r>
              <w:rPr>
                <w:sz w:val="18"/>
              </w:rPr>
              <w:t>Agent Intelligence</w:t>
            </w:r>
          </w:p>
        </w:tc>
        <w:tc>
          <w:tcPr>
            <w:tcW w:type="dxa" w:w="5040"/>
          </w:tcPr>
          <w:p>
            <w:r>
              <w:rPr>
                <w:sz w:val="18"/>
              </w:rPr>
              <w:t>Short/long-term memory, self-correction from past errors</w:t>
            </w:r>
          </w:p>
        </w:tc>
      </w:tr>
      <w:tr>
        <w:tc>
          <w:tcPr>
            <w:tcW w:type="dxa" w:w="1008"/>
            <w:shd w:val="clear" w:color="auto" w:fill="F5F3FF"/>
          </w:tcPr>
          <w:p>
            <w:r>
              <w:rPr>
                <w:sz w:val="18"/>
              </w:rPr>
              <w:t>11</w:t>
            </w:r>
          </w:p>
        </w:tc>
        <w:tc>
          <w:tcPr>
            <w:tcW w:type="dxa" w:w="3312"/>
            <w:shd w:val="clear" w:color="auto" w:fill="F5F3FF"/>
          </w:tcPr>
          <w:p>
            <w:r>
              <w:rPr>
                <w:sz w:val="18"/>
              </w:rPr>
              <w:t>Multi-Agent Collaboration</w:t>
            </w:r>
          </w:p>
        </w:tc>
        <w:tc>
          <w:tcPr>
            <w:tcW w:type="dxa" w:w="5040"/>
            <w:shd w:val="clear" w:color="auto" w:fill="F5F3FF"/>
          </w:tcPr>
          <w:p>
            <w:r>
              <w:rPr>
                <w:sz w:val="18"/>
              </w:rPr>
              <w:t>4-agent pipeline: Manager, Research, Coding, Debug</w:t>
            </w:r>
          </w:p>
        </w:tc>
      </w:tr>
      <w:tr>
        <w:tc>
          <w:tcPr>
            <w:tcW w:type="dxa" w:w="1008"/>
          </w:tcPr>
          <w:p>
            <w:r>
              <w:rPr>
                <w:sz w:val="18"/>
              </w:rPr>
              <w:t>12</w:t>
            </w:r>
          </w:p>
        </w:tc>
        <w:tc>
          <w:tcPr>
            <w:tcW w:type="dxa" w:w="3312"/>
          </w:tcPr>
          <w:p>
            <w:r>
              <w:rPr>
                <w:sz w:val="18"/>
              </w:rPr>
              <w:t>Editable Prompt System</w:t>
            </w:r>
          </w:p>
        </w:tc>
        <w:tc>
          <w:tcPr>
            <w:tcW w:type="dxa" w:w="5040"/>
          </w:tcPr>
          <w:p>
            <w:r>
              <w:rPr>
                <w:sz w:val="18"/>
              </w:rPr>
              <w:t>Inline prompt editing, conversation branching</w:t>
            </w:r>
          </w:p>
        </w:tc>
      </w:tr>
      <w:tr>
        <w:tc>
          <w:tcPr>
            <w:tcW w:type="dxa" w:w="1008"/>
            <w:shd w:val="clear" w:color="auto" w:fill="F5F3FF"/>
          </w:tcPr>
          <w:p>
            <w:r>
              <w:rPr>
                <w:sz w:val="18"/>
              </w:rPr>
              <w:t>13</w:t>
            </w:r>
          </w:p>
        </w:tc>
        <w:tc>
          <w:tcPr>
            <w:tcW w:type="dxa" w:w="3312"/>
            <w:shd w:val="clear" w:color="auto" w:fill="F5F3FF"/>
          </w:tcPr>
          <w:p>
            <w:r>
              <w:rPr>
                <w:sz w:val="18"/>
              </w:rPr>
              <w:t>3-tier Context Compression</w:t>
            </w:r>
          </w:p>
        </w:tc>
        <w:tc>
          <w:tcPr>
            <w:tcW w:type="dxa" w:w="5040"/>
            <w:shd w:val="clear" w:color="auto" w:fill="F5F3FF"/>
          </w:tcPr>
          <w:p>
            <w:r>
              <w:rPr>
                <w:sz w:val="18"/>
              </w:rPr>
              <w:t>Intelligent summarisation to maximise context window</w:t>
            </w:r>
          </w:p>
        </w:tc>
      </w:tr>
      <w:tr>
        <w:tc>
          <w:tcPr>
            <w:tcW w:type="dxa" w:w="1008"/>
          </w:tcPr>
          <w:p>
            <w:r>
              <w:rPr>
                <w:sz w:val="18"/>
              </w:rPr>
              <w:t>14</w:t>
            </w:r>
          </w:p>
        </w:tc>
        <w:tc>
          <w:tcPr>
            <w:tcW w:type="dxa" w:w="3312"/>
          </w:tcPr>
          <w:p>
            <w:r>
              <w:rPr>
                <w:sz w:val="18"/>
              </w:rPr>
              <w:t>Self-Improving AI</w:t>
            </w:r>
          </w:p>
        </w:tc>
        <w:tc>
          <w:tcPr>
            <w:tcW w:type="dxa" w:w="5040"/>
          </w:tcPr>
          <w:p>
            <w:r>
              <w:rPr>
                <w:sz w:val="18"/>
              </w:rPr>
              <w:t>Post-session reflection and capability improvement</w:t>
            </w:r>
          </w:p>
        </w:tc>
      </w:tr>
      <w:tr>
        <w:tc>
          <w:tcPr>
            <w:tcW w:type="dxa" w:w="1008"/>
            <w:shd w:val="clear" w:color="auto" w:fill="F5F3FF"/>
          </w:tcPr>
          <w:p>
            <w:r>
              <w:rPr>
                <w:sz w:val="18"/>
              </w:rPr>
              <w:t>15</w:t>
            </w:r>
          </w:p>
        </w:tc>
        <w:tc>
          <w:tcPr>
            <w:tcW w:type="dxa" w:w="3312"/>
            <w:shd w:val="clear" w:color="auto" w:fill="F5F3FF"/>
          </w:tcPr>
          <w:p>
            <w:r>
              <w:rPr>
                <w:sz w:val="18"/>
              </w:rPr>
              <w:t>Learning Dashboard</w:t>
            </w:r>
          </w:p>
        </w:tc>
        <w:tc>
          <w:tcPr>
            <w:tcW w:type="dxa" w:w="5040"/>
            <w:shd w:val="clear" w:color="auto" w:fill="F5F3FF"/>
          </w:tcPr>
          <w:p>
            <w:r>
              <w:rPr>
                <w:sz w:val="18"/>
              </w:rPr>
              <w:t>Success metrics, failure analysis, timeline</w:t>
            </w:r>
          </w:p>
        </w:tc>
      </w:tr>
      <w:tr>
        <w:tc>
          <w:tcPr>
            <w:tcW w:type="dxa" w:w="1008"/>
          </w:tcPr>
          <w:p>
            <w:r>
              <w:rPr>
                <w:sz w:val="18"/>
              </w:rPr>
              <w:t>16</w:t>
            </w:r>
          </w:p>
        </w:tc>
        <w:tc>
          <w:tcPr>
            <w:tcW w:type="dxa" w:w="3312"/>
          </w:tcPr>
          <w:p>
            <w:r>
              <w:rPr>
                <w:sz w:val="18"/>
              </w:rPr>
              <w:t>Autonomous Goal AI</w:t>
            </w:r>
          </w:p>
        </w:tc>
        <w:tc>
          <w:tcPr>
            <w:tcW w:type="dxa" w:w="5040"/>
          </w:tcPr>
          <w:p>
            <w:r>
              <w:rPr>
                <w:sz w:val="18"/>
              </w:rPr>
              <w:t>Goal decomposition into executable task graphs</w:t>
            </w:r>
          </w:p>
        </w:tc>
      </w:tr>
      <w:tr>
        <w:tc>
          <w:tcPr>
            <w:tcW w:type="dxa" w:w="1008"/>
            <w:shd w:val="clear" w:color="auto" w:fill="F5F3FF"/>
          </w:tcPr>
          <w:p>
            <w:r>
              <w:rPr>
                <w:sz w:val="18"/>
              </w:rPr>
              <w:t>17</w:t>
            </w:r>
          </w:p>
        </w:tc>
        <w:tc>
          <w:tcPr>
            <w:tcW w:type="dxa" w:w="3312"/>
            <w:shd w:val="clear" w:color="auto" w:fill="F5F3FF"/>
          </w:tcPr>
          <w:p>
            <w:r>
              <w:rPr>
                <w:sz w:val="18"/>
              </w:rPr>
              <w:t>Task Graph Visualiser</w:t>
            </w:r>
          </w:p>
        </w:tc>
        <w:tc>
          <w:tcPr>
            <w:tcW w:type="dxa" w:w="5040"/>
            <w:shd w:val="clear" w:color="auto" w:fill="F5F3FF"/>
          </w:tcPr>
          <w:p>
            <w:r>
              <w:rPr>
                <w:sz w:val="18"/>
              </w:rPr>
              <w:t>DAG visualisation of execution graphs</w:t>
            </w:r>
          </w:p>
        </w:tc>
      </w:tr>
      <w:tr>
        <w:tc>
          <w:tcPr>
            <w:tcW w:type="dxa" w:w="1008"/>
          </w:tcPr>
          <w:p>
            <w:r>
              <w:rPr>
                <w:sz w:val="18"/>
              </w:rPr>
              <w:t>18</w:t>
            </w:r>
          </w:p>
        </w:tc>
        <w:tc>
          <w:tcPr>
            <w:tcW w:type="dxa" w:w="3312"/>
          </w:tcPr>
          <w:p>
            <w:r>
              <w:rPr>
                <w:sz w:val="18"/>
              </w:rPr>
              <w:t>Background Scheduler</w:t>
            </w:r>
          </w:p>
        </w:tc>
        <w:tc>
          <w:tcPr>
            <w:tcW w:type="dxa" w:w="5040"/>
          </w:tcPr>
          <w:p>
            <w:r>
              <w:rPr>
                <w:sz w:val="18"/>
              </w:rPr>
              <w:t>Cron-like autonomous agent scheduling</w:t>
            </w:r>
          </w:p>
        </w:tc>
      </w:tr>
      <w:tr>
        <w:tc>
          <w:tcPr>
            <w:tcW w:type="dxa" w:w="1008"/>
            <w:shd w:val="clear" w:color="auto" w:fill="F5F3FF"/>
          </w:tcPr>
          <w:p>
            <w:r>
              <w:rPr>
                <w:sz w:val="18"/>
              </w:rPr>
              <w:t>19</w:t>
            </w:r>
          </w:p>
        </w:tc>
        <w:tc>
          <w:tcPr>
            <w:tcW w:type="dxa" w:w="3312"/>
            <w:shd w:val="clear" w:color="auto" w:fill="F5F3FF"/>
          </w:tcPr>
          <w:p>
            <w:r>
              <w:rPr>
                <w:sz w:val="18"/>
              </w:rPr>
              <w:t>Security Hardening</w:t>
            </w:r>
          </w:p>
        </w:tc>
        <w:tc>
          <w:tcPr>
            <w:tcW w:type="dxa" w:w="5040"/>
            <w:shd w:val="clear" w:color="auto" w:fill="F5F3FF"/>
          </w:tcPr>
          <w:p>
            <w:r>
              <w:rPr>
                <w:sz w:val="18"/>
              </w:rPr>
              <w:t>Rate limiting, JWT auth, kill switch, admin controls</w:t>
            </w:r>
          </w:p>
        </w:tc>
      </w:tr>
      <w:tr>
        <w:tc>
          <w:tcPr>
            <w:tcW w:type="dxa" w:w="1008"/>
          </w:tcPr>
          <w:p>
            <w:r>
              <w:rPr>
                <w:sz w:val="18"/>
              </w:rPr>
              <w:t>20–32</w:t>
            </w:r>
          </w:p>
        </w:tc>
        <w:tc>
          <w:tcPr>
            <w:tcW w:type="dxa" w:w="3312"/>
          </w:tcPr>
          <w:p>
            <w:r>
              <w:rPr>
                <w:sz w:val="18"/>
              </w:rPr>
              <w:t>Platform Extensions</w:t>
            </w:r>
          </w:p>
        </w:tc>
        <w:tc>
          <w:tcPr>
            <w:tcW w:type="dxa" w:w="5040"/>
          </w:tcPr>
          <w:p>
            <w:r>
              <w:rPr>
                <w:sz w:val="18"/>
              </w:rPr>
              <w:t>Terminal intelligence, cross-platform tools, cost tracking</w:t>
            </w:r>
          </w:p>
        </w:tc>
      </w:tr>
      <w:tr>
        <w:tc>
          <w:tcPr>
            <w:tcW w:type="dxa" w:w="1008"/>
            <w:shd w:val="clear" w:color="auto" w:fill="F5F3FF"/>
          </w:tcPr>
          <w:p>
            <w:r>
              <w:rPr>
                <w:sz w:val="18"/>
              </w:rPr>
              <w:t>33</w:t>
            </w:r>
          </w:p>
        </w:tc>
        <w:tc>
          <w:tcPr>
            <w:tcW w:type="dxa" w:w="3312"/>
            <w:shd w:val="clear" w:color="auto" w:fill="F5F3FF"/>
          </w:tcPr>
          <w:p>
            <w:r>
              <w:rPr>
                <w:sz w:val="18"/>
              </w:rPr>
              <w:t>Cross-Platform Terminal</w:t>
            </w:r>
          </w:p>
        </w:tc>
        <w:tc>
          <w:tcPr>
            <w:tcW w:type="dxa" w:w="5040"/>
            <w:shd w:val="clear" w:color="auto" w:fill="F5F3FF"/>
          </w:tcPr>
          <w:p>
            <w:r>
              <w:rPr>
                <w:sz w:val="18"/>
              </w:rPr>
              <w:t>Full terminal bridging and execution intelligence</w:t>
            </w:r>
          </w:p>
        </w:tc>
      </w:tr>
      <w:tr>
        <w:tc>
          <w:tcPr>
            <w:tcW w:type="dxa" w:w="1008"/>
          </w:tcPr>
          <w:p>
            <w:r>
              <w:rPr>
                <w:sz w:val="18"/>
              </w:rPr>
              <w:t>34</w:t>
            </w:r>
          </w:p>
        </w:tc>
        <w:tc>
          <w:tcPr>
            <w:tcW w:type="dxa" w:w="3312"/>
          </w:tcPr>
          <w:p>
            <w:r>
              <w:rPr>
                <w:sz w:val="18"/>
              </w:rPr>
              <w:t>Semi-AGI Dashboard</w:t>
            </w:r>
          </w:p>
        </w:tc>
        <w:tc>
          <w:tcPr>
            <w:tcW w:type="dxa" w:w="5040"/>
          </w:tcPr>
          <w:p>
            <w:r>
              <w:rPr>
                <w:sz w:val="18"/>
              </w:rPr>
              <w:t>Advanced intelligence metrics and reasoning traces</w:t>
            </w:r>
          </w:p>
        </w:tc>
      </w:tr>
      <w:tr>
        <w:tc>
          <w:tcPr>
            <w:tcW w:type="dxa" w:w="1008"/>
            <w:shd w:val="clear" w:color="auto" w:fill="F5F3FF"/>
          </w:tcPr>
          <w:p>
            <w:r>
              <w:rPr>
                <w:sz w:val="18"/>
              </w:rPr>
              <w:t>35</w:t>
            </w:r>
          </w:p>
        </w:tc>
        <w:tc>
          <w:tcPr>
            <w:tcW w:type="dxa" w:w="3312"/>
            <w:shd w:val="clear" w:color="auto" w:fill="F5F3FF"/>
          </w:tcPr>
          <w:p>
            <w:r>
              <w:rPr>
                <w:sz w:val="18"/>
              </w:rPr>
              <w:t>Enterprise Dashboards</w:t>
            </w:r>
          </w:p>
        </w:tc>
        <w:tc>
          <w:tcPr>
            <w:tcW w:type="dxa" w:w="5040"/>
            <w:shd w:val="clear" w:color="auto" w:fill="F5F3FF"/>
          </w:tcPr>
          <w:p>
            <w:r>
              <w:rPr>
                <w:sz w:val="18"/>
              </w:rPr>
              <w:t>Business analytics, performance and ROI reporting</w:t>
            </w:r>
          </w:p>
        </w:tc>
      </w:tr>
      <w:tr>
        <w:tc>
          <w:tcPr>
            <w:tcW w:type="dxa" w:w="1008"/>
          </w:tcPr>
          <w:p>
            <w:r>
              <w:rPr>
                <w:sz w:val="18"/>
              </w:rPr>
              <w:t>36</w:t>
            </w:r>
          </w:p>
        </w:tc>
        <w:tc>
          <w:tcPr>
            <w:tcW w:type="dxa" w:w="3312"/>
          </w:tcPr>
          <w:p>
            <w:r>
              <w:rPr>
                <w:sz w:val="18"/>
              </w:rPr>
              <w:t>SaaS Billing (Razorpay)</w:t>
            </w:r>
          </w:p>
        </w:tc>
        <w:tc>
          <w:tcPr>
            <w:tcW w:type="dxa" w:w="5040"/>
          </w:tcPr>
          <w:p>
            <w:r>
              <w:rPr>
                <w:sz w:val="18"/>
              </w:rPr>
              <w:t>Orders, verification, webhooks, invoices, email receipts</w:t>
            </w:r>
          </w:p>
        </w:tc>
      </w:tr>
    </w:tbl>
    <w:p/>
    <w:p>
      <w:pPr>
        <w:pStyle w:val="Heading1"/>
      </w:pPr>
      <w:r>
        <w:rPr>
          <w:color w:val="7C3AED"/>
        </w:rPr>
        <w:t>4. AI Capabilities</w:t>
      </w:r>
    </w:p>
    <w:p>
      <w:pPr>
        <w:spacing w:before="40" w:after="40"/>
        <w:pBdr>
          <w:bottom w:val="single" w:sz="4" w:space="1" w:color="BC8CFF"/>
        </w:pBdr>
      </w:pPr>
    </w:p>
    <w:p>
      <w:pPr>
        <w:pStyle w:val="Heading2"/>
      </w:pPr>
      <w:r>
        <w:t>4.1 Planning</w:t>
      </w:r>
    </w:p>
    <w:p>
      <w:r>
        <w:rPr>
          <w:b w:val="0"/>
          <w:i w:val="0"/>
          <w:color w:val="1F2D3D"/>
          <w:sz w:val="20"/>
        </w:rPr>
        <w:t>The planning phase uses high-reasoning models (GPT-4o, Claude 3.5, Gemini Pro) to decompose user requirements into structured, ordered sub-tasks. Each task includes context, dependencies, and expected output.</w:t>
      </w:r>
    </w:p>
    <w:p>
      <w:pPr>
        <w:pStyle w:val="Heading2"/>
      </w:pPr>
      <w:r>
        <w:t>4.2 Coding</w:t>
      </w:r>
    </w:p>
    <w:p>
      <w:r>
        <w:rPr>
          <w:b w:val="0"/>
          <w:i w:val="0"/>
          <w:color w:val="1F2D3D"/>
          <w:sz w:val="20"/>
        </w:rPr>
        <w:t>Code-optimised models (GPT-4o, Claude 3.5 Sonnet, DeepSeek Coder) implement each sub-task, with access to file system tools, shell execution, and web search. Code is written incrementally with verification at each step.</w:t>
      </w:r>
    </w:p>
    <w:p>
      <w:pPr>
        <w:pStyle w:val="Heading2"/>
      </w:pPr>
      <w:r>
        <w:t>4.3 Debugging</w:t>
      </w:r>
    </w:p>
    <w:p>
      <w:r>
        <w:rPr>
          <w:b w:val="0"/>
          <w:i w:val="0"/>
          <w:color w:val="1F2D3D"/>
          <w:sz w:val="20"/>
        </w:rPr>
        <w:t>The debug agent analyses errors, traces root causes, and applies targeted fixes. It has access to error logs, test output, and past failure patterns from the memory system.</w:t>
      </w:r>
    </w:p>
    <w:p>
      <w:pPr>
        <w:pStyle w:val="Heading2"/>
      </w:pPr>
      <w:r>
        <w:t>4.4 Multi-Agent System (Phase 11)</w:t>
      </w:r>
    </w:p>
    <w:p>
      <w:r>
        <w:rPr>
          <w:b w:val="0"/>
          <w:i w:val="0"/>
          <w:color w:val="1F2D3D"/>
          <w:sz w:val="20"/>
        </w:rPr>
        <w:t>For complex tasks, a 4-agent pipeline coordinates automatically:</w:t>
      </w:r>
    </w:p>
    <w:p>
      <w:pPr>
        <w:pStyle w:val="ListNumber"/>
      </w:pPr>
      <w:r>
        <w:rPr>
          <w:color w:val="1F2D3D"/>
        </w:rPr>
        <w:t>Manager Agent — Decomposes goals, assigns sub-tasks, tracks progress</w:t>
      </w:r>
    </w:p>
    <w:p>
      <w:pPr>
        <w:pStyle w:val="ListNumber"/>
      </w:pPr>
      <w:r>
        <w:rPr>
          <w:color w:val="1F2D3D"/>
        </w:rPr>
        <w:t>Research Agent — Gathers context, documentation, relevant examples</w:t>
      </w:r>
    </w:p>
    <w:p>
      <w:pPr>
        <w:pStyle w:val="ListNumber"/>
      </w:pPr>
      <w:r>
        <w:rPr>
          <w:color w:val="1F2D3D"/>
        </w:rPr>
        <w:t>Coding Agent — Implements the solution, writes and refines code</w:t>
      </w:r>
    </w:p>
    <w:p>
      <w:pPr>
        <w:pStyle w:val="ListNumber"/>
      </w:pPr>
      <w:r>
        <w:rPr>
          <w:color w:val="1F2D3D"/>
        </w:rPr>
        <w:t>Debug Agent — Tests, identifies bugs, ensures output correctness</w:t>
      </w:r>
    </w:p>
    <w:p>
      <w:pPr>
        <w:pStyle w:val="Heading2"/>
      </w:pPr>
      <w:r>
        <w:t>4.5 Goal Execution (Phase 16)</w:t>
      </w:r>
    </w:p>
    <w:p>
      <w:r>
        <w:rPr>
          <w:b w:val="0"/>
          <w:i w:val="0"/>
          <w:color w:val="1F2D3D"/>
          <w:sz w:val="20"/>
        </w:rPr>
        <w:t>Users define high-level goals. The system automatically decomposes them into a directed acyclic graph (DAG) of sub-tasks, executes them in dependency order, and reports progress in real time via the Task Graph Visualiser.</w:t>
      </w:r>
    </w:p>
    <w:p/>
    <w:p>
      <w:pPr>
        <w:pStyle w:val="Heading1"/>
      </w:pPr>
      <w:r>
        <w:rPr>
          <w:color w:val="7C3AED"/>
        </w:rPr>
        <w:t>5. Model Routing System (Phase 9)</w:t>
      </w:r>
    </w:p>
    <w:p>
      <w:pPr>
        <w:spacing w:before="40" w:after="40"/>
        <w:pBdr>
          <w:bottom w:val="single" w:sz="4" w:space="1" w:color="BC8CFF"/>
        </w:pBdr>
      </w:pPr>
    </w:p>
    <w:p>
      <w:r>
        <w:rPr>
          <w:b w:val="0"/>
          <w:i w:val="0"/>
          <w:color w:val="1F2D3D"/>
          <w:sz w:val="20"/>
        </w:rPr>
        <w:t>The model routing system intelligently assigns the best available AI model for each task role based on plan tier, user priority preference, provider availability, and cost constraints.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7C3AED"/>
          </w:tcPr>
          <w:p>
            <w:r>
              <w:rPr>
                <w:b/>
                <w:color w:val="FFFFFF"/>
                <w:sz w:val="18"/>
              </w:rPr>
              <w:t>Routing Mode</w:t>
            </w:r>
          </w:p>
        </w:tc>
        <w:tc>
          <w:tcPr>
            <w:tcW w:type="dxa" w:w="3600"/>
            <w:shd w:val="clear" w:color="auto" w:fill="7C3AED"/>
          </w:tcPr>
          <w:p>
            <w:r>
              <w:rPr>
                <w:b/>
                <w:color w:val="FFFFFF"/>
                <w:sz w:val="18"/>
              </w:rPr>
              <w:t>Description</w:t>
            </w:r>
          </w:p>
        </w:tc>
        <w:tc>
          <w:tcPr>
            <w:tcW w:type="dxa" w:w="3600"/>
            <w:shd w:val="clear" w:color="auto" w:fill="7C3AED"/>
          </w:tcPr>
          <w:p>
            <w:r>
              <w:rPr>
                <w:b/>
                <w:color w:val="FFFFFF"/>
                <w:sz w:val="18"/>
              </w:rPr>
              <w:t>Best For</w:t>
            </w:r>
          </w:p>
        </w:tc>
      </w:tr>
      <w:tr>
        <w:tc>
          <w:tcPr>
            <w:tcW w:type="dxa" w:w="2160"/>
            <w:shd w:val="clear" w:color="auto" w:fill="F5F3FF"/>
          </w:tcPr>
          <w:p>
            <w:r>
              <w:rPr>
                <w:sz w:val="18"/>
              </w:rPr>
              <w:t>Lite</w:t>
            </w:r>
          </w:p>
        </w:tc>
        <w:tc>
          <w:tcPr>
            <w:tcW w:type="dxa" w:w="3600"/>
            <w:shd w:val="clear" w:color="auto" w:fill="F5F3FF"/>
          </w:tcPr>
          <w:p>
            <w:r>
              <w:rPr>
                <w:sz w:val="18"/>
              </w:rPr>
              <w:t>Cost-optimised, fast models (Groq, Flash)</w:t>
            </w:r>
          </w:p>
        </w:tc>
        <w:tc>
          <w:tcPr>
            <w:tcW w:type="dxa" w:w="3600"/>
            <w:shd w:val="clear" w:color="auto" w:fill="F5F3FF"/>
          </w:tcPr>
          <w:p>
            <w:r>
              <w:rPr>
                <w:sz w:val="18"/>
              </w:rPr>
              <w:t>Quick tasks, high-volume usage</w:t>
            </w:r>
          </w:p>
        </w:tc>
      </w:tr>
      <w:tr>
        <w:tc>
          <w:tcPr>
            <w:tcW w:type="dxa" w:w="2160"/>
          </w:tcPr>
          <w:p>
            <w:r>
              <w:rPr>
                <w:sz w:val="18"/>
              </w:rPr>
              <w:t>Pro</w:t>
            </w:r>
          </w:p>
        </w:tc>
        <w:tc>
          <w:tcPr>
            <w:tcW w:type="dxa" w:w="3600"/>
          </w:tcPr>
          <w:p>
            <w:r>
              <w:rPr>
                <w:sz w:val="18"/>
              </w:rPr>
              <w:t>Balanced cost and quality</w:t>
            </w:r>
          </w:p>
        </w:tc>
        <w:tc>
          <w:tcPr>
            <w:tcW w:type="dxa" w:w="3600"/>
          </w:tcPr>
          <w:p>
            <w:r>
              <w:rPr>
                <w:sz w:val="18"/>
              </w:rPr>
              <w:t>General development tasks</w:t>
            </w:r>
          </w:p>
        </w:tc>
      </w:tr>
      <w:tr>
        <w:tc>
          <w:tcPr>
            <w:tcW w:type="dxa" w:w="2160"/>
            <w:shd w:val="clear" w:color="auto" w:fill="F5F3FF"/>
          </w:tcPr>
          <w:p>
            <w:r>
              <w:rPr>
                <w:sz w:val="18"/>
              </w:rPr>
              <w:t>Elite</w:t>
            </w:r>
          </w:p>
        </w:tc>
        <w:tc>
          <w:tcPr>
            <w:tcW w:type="dxa" w:w="3600"/>
            <w:shd w:val="clear" w:color="auto" w:fill="F5F3FF"/>
          </w:tcPr>
          <w:p>
            <w:r>
              <w:rPr>
                <w:sz w:val="18"/>
              </w:rPr>
              <w:t>Highest quality models (GPT-4o, Claude 3.5)</w:t>
            </w:r>
          </w:p>
        </w:tc>
        <w:tc>
          <w:tcPr>
            <w:tcW w:type="dxa" w:w="3600"/>
            <w:shd w:val="clear" w:color="auto" w:fill="F5F3FF"/>
          </w:tcPr>
          <w:p>
            <w:r>
              <w:rPr>
                <w:sz w:val="18"/>
              </w:rPr>
              <w:t>Complex architecture, critical code</w:t>
            </w:r>
          </w:p>
        </w:tc>
      </w:tr>
    </w:tbl>
    <w:p/>
    <w:p>
      <w:r>
        <w:rPr>
          <w:b w:val="0"/>
          <w:i/>
          <w:color w:val="1F2D3D"/>
          <w:sz w:val="20"/>
        </w:rPr>
        <w:t>Auto-Failover: If the primary provider rate-limits or errors, the router automatically tries the next best provider — transparently, with no user intervention.</w:t>
      </w:r>
    </w:p>
    <w:p/>
    <w:p>
      <w:pPr>
        <w:pStyle w:val="Heading1"/>
      </w:pPr>
      <w:r>
        <w:rPr>
          <w:color w:val="7C3AED"/>
        </w:rPr>
        <w:t>6. Memory System (Phases 10, 13, 14)</w:t>
      </w:r>
    </w:p>
    <w:p>
      <w:pPr>
        <w:spacing w:before="40" w:after="40"/>
        <w:pBdr>
          <w:bottom w:val="single" w:sz="4" w:space="1" w:color="BC8CFF"/>
        </w:pBdr>
      </w:pPr>
    </w:p>
    <w:p>
      <w:pPr>
        <w:pStyle w:val="ListBullet"/>
        <w:ind w:left="0"/>
      </w:pPr>
      <w:r>
        <w:rPr>
          <w:b/>
          <w:color w:val="1F2D3D"/>
        </w:rPr>
        <w:t>Tier 1 — Short-term:</w:t>
      </w:r>
      <w:r>
        <w:rPr>
          <w:color w:val="6B7280"/>
        </w:rPr>
        <w:t xml:space="preserve"> Full in-session message history (lossless)</w:t>
      </w:r>
    </w:p>
    <w:p>
      <w:pPr>
        <w:pStyle w:val="ListBullet"/>
        <w:ind w:left="0"/>
      </w:pPr>
      <w:r>
        <w:rPr>
          <w:b/>
          <w:color w:val="1F2D3D"/>
        </w:rPr>
        <w:t>Tier 2 — Mid-term:</w:t>
      </w:r>
      <w:r>
        <w:rPr>
          <w:color w:val="6B7280"/>
        </w:rPr>
        <w:t xml:space="preserve"> Compressed summaries of older context, preserving key decisions</w:t>
      </w:r>
    </w:p>
    <w:p>
      <w:pPr>
        <w:pStyle w:val="ListBullet"/>
        <w:ind w:left="0"/>
      </w:pPr>
      <w:r>
        <w:rPr>
          <w:b/>
          <w:color w:val="1F2D3D"/>
        </w:rPr>
        <w:t>Tier 3 — Long-term:</w:t>
      </w:r>
      <w:r>
        <w:rPr>
          <w:color w:val="6B7280"/>
        </w:rPr>
        <w:t xml:space="preserve"> Semantic vector store via ChromaDB for cross-session recall</w:t>
      </w:r>
    </w:p>
    <w:p>
      <w:r>
        <w:rPr>
          <w:b w:val="0"/>
          <w:i w:val="0"/>
          <w:color w:val="1F2D3D"/>
          <w:sz w:val="20"/>
        </w:rPr>
        <w:t>The system tracks errors and successes. Before each new task, relevant past failures are surfaced to the agent, preventing repeated mistakes. An Intelligence Score (A–F grade) tracks agent performance per session.</w:t>
      </w:r>
    </w:p>
    <w:p/>
    <w:p>
      <w:pPr>
        <w:pStyle w:val="Heading1"/>
      </w:pPr>
      <w:r>
        <w:rPr>
          <w:color w:val="7C3AED"/>
        </w:rPr>
        <w:t>7. Scheduler System (Phase 18)</w:t>
      </w:r>
    </w:p>
    <w:p>
      <w:pPr>
        <w:spacing w:before="40" w:after="40"/>
        <w:pBdr>
          <w:bottom w:val="single" w:sz="4" w:space="1" w:color="BC8CFF"/>
        </w:pBdr>
      </w:pPr>
    </w:p>
    <w:p>
      <w:r>
        <w:rPr>
          <w:b w:val="0"/>
          <w:i w:val="0"/>
          <w:color w:val="1F2D3D"/>
          <w:sz w:val="20"/>
        </w:rPr>
        <w:t>The background task scheduler enables autonomous agent operation without user interaction.</w:t>
      </w:r>
    </w:p>
    <w:p>
      <w:pPr>
        <w:pStyle w:val="ListBullet"/>
        <w:ind w:left="0"/>
      </w:pPr>
      <w:r>
        <w:rPr>
          <w:color w:val="1F2D3D"/>
        </w:rPr>
        <w:t>Cron-like scheduling (minute, hour, day, week intervals)</w:t>
      </w:r>
    </w:p>
    <w:p>
      <w:pPr>
        <w:pStyle w:val="ListBullet"/>
        <w:ind w:left="0"/>
      </w:pPr>
      <w:r>
        <w:rPr>
          <w:color w:val="1F2D3D"/>
        </w:rPr>
        <w:t>Background AI agent execution</w:t>
      </w:r>
    </w:p>
    <w:p>
      <w:pPr>
        <w:pStyle w:val="ListBullet"/>
        <w:ind w:left="0"/>
      </w:pPr>
      <w:r>
        <w:rPr>
          <w:color w:val="1F2D3D"/>
        </w:rPr>
        <w:t>Email notifications on task completion</w:t>
      </w:r>
    </w:p>
    <w:p>
      <w:pPr>
        <w:pStyle w:val="ListBullet"/>
        <w:ind w:left="0"/>
      </w:pPr>
      <w:r>
        <w:rPr>
          <w:color w:val="1F2D3D"/>
        </w:rPr>
        <w:t>Task history, status tracking, and retry on failure</w:t>
      </w:r>
    </w:p>
    <w:p>
      <w:pPr>
        <w:pStyle w:val="ListBullet"/>
        <w:ind w:left="0"/>
      </w:pPr>
      <w:r>
        <w:rPr>
          <w:color w:val="1F2D3D"/>
        </w:rPr>
        <w:t>Integration with the goal system for scheduled goal execution</w:t>
      </w:r>
    </w:p>
    <w:p/>
    <w:p>
      <w:pPr>
        <w:pStyle w:val="Heading1"/>
      </w:pPr>
      <w:r>
        <w:rPr>
          <w:color w:val="7C3AED"/>
        </w:rPr>
        <w:t>8. Security &amp; Hardening (Phase 19)</w:t>
      </w:r>
    </w:p>
    <w:p>
      <w:pPr>
        <w:spacing w:before="40" w:after="40"/>
        <w:pBdr>
          <w:bottom w:val="single" w:sz="4" w:space="1" w:color="BC8CFF"/>
        </w:pBdr>
      </w:pPr>
    </w:p>
    <w:tbl>
      <w:tblPr>
        <w:tblStyle w:val="TableGrid"/>
        <w:tblW w:type="auto" w:w="0"/>
        <w:jc w:val="left"/>
        <w:tblLook w:firstColumn="1" w:firstRow="1" w:lastColumn="0" w:lastRow="0" w:noHBand="0" w:noVBand="1" w:val="04A0"/>
      </w:tblPr>
      <w:tblGrid>
        <w:gridCol w:w="4561"/>
        <w:gridCol w:w="4561"/>
      </w:tblGrid>
      <w:tr>
        <w:tc>
          <w:tcPr>
            <w:tcW w:type="dxa" w:w="3600"/>
            <w:shd w:val="clear" w:color="auto" w:fill="7C3AED"/>
          </w:tcPr>
          <w:p>
            <w:r>
              <w:rPr>
                <w:b/>
                <w:color w:val="FFFFFF"/>
                <w:sz w:val="18"/>
              </w:rPr>
              <w:t>Security Feature</w:t>
            </w:r>
          </w:p>
        </w:tc>
        <w:tc>
          <w:tcPr>
            <w:tcW w:type="dxa" w:w="5760"/>
            <w:shd w:val="clear" w:color="auto" w:fill="7C3AED"/>
          </w:tcPr>
          <w:p>
            <w:r>
              <w:rPr>
                <w:b/>
                <w:color w:val="FFFFFF"/>
                <w:sz w:val="18"/>
              </w:rPr>
              <w:t>Implementation</w:t>
            </w:r>
          </w:p>
        </w:tc>
      </w:tr>
      <w:tr>
        <w:tc>
          <w:tcPr>
            <w:tcW w:type="dxa" w:w="3600"/>
            <w:shd w:val="clear" w:color="auto" w:fill="F5F3FF"/>
          </w:tcPr>
          <w:p>
            <w:r>
              <w:rPr>
                <w:sz w:val="18"/>
              </w:rPr>
              <w:t>Authentication</w:t>
            </w:r>
          </w:p>
        </w:tc>
        <w:tc>
          <w:tcPr>
            <w:tcW w:type="dxa" w:w="5760"/>
            <w:shd w:val="clear" w:color="auto" w:fill="F5F3FF"/>
          </w:tcPr>
          <w:p>
            <w:r>
              <w:rPr>
                <w:sz w:val="18"/>
              </w:rPr>
              <w:t>JWT tokens, bcrypt password hashing, token expiry</w:t>
            </w:r>
          </w:p>
        </w:tc>
      </w:tr>
      <w:tr>
        <w:tc>
          <w:tcPr>
            <w:tcW w:type="dxa" w:w="3600"/>
          </w:tcPr>
          <w:p>
            <w:r>
              <w:rPr>
                <w:sz w:val="18"/>
              </w:rPr>
              <w:t>Rate Limiting</w:t>
            </w:r>
          </w:p>
        </w:tc>
        <w:tc>
          <w:tcPr>
            <w:tcW w:type="dxa" w:w="5760"/>
          </w:tcPr>
          <w:p>
            <w:r>
              <w:rPr>
                <w:sz w:val="18"/>
              </w:rPr>
              <w:t>Per-endpoint limits with 429 responses</w:t>
            </w:r>
          </w:p>
        </w:tc>
      </w:tr>
      <w:tr>
        <w:tc>
          <w:tcPr>
            <w:tcW w:type="dxa" w:w="3600"/>
            <w:shd w:val="clear" w:color="auto" w:fill="F5F3FF"/>
          </w:tcPr>
          <w:p>
            <w:r>
              <w:rPr>
                <w:sz w:val="18"/>
              </w:rPr>
              <w:t>Input Sanitisation</w:t>
            </w:r>
          </w:p>
        </w:tc>
        <w:tc>
          <w:tcPr>
            <w:tcW w:type="dxa" w:w="5760"/>
            <w:shd w:val="clear" w:color="auto" w:fill="F5F3FF"/>
          </w:tcPr>
          <w:p>
            <w:r>
              <w:rPr>
                <w:sz w:val="18"/>
              </w:rPr>
              <w:t>All user inputs sanitised before processing</w:t>
            </w:r>
          </w:p>
        </w:tc>
      </w:tr>
      <w:tr>
        <w:tc>
          <w:tcPr>
            <w:tcW w:type="dxa" w:w="3600"/>
          </w:tcPr>
          <w:p>
            <w:r>
              <w:rPr>
                <w:sz w:val="18"/>
              </w:rPr>
              <w:t>SQL Injection Prevention</w:t>
            </w:r>
          </w:p>
        </w:tc>
        <w:tc>
          <w:tcPr>
            <w:tcW w:type="dxa" w:w="5760"/>
          </w:tcPr>
          <w:p>
            <w:r>
              <w:rPr>
                <w:sz w:val="18"/>
              </w:rPr>
              <w:t>Parameterised queries throughout</w:t>
            </w:r>
          </w:p>
        </w:tc>
      </w:tr>
      <w:tr>
        <w:tc>
          <w:tcPr>
            <w:tcW w:type="dxa" w:w="3600"/>
            <w:shd w:val="clear" w:color="auto" w:fill="F5F3FF"/>
          </w:tcPr>
          <w:p>
            <w:r>
              <w:rPr>
                <w:sz w:val="18"/>
              </w:rPr>
              <w:t>Webhook Verification</w:t>
            </w:r>
          </w:p>
        </w:tc>
        <w:tc>
          <w:tcPr>
            <w:tcW w:type="dxa" w:w="5760"/>
            <w:shd w:val="clear" w:color="auto" w:fill="F5F3FF"/>
          </w:tcPr>
          <w:p>
            <w:r>
              <w:rPr>
                <w:sz w:val="18"/>
              </w:rPr>
              <w:t>HMAC-SHA256 signature verification for all Razorpay webhooks</w:t>
            </w:r>
          </w:p>
        </w:tc>
      </w:tr>
      <w:tr>
        <w:tc>
          <w:tcPr>
            <w:tcW w:type="dxa" w:w="3600"/>
          </w:tcPr>
          <w:p>
            <w:r>
              <w:rPr>
                <w:sz w:val="18"/>
              </w:rPr>
              <w:t>CORS</w:t>
            </w:r>
          </w:p>
        </w:tc>
        <w:tc>
          <w:tcPr>
            <w:tcW w:type="dxa" w:w="5760"/>
          </w:tcPr>
          <w:p>
            <w:r>
              <w:rPr>
                <w:sz w:val="18"/>
              </w:rPr>
              <w:t>Configurable CORS headers on all responses</w:t>
            </w:r>
          </w:p>
        </w:tc>
      </w:tr>
      <w:tr>
        <w:tc>
          <w:tcPr>
            <w:tcW w:type="dxa" w:w="3600"/>
            <w:shd w:val="clear" w:color="auto" w:fill="F5F3FF"/>
          </w:tcPr>
          <w:p>
            <w:r>
              <w:rPr>
                <w:sz w:val="18"/>
              </w:rPr>
              <w:t>Kill Switch</w:t>
            </w:r>
          </w:p>
        </w:tc>
        <w:tc>
          <w:tcPr>
            <w:tcW w:type="dxa" w:w="5760"/>
            <w:shd w:val="clear" w:color="auto" w:fill="F5F3FF"/>
          </w:tcPr>
          <w:p>
            <w:r>
              <w:rPr>
                <w:sz w:val="18"/>
              </w:rPr>
              <w:t>/api/admin/kill-switch for emergency shutdown</w:t>
            </w:r>
          </w:p>
        </w:tc>
      </w:tr>
      <w:tr>
        <w:tc>
          <w:tcPr>
            <w:tcW w:type="dxa" w:w="3600"/>
          </w:tcPr>
          <w:p>
            <w:r>
              <w:rPr>
                <w:sz w:val="18"/>
              </w:rPr>
              <w:t>Structured Logging</w:t>
            </w:r>
          </w:p>
        </w:tc>
        <w:tc>
          <w:tcPr>
            <w:tcW w:type="dxa" w:w="5760"/>
          </w:tcPr>
          <w:p>
            <w:r>
              <w:rPr>
                <w:sz w:val="18"/>
              </w:rPr>
              <w:t>No secrets in logs, all errors captured with context</w:t>
            </w:r>
          </w:p>
        </w:tc>
      </w:tr>
      <w:tr>
        <w:tc>
          <w:tcPr>
            <w:tcW w:type="dxa" w:w="3600"/>
            <w:shd w:val="clear" w:color="auto" w:fill="F5F3FF"/>
          </w:tcPr>
          <w:p>
            <w:r>
              <w:rPr>
                <w:sz w:val="18"/>
              </w:rPr>
              <w:t>WAL Mode SQLite</w:t>
            </w:r>
          </w:p>
        </w:tc>
        <w:tc>
          <w:tcPr>
            <w:tcW w:type="dxa" w:w="5760"/>
            <w:shd w:val="clear" w:color="auto" w:fill="F5F3FF"/>
          </w:tcPr>
          <w:p>
            <w:r>
              <w:rPr>
                <w:sz w:val="18"/>
              </w:rPr>
              <w:t>Crash-safe writes to all databases</w:t>
            </w:r>
          </w:p>
        </w:tc>
      </w:tr>
    </w:tbl>
    <w:p/>
    <w:p>
      <w:pPr>
        <w:pStyle w:val="Heading1"/>
      </w:pPr>
      <w:r>
        <w:rPr>
          <w:color w:val="7C3AED"/>
        </w:rPr>
        <w:t>9. Monetization System (Phases 8 &amp; 36)</w:t>
      </w:r>
    </w:p>
    <w:p>
      <w:pPr>
        <w:spacing w:before="40" w:after="40"/>
        <w:pBdr>
          <w:bottom w:val="single" w:sz="4" w:space="1" w:color="BC8CFF"/>
        </w:pBdr>
      </w:pP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440"/>
            <w:shd w:val="clear" w:color="auto" w:fill="7C3AED"/>
          </w:tcPr>
          <w:p>
            <w:r>
              <w:rPr>
                <w:b/>
                <w:color w:val="FFFFFF"/>
                <w:sz w:val="18"/>
              </w:rPr>
              <w:t>Plan</w:t>
            </w:r>
          </w:p>
        </w:tc>
        <w:tc>
          <w:tcPr>
            <w:tcW w:type="dxa" w:w="2160"/>
            <w:shd w:val="clear" w:color="auto" w:fill="7C3AED"/>
          </w:tcPr>
          <w:p>
            <w:r>
              <w:rPr>
                <w:b/>
                <w:color w:val="FFFFFF"/>
                <w:sz w:val="18"/>
              </w:rPr>
              <w:t>Monthly Price</w:t>
            </w:r>
          </w:p>
        </w:tc>
        <w:tc>
          <w:tcPr>
            <w:tcW w:type="dxa" w:w="1728"/>
            <w:shd w:val="clear" w:color="auto" w:fill="7C3AED"/>
          </w:tcPr>
          <w:p>
            <w:r>
              <w:rPr>
                <w:b/>
                <w:color w:val="FFFFFF"/>
                <w:sz w:val="18"/>
              </w:rPr>
              <w:t>Daily Runs</w:t>
            </w:r>
          </w:p>
        </w:tc>
        <w:tc>
          <w:tcPr>
            <w:tcW w:type="dxa" w:w="4032"/>
            <w:shd w:val="clear" w:color="auto" w:fill="7C3AED"/>
          </w:tcPr>
          <w:p>
            <w:r>
              <w:rPr>
                <w:b/>
                <w:color w:val="FFFFFF"/>
                <w:sz w:val="18"/>
              </w:rPr>
              <w:t>Key Features</w:t>
            </w:r>
          </w:p>
        </w:tc>
      </w:tr>
      <w:tr>
        <w:tc>
          <w:tcPr>
            <w:tcW w:type="dxa" w:w="1440"/>
            <w:shd w:val="clear" w:color="auto" w:fill="F5F3FF"/>
          </w:tcPr>
          <w:p>
            <w:r>
              <w:rPr>
                <w:sz w:val="18"/>
              </w:rPr>
              <w:t>Free</w:t>
            </w:r>
          </w:p>
        </w:tc>
        <w:tc>
          <w:tcPr>
            <w:tcW w:type="dxa" w:w="2160"/>
            <w:shd w:val="clear" w:color="auto" w:fill="F5F3FF"/>
          </w:tcPr>
          <w:p>
            <w:r>
              <w:rPr>
                <w:sz w:val="18"/>
              </w:rPr>
              <w:t>₹0</w:t>
            </w:r>
          </w:p>
        </w:tc>
        <w:tc>
          <w:tcPr>
            <w:tcW w:type="dxa" w:w="1728"/>
            <w:shd w:val="clear" w:color="auto" w:fill="F5F3FF"/>
          </w:tcPr>
          <w:p>
            <w:r>
              <w:rPr>
                <w:sz w:val="18"/>
              </w:rPr>
              <w:t>10</w:t>
            </w:r>
          </w:p>
        </w:tc>
        <w:tc>
          <w:tcPr>
            <w:tcW w:type="dxa" w:w="4032"/>
            <w:shd w:val="clear" w:color="auto" w:fill="F5F3FF"/>
          </w:tcPr>
          <w:p>
            <w:r>
              <w:rPr>
                <w:sz w:val="18"/>
              </w:rPr>
              <w:t>Lite routing, basic agents</w:t>
            </w:r>
          </w:p>
        </w:tc>
      </w:tr>
      <w:tr>
        <w:tc>
          <w:tcPr>
            <w:tcW w:type="dxa" w:w="1440"/>
          </w:tcPr>
          <w:p>
            <w:r>
              <w:rPr>
                <w:sz w:val="18"/>
              </w:rPr>
              <w:t>Pro</w:t>
            </w:r>
          </w:p>
        </w:tc>
        <w:tc>
          <w:tcPr>
            <w:tcW w:type="dxa" w:w="2160"/>
          </w:tcPr>
          <w:p>
            <w:r>
              <w:rPr>
                <w:sz w:val="18"/>
              </w:rPr>
              <w:t>₹20</w:t>
            </w:r>
          </w:p>
        </w:tc>
        <w:tc>
          <w:tcPr>
            <w:tcW w:type="dxa" w:w="1728"/>
          </w:tcPr>
          <w:p>
            <w:r>
              <w:rPr>
                <w:sz w:val="18"/>
              </w:rPr>
              <w:t>Unlimited</w:t>
            </w:r>
          </w:p>
        </w:tc>
        <w:tc>
          <w:tcPr>
            <w:tcW w:type="dxa" w:w="4032"/>
          </w:tcPr>
          <w:p>
            <w:r>
              <w:rPr>
                <w:sz w:val="18"/>
              </w:rPr>
              <w:t>Pro routing, all 5 agents, memory, BYOK</w:t>
            </w:r>
          </w:p>
        </w:tc>
      </w:tr>
      <w:tr>
        <w:tc>
          <w:tcPr>
            <w:tcW w:type="dxa" w:w="1440"/>
            <w:shd w:val="clear" w:color="auto" w:fill="F5F3FF"/>
          </w:tcPr>
          <w:p>
            <w:r>
              <w:rPr>
                <w:sz w:val="18"/>
              </w:rPr>
              <w:t>Elite</w:t>
            </w:r>
          </w:p>
        </w:tc>
        <w:tc>
          <w:tcPr>
            <w:tcW w:type="dxa" w:w="2160"/>
            <w:shd w:val="clear" w:color="auto" w:fill="F5F3FF"/>
          </w:tcPr>
          <w:p>
            <w:r>
              <w:rPr>
                <w:sz w:val="18"/>
              </w:rPr>
              <w:t>₹50</w:t>
            </w:r>
          </w:p>
        </w:tc>
        <w:tc>
          <w:tcPr>
            <w:tcW w:type="dxa" w:w="1728"/>
            <w:shd w:val="clear" w:color="auto" w:fill="F5F3FF"/>
          </w:tcPr>
          <w:p>
            <w:r>
              <w:rPr>
                <w:sz w:val="18"/>
              </w:rPr>
              <w:t>Unlimited</w:t>
            </w:r>
          </w:p>
        </w:tc>
        <w:tc>
          <w:tcPr>
            <w:tcW w:type="dxa" w:w="4032"/>
            <w:shd w:val="clear" w:color="auto" w:fill="F5F3FF"/>
          </w:tcPr>
          <w:p>
            <w:r>
              <w:rPr>
                <w:sz w:val="18"/>
              </w:rPr>
              <w:t>Elite routing, multi-agent, scheduler, goals, priority support</w:t>
            </w:r>
          </w:p>
        </w:tc>
      </w:tr>
    </w:tbl>
    <w:p/>
    <w:p>
      <w:pPr>
        <w:pStyle w:val="Heading2"/>
      </w:pPr>
      <w:r>
        <w:t>Razorpay Payment Flow</w:t>
      </w:r>
    </w:p>
    <w:p>
      <w:pPr>
        <w:pStyle w:val="ListNumber"/>
      </w:pPr>
      <w:r>
        <w:rPr>
          <w:color w:val="1F2D3D"/>
        </w:rPr>
        <w:t>User selects plan and billing cycle (Monthly/Yearly)</w:t>
      </w:r>
    </w:p>
    <w:p>
      <w:pPr>
        <w:pStyle w:val="ListNumber"/>
      </w:pPr>
      <w:r>
        <w:rPr>
          <w:color w:val="1F2D3D"/>
        </w:rPr>
        <w:t>Frontend calls /api/payments/create-order — Razorpay order created</w:t>
      </w:r>
    </w:p>
    <w:p>
      <w:pPr>
        <w:pStyle w:val="ListNumber"/>
      </w:pPr>
      <w:r>
        <w:rPr>
          <w:color w:val="1F2D3D"/>
        </w:rPr>
        <w:t>Razorpay Checkout popup opens in browser</w:t>
      </w:r>
    </w:p>
    <w:p>
      <w:pPr>
        <w:pStyle w:val="ListNumber"/>
      </w:pPr>
      <w:r>
        <w:rPr>
          <w:color w:val="1F2D3D"/>
        </w:rPr>
        <w:t>User completes payment via card/UPI/netbanking</w:t>
      </w:r>
    </w:p>
    <w:p>
      <w:pPr>
        <w:pStyle w:val="ListNumber"/>
      </w:pPr>
      <w:r>
        <w:rPr>
          <w:color w:val="1F2D3D"/>
        </w:rPr>
        <w:t>Frontend calls /api/payments/verify with HMAC signature</w:t>
      </w:r>
    </w:p>
    <w:p>
      <w:pPr>
        <w:pStyle w:val="ListNumber"/>
      </w:pPr>
      <w:r>
        <w:rPr>
          <w:color w:val="1F2D3D"/>
        </w:rPr>
        <w:t>Subscription activated in billing.db</w:t>
      </w:r>
    </w:p>
    <w:p>
      <w:pPr>
        <w:pStyle w:val="ListNumber"/>
      </w:pPr>
      <w:r>
        <w:rPr>
          <w:color w:val="1F2D3D"/>
        </w:rPr>
        <w:t>Invoice generated and stored</w:t>
      </w:r>
    </w:p>
    <w:p>
      <w:pPr>
        <w:pStyle w:val="ListNumber"/>
      </w:pPr>
      <w:r>
        <w:rPr>
          <w:color w:val="1F2D3D"/>
        </w:rPr>
        <w:t>Email receipt sent via Resend API</w:t>
      </w:r>
    </w:p>
    <w:p>
      <w:pPr>
        <w:pStyle w:val="ListNumber"/>
      </w:pPr>
      <w:r>
        <w:rPr>
          <w:color w:val="1F2D3D"/>
        </w:rPr>
        <w:t>Razorpay webhook /api/payments/webhook provides idempotent backup activation</w:t>
      </w:r>
    </w:p>
    <w:p/>
    <w:p>
      <w:pPr>
        <w:pStyle w:val="Heading1"/>
      </w:pPr>
      <w:r>
        <w:rPr>
          <w:color w:val="7C3AED"/>
        </w:rPr>
        <w:t>10. BYOK System (Phase 5)</w:t>
      </w:r>
    </w:p>
    <w:p>
      <w:pPr>
        <w:spacing w:before="40" w:after="40"/>
        <w:pBdr>
          <w:bottom w:val="single" w:sz="4" w:space="1" w:color="BC8CFF"/>
        </w:pBdr>
      </w:pPr>
    </w:p>
    <w:p>
      <w:r>
        <w:rPr>
          <w:b w:val="0"/>
          <w:i w:val="0"/>
          <w:color w:val="1F2D3D"/>
          <w:sz w:val="20"/>
        </w:rPr>
        <w:t>The Bring Your Own Key (BYOK) system allows users to supply their own API keys for any supported provider. Keys are stored encrypted in the session database and used in preference to platform keys.</w:t>
      </w:r>
    </w:p>
    <w:p>
      <w:pPr>
        <w:pStyle w:val="ListBullet"/>
        <w:ind w:left="0"/>
      </w:pPr>
      <w:r>
        <w:rPr>
          <w:color w:val="1F2D3D"/>
        </w:rPr>
        <w:t>15+ providers supported (see API Providers section)</w:t>
      </w:r>
    </w:p>
    <w:p>
      <w:pPr>
        <w:pStyle w:val="ListBullet"/>
        <w:ind w:left="0"/>
      </w:pPr>
      <w:r>
        <w:rPr>
          <w:color w:val="1F2D3D"/>
        </w:rPr>
        <w:t>Keys stored per-user-session, never logged</w:t>
      </w:r>
    </w:p>
    <w:p>
      <w:pPr>
        <w:pStyle w:val="ListBullet"/>
        <w:ind w:left="0"/>
      </w:pPr>
      <w:r>
        <w:rPr>
          <w:color w:val="1F2D3D"/>
        </w:rPr>
        <w:t>Automatic fallback to platform keys when user key is absent</w:t>
      </w:r>
    </w:p>
    <w:p>
      <w:pPr>
        <w:pStyle w:val="ListBullet"/>
        <w:ind w:left="0"/>
      </w:pPr>
      <w:r>
        <w:rPr>
          <w:color w:val="1F2D3D"/>
        </w:rPr>
        <w:t>Provider health check and balance display</w:t>
      </w:r>
    </w:p>
    <w:p>
      <w:pPr>
        <w:pStyle w:val="ListBullet"/>
        <w:ind w:left="0"/>
      </w:pPr>
      <w:r>
        <w:rPr>
          <w:color w:val="1F2D3D"/>
        </w:rPr>
        <w:t>Key visibility toggle (show/hide) in UI</w:t>
      </w:r>
    </w:p>
    <w:p/>
    <w:p>
      <w:pPr>
        <w:pStyle w:val="Heading1"/>
      </w:pPr>
      <w:r>
        <w:rPr>
          <w:color w:val="7C3AED"/>
        </w:rPr>
        <w:t>11. Deployment Guide</w:t>
      </w:r>
    </w:p>
    <w:p>
      <w:pPr>
        <w:spacing w:before="40" w:after="40"/>
        <w:pBdr>
          <w:bottom w:val="single" w:sz="4" w:space="1" w:color="BC8CFF"/>
        </w:pBdr>
      </w:pPr>
    </w:p>
    <w:p>
      <w:pPr>
        <w:pStyle w:val="Heading2"/>
      </w:pPr>
      <w:r>
        <w:t>Replit Deployment (Recommended)</w:t>
      </w:r>
    </w:p>
    <w:p>
      <w:pPr>
        <w:pStyle w:val="ListNumber"/>
      </w:pPr>
      <w:r>
        <w:rPr>
          <w:color w:val="1F2D3D"/>
        </w:rPr>
        <w:t>Import the project to Replit</w:t>
      </w:r>
    </w:p>
    <w:p>
      <w:pPr>
        <w:pStyle w:val="ListNumber"/>
      </w:pPr>
      <w:r>
        <w:rPr>
          <w:color w:val="1F2D3D"/>
        </w:rPr>
        <w:t>Add all secrets in Replit's Secrets panel (see Environment Variables section)</w:t>
      </w:r>
    </w:p>
    <w:p>
      <w:pPr>
        <w:pStyle w:val="ListNumber"/>
      </w:pPr>
      <w:r>
        <w:rPr>
          <w:color w:val="1F2D3D"/>
        </w:rPr>
        <w:t>Click Deploy — the platform automatically provisions TLS, health checks, and auto-restart</w:t>
      </w:r>
    </w:p>
    <w:p>
      <w:pPr>
        <w:pStyle w:val="ListNumber"/>
      </w:pPr>
      <w:r>
        <w:rPr>
          <w:color w:val="1F2D3D"/>
        </w:rPr>
        <w:t>Your app will be available at https://your-project.replit.app</w:t>
      </w:r>
    </w:p>
    <w:p>
      <w:pPr>
        <w:pStyle w:val="ListNumber"/>
      </w:pPr>
      <w:r>
        <w:rPr>
          <w:color w:val="1F2D3D"/>
        </w:rPr>
        <w:t>Configure Razorpay webhook URL using the production domain</w:t>
      </w:r>
    </w:p>
    <w:p>
      <w:pPr>
        <w:pStyle w:val="Heading2"/>
      </w:pPr>
      <w:r>
        <w:t>Self-Hosted Deployment</w:t>
      </w:r>
    </w:p>
    <w:p>
      <w:pPr>
        <w:spacing w:before="80" w:after="80"/>
        <w:ind w:left="283" w:right="283"/>
      </w:pPr>
      <w:r>
        <w:rPr>
          <w:rFonts w:ascii="Courier New" w:hAnsi="Courier New"/>
          <w:color w:val="181818"/>
          <w:sz w:val="16"/>
        </w:rPr>
        <w:t>pip install -r requirements.txt</w:t>
        <w:br/>
        <w:t>gunicorn -w 2 -b 0.0.0.0:5000 web_app:app</w:t>
      </w:r>
    </w:p>
    <w:p/>
    <w:p>
      <w:pPr>
        <w:pStyle w:val="Heading2"/>
      </w:pPr>
      <w:r>
        <w:t>Production Checklist</w:t>
      </w:r>
    </w:p>
    <w:p>
      <w:pPr>
        <w:pStyle w:val="ListBullet"/>
        <w:ind w:left="0"/>
      </w:pPr>
      <w:r>
        <w:rPr>
          <w:color w:val="1F2D3D"/>
        </w:rPr>
        <w:t>SECRET_KEY and JWT_SECRET set to 32+ character random strings</w:t>
      </w:r>
    </w:p>
    <w:p>
      <w:pPr>
        <w:pStyle w:val="ListBullet"/>
        <w:ind w:left="0"/>
      </w:pPr>
      <w:r>
        <w:rPr>
          <w:color w:val="1F2D3D"/>
        </w:rPr>
        <w:t>Razorpay live keys (not test keys) in production</w:t>
      </w:r>
    </w:p>
    <w:p>
      <w:pPr>
        <w:pStyle w:val="ListBullet"/>
        <w:ind w:left="0"/>
      </w:pPr>
      <w:r>
        <w:rPr>
          <w:b/>
          <w:color w:val="1F2D3D"/>
        </w:rPr>
        <w:t>Webhook URL configured:</w:t>
      </w:r>
      <w:r>
        <w:rPr>
          <w:color w:val="6B7280"/>
        </w:rPr>
        <w:t xml:space="preserve"> https://your-domain.com/api/payments/webhook</w:t>
      </w:r>
    </w:p>
    <w:p>
      <w:pPr>
        <w:pStyle w:val="ListBullet"/>
        <w:ind w:left="0"/>
      </w:pPr>
      <w:r>
        <w:rPr>
          <w:color w:val="1F2D3D"/>
        </w:rPr>
        <w:t>EMAIL_FROM uses a verified sender domain</w:t>
      </w:r>
    </w:p>
    <w:p>
      <w:pPr>
        <w:pStyle w:val="ListBullet"/>
        <w:ind w:left="0"/>
      </w:pPr>
      <w:r>
        <w:rPr>
          <w:color w:val="1F2D3D"/>
        </w:rPr>
        <w:t>HTTPS enabled (automatic on Replit)</w:t>
      </w:r>
    </w:p>
    <w:p/>
    <w:p>
      <w:pPr>
        <w:pStyle w:val="Heading1"/>
      </w:pPr>
      <w:r>
        <w:rPr>
          <w:color w:val="7C3AED"/>
        </w:rPr>
        <w:t>12. Environment Variables</w:t>
      </w:r>
    </w:p>
    <w:p>
      <w:pPr>
        <w:spacing w:before="40" w:after="40"/>
        <w:pBdr>
          <w:bottom w:val="single" w:sz="4" w:space="1" w:color="BC8CFF"/>
        </w:pBdr>
      </w:pPr>
    </w:p>
    <w:tbl>
      <w:tblPr>
        <w:tblStyle w:val="TableGrid"/>
        <w:tblW w:type="auto" w:w="0"/>
        <w:jc w:val="left"/>
        <w:tblLook w:firstColumn="1" w:firstRow="1" w:lastColumn="0" w:lastRow="0" w:noHBand="0" w:noVBand="1" w:val="04A0"/>
      </w:tblPr>
      <w:tblGrid>
        <w:gridCol w:w="3041"/>
        <w:gridCol w:w="3041"/>
        <w:gridCol w:w="3041"/>
      </w:tblGrid>
      <w:tr>
        <w:tc>
          <w:tcPr>
            <w:tcW w:type="dxa" w:w="2880"/>
            <w:shd w:val="clear" w:color="auto" w:fill="7C3AED"/>
          </w:tcPr>
          <w:p>
            <w:r>
              <w:rPr>
                <w:b/>
                <w:color w:val="FFFFFF"/>
                <w:sz w:val="18"/>
              </w:rPr>
              <w:t>Variable</w:t>
            </w:r>
          </w:p>
        </w:tc>
        <w:tc>
          <w:tcPr>
            <w:tcW w:type="dxa" w:w="1728"/>
            <w:shd w:val="clear" w:color="auto" w:fill="7C3AED"/>
          </w:tcPr>
          <w:p>
            <w:r>
              <w:rPr>
                <w:b/>
                <w:color w:val="FFFFFF"/>
                <w:sz w:val="18"/>
              </w:rPr>
              <w:t>Required</w:t>
            </w:r>
          </w:p>
        </w:tc>
        <w:tc>
          <w:tcPr>
            <w:tcW w:type="dxa" w:w="4752"/>
            <w:shd w:val="clear" w:color="auto" w:fill="7C3AED"/>
          </w:tcPr>
          <w:p>
            <w:r>
              <w:rPr>
                <w:b/>
                <w:color w:val="FFFFFF"/>
                <w:sz w:val="18"/>
              </w:rPr>
              <w:t>Description</w:t>
            </w:r>
          </w:p>
        </w:tc>
      </w:tr>
      <w:tr>
        <w:tc>
          <w:tcPr>
            <w:tcW w:type="dxa" w:w="2880"/>
            <w:shd w:val="clear" w:color="auto" w:fill="F5F3FF"/>
          </w:tcPr>
          <w:p>
            <w:r>
              <w:rPr>
                <w:sz w:val="18"/>
              </w:rPr>
              <w:t>SECRET_KEY</w:t>
            </w:r>
          </w:p>
        </w:tc>
        <w:tc>
          <w:tcPr>
            <w:tcW w:type="dxa" w:w="1728"/>
            <w:shd w:val="clear" w:color="auto" w:fill="F5F3FF"/>
          </w:tcPr>
          <w:p>
            <w:r>
              <w:rPr>
                <w:sz w:val="18"/>
              </w:rPr>
              <w:t>✓ Required</w:t>
            </w:r>
          </w:p>
        </w:tc>
        <w:tc>
          <w:tcPr>
            <w:tcW w:type="dxa" w:w="4752"/>
            <w:shd w:val="clear" w:color="auto" w:fill="F5F3FF"/>
          </w:tcPr>
          <w:p>
            <w:r>
              <w:rPr>
                <w:sz w:val="18"/>
              </w:rPr>
              <w:t>Flask session signing secret (32+ chars)</w:t>
            </w:r>
          </w:p>
        </w:tc>
      </w:tr>
      <w:tr>
        <w:tc>
          <w:tcPr>
            <w:tcW w:type="dxa" w:w="2880"/>
          </w:tcPr>
          <w:p>
            <w:r>
              <w:rPr>
                <w:sz w:val="18"/>
              </w:rPr>
              <w:t>JWT_SECRET</w:t>
            </w:r>
          </w:p>
        </w:tc>
        <w:tc>
          <w:tcPr>
            <w:tcW w:type="dxa" w:w="1728"/>
          </w:tcPr>
          <w:p>
            <w:r>
              <w:rPr>
                <w:sz w:val="18"/>
              </w:rPr>
              <w:t>✓ Required</w:t>
            </w:r>
          </w:p>
        </w:tc>
        <w:tc>
          <w:tcPr>
            <w:tcW w:type="dxa" w:w="4752"/>
          </w:tcPr>
          <w:p>
            <w:r>
              <w:rPr>
                <w:sz w:val="18"/>
              </w:rPr>
              <w:t>JWT token signing secret (32+ chars)</w:t>
            </w:r>
          </w:p>
        </w:tc>
      </w:tr>
      <w:tr>
        <w:tc>
          <w:tcPr>
            <w:tcW w:type="dxa" w:w="2880"/>
            <w:shd w:val="clear" w:color="auto" w:fill="F5F3FF"/>
          </w:tcPr>
          <w:p>
            <w:r>
              <w:rPr>
                <w:sz w:val="18"/>
              </w:rPr>
              <w:t>RAZORPAY_KEY_ID</w:t>
            </w:r>
          </w:p>
        </w:tc>
        <w:tc>
          <w:tcPr>
            <w:tcW w:type="dxa" w:w="1728"/>
            <w:shd w:val="clear" w:color="auto" w:fill="F5F3FF"/>
          </w:tcPr>
          <w:p>
            <w:r>
              <w:rPr>
                <w:sz w:val="18"/>
              </w:rPr>
              <w:t>Billing</w:t>
            </w:r>
          </w:p>
        </w:tc>
        <w:tc>
          <w:tcPr>
            <w:tcW w:type="dxa" w:w="4752"/>
            <w:shd w:val="clear" w:color="auto" w:fill="F5F3FF"/>
          </w:tcPr>
          <w:p>
            <w:r>
              <w:rPr>
                <w:sz w:val="18"/>
              </w:rPr>
              <w:t>Razorpay API key ID from dashboard</w:t>
            </w:r>
          </w:p>
        </w:tc>
      </w:tr>
      <w:tr>
        <w:tc>
          <w:tcPr>
            <w:tcW w:type="dxa" w:w="2880"/>
          </w:tcPr>
          <w:p>
            <w:r>
              <w:rPr>
                <w:sz w:val="18"/>
              </w:rPr>
              <w:t>RAZORPAY_KEY_SECRET</w:t>
            </w:r>
          </w:p>
        </w:tc>
        <w:tc>
          <w:tcPr>
            <w:tcW w:type="dxa" w:w="1728"/>
          </w:tcPr>
          <w:p>
            <w:r>
              <w:rPr>
                <w:sz w:val="18"/>
              </w:rPr>
              <w:t>Billing</w:t>
            </w:r>
          </w:p>
        </w:tc>
        <w:tc>
          <w:tcPr>
            <w:tcW w:type="dxa" w:w="4752"/>
          </w:tcPr>
          <w:p>
            <w:r>
              <w:rPr>
                <w:sz w:val="18"/>
              </w:rPr>
              <w:t>Razorpay secret key from dashboard</w:t>
            </w:r>
          </w:p>
        </w:tc>
      </w:tr>
      <w:tr>
        <w:tc>
          <w:tcPr>
            <w:tcW w:type="dxa" w:w="2880"/>
            <w:shd w:val="clear" w:color="auto" w:fill="F5F3FF"/>
          </w:tcPr>
          <w:p>
            <w:r>
              <w:rPr>
                <w:sz w:val="18"/>
              </w:rPr>
              <w:t>EMAIL_API_KEY</w:t>
            </w:r>
          </w:p>
        </w:tc>
        <w:tc>
          <w:tcPr>
            <w:tcW w:type="dxa" w:w="1728"/>
            <w:shd w:val="clear" w:color="auto" w:fill="F5F3FF"/>
          </w:tcPr>
          <w:p>
            <w:r>
              <w:rPr>
                <w:sz w:val="18"/>
              </w:rPr>
              <w:t>Optional</w:t>
            </w:r>
          </w:p>
        </w:tc>
        <w:tc>
          <w:tcPr>
            <w:tcW w:type="dxa" w:w="4752"/>
            <w:shd w:val="clear" w:color="auto" w:fill="F5F3FF"/>
          </w:tcPr>
          <w:p>
            <w:r>
              <w:rPr>
                <w:sz w:val="18"/>
              </w:rPr>
              <w:t>Resend.com API key for invoice emails</w:t>
            </w:r>
          </w:p>
        </w:tc>
      </w:tr>
      <w:tr>
        <w:tc>
          <w:tcPr>
            <w:tcW w:type="dxa" w:w="2880"/>
          </w:tcPr>
          <w:p>
            <w:r>
              <w:rPr>
                <w:sz w:val="18"/>
              </w:rPr>
              <w:t>EMAIL_FROM</w:t>
            </w:r>
          </w:p>
        </w:tc>
        <w:tc>
          <w:tcPr>
            <w:tcW w:type="dxa" w:w="1728"/>
          </w:tcPr>
          <w:p>
            <w:r>
              <w:rPr>
                <w:sz w:val="18"/>
              </w:rPr>
              <w:t>Optional</w:t>
            </w:r>
          </w:p>
        </w:tc>
        <w:tc>
          <w:tcPr>
            <w:tcW w:type="dxa" w:w="4752"/>
          </w:tcPr>
          <w:p>
            <w:r>
              <w:rPr>
                <w:sz w:val="18"/>
              </w:rPr>
              <w:t>Sender address (e.g. billing@nexora.ai)</w:t>
            </w:r>
          </w:p>
        </w:tc>
      </w:tr>
      <w:tr>
        <w:tc>
          <w:tcPr>
            <w:tcW w:type="dxa" w:w="2880"/>
            <w:shd w:val="clear" w:color="auto" w:fill="F5F3FF"/>
          </w:tcPr>
          <w:p>
            <w:r>
              <w:rPr>
                <w:sz w:val="18"/>
              </w:rPr>
              <w:t>OPENAI_API_KEY</w:t>
            </w:r>
          </w:p>
        </w:tc>
        <w:tc>
          <w:tcPr>
            <w:tcW w:type="dxa" w:w="1728"/>
            <w:shd w:val="clear" w:color="auto" w:fill="F5F3FF"/>
          </w:tcPr>
          <w:p>
            <w:r>
              <w:rPr>
                <w:sz w:val="18"/>
              </w:rPr>
              <w:t>Optional</w:t>
            </w:r>
          </w:p>
        </w:tc>
        <w:tc>
          <w:tcPr>
            <w:tcW w:type="dxa" w:w="4752"/>
            <w:shd w:val="clear" w:color="auto" w:fill="F5F3FF"/>
          </w:tcPr>
          <w:p>
            <w:r>
              <w:rPr>
                <w:sz w:val="18"/>
              </w:rPr>
              <w:t>OpenAI API key (platform-level)</w:t>
            </w:r>
          </w:p>
        </w:tc>
      </w:tr>
      <w:tr>
        <w:tc>
          <w:tcPr>
            <w:tcW w:type="dxa" w:w="2880"/>
          </w:tcPr>
          <w:p>
            <w:r>
              <w:rPr>
                <w:sz w:val="18"/>
              </w:rPr>
              <w:t>GEMINI_API_KEY</w:t>
            </w:r>
          </w:p>
        </w:tc>
        <w:tc>
          <w:tcPr>
            <w:tcW w:type="dxa" w:w="1728"/>
          </w:tcPr>
          <w:p>
            <w:r>
              <w:rPr>
                <w:sz w:val="18"/>
              </w:rPr>
              <w:t>Optional</w:t>
            </w:r>
          </w:p>
        </w:tc>
        <w:tc>
          <w:tcPr>
            <w:tcW w:type="dxa" w:w="4752"/>
          </w:tcPr>
          <w:p>
            <w:r>
              <w:rPr>
                <w:sz w:val="18"/>
              </w:rPr>
              <w:t>Google Gemini API key</w:t>
            </w:r>
          </w:p>
        </w:tc>
      </w:tr>
      <w:tr>
        <w:tc>
          <w:tcPr>
            <w:tcW w:type="dxa" w:w="2880"/>
            <w:shd w:val="clear" w:color="auto" w:fill="F5F3FF"/>
          </w:tcPr>
          <w:p>
            <w:r>
              <w:rPr>
                <w:sz w:val="18"/>
              </w:rPr>
              <w:t>ANTHROPIC_API_KEY</w:t>
            </w:r>
          </w:p>
        </w:tc>
        <w:tc>
          <w:tcPr>
            <w:tcW w:type="dxa" w:w="1728"/>
            <w:shd w:val="clear" w:color="auto" w:fill="F5F3FF"/>
          </w:tcPr>
          <w:p>
            <w:r>
              <w:rPr>
                <w:sz w:val="18"/>
              </w:rPr>
              <w:t>Optional</w:t>
            </w:r>
          </w:p>
        </w:tc>
        <w:tc>
          <w:tcPr>
            <w:tcW w:type="dxa" w:w="4752"/>
            <w:shd w:val="clear" w:color="auto" w:fill="F5F3FF"/>
          </w:tcPr>
          <w:p>
            <w:r>
              <w:rPr>
                <w:sz w:val="18"/>
              </w:rPr>
              <w:t>Anthropic Claude API key</w:t>
            </w:r>
          </w:p>
        </w:tc>
      </w:tr>
      <w:tr>
        <w:tc>
          <w:tcPr>
            <w:tcW w:type="dxa" w:w="2880"/>
          </w:tcPr>
          <w:p>
            <w:r>
              <w:rPr>
                <w:sz w:val="18"/>
              </w:rPr>
              <w:t>GROQ_API_KEY</w:t>
            </w:r>
          </w:p>
        </w:tc>
        <w:tc>
          <w:tcPr>
            <w:tcW w:type="dxa" w:w="1728"/>
          </w:tcPr>
          <w:p>
            <w:r>
              <w:rPr>
                <w:sz w:val="18"/>
              </w:rPr>
              <w:t>Optional</w:t>
            </w:r>
          </w:p>
        </w:tc>
        <w:tc>
          <w:tcPr>
            <w:tcW w:type="dxa" w:w="4752"/>
          </w:tcPr>
          <w:p>
            <w:r>
              <w:rPr>
                <w:sz w:val="18"/>
              </w:rPr>
              <w:t>Groq API key</w:t>
            </w:r>
          </w:p>
        </w:tc>
      </w:tr>
    </w:tbl>
    <w:p/>
    <w:p>
      <w:pPr>
        <w:pStyle w:val="Heading1"/>
      </w:pPr>
      <w:r>
        <w:rPr>
          <w:color w:val="7C3AED"/>
        </w:rPr>
        <w:t>13. API Endpoints Summary</w:t>
      </w:r>
    </w:p>
    <w:p>
      <w:pPr>
        <w:spacing w:before="40" w:after="40"/>
        <w:pBdr>
          <w:bottom w:val="single" w:sz="4" w:space="1" w:color="BC8CFF"/>
        </w:pBdr>
      </w:pPr>
    </w:p>
    <w:p>
      <w:pPr>
        <w:pStyle w:val="Heading2"/>
      </w:pPr>
      <w:r>
        <w:t>Core Endpoints</w:t>
      </w:r>
    </w:p>
    <w:tbl>
      <w:tblPr>
        <w:tblStyle w:val="TableGrid"/>
        <w:tblW w:type="auto" w:w="0"/>
        <w:jc w:val="left"/>
        <w:tblLook w:firstColumn="1" w:firstRow="1" w:lastColumn="0" w:lastRow="0" w:noHBand="0" w:noVBand="1" w:val="04A0"/>
      </w:tblPr>
      <w:tblGrid>
        <w:gridCol w:w="3041"/>
        <w:gridCol w:w="3041"/>
        <w:gridCol w:w="3041"/>
      </w:tblGrid>
      <w:tr>
        <w:tc>
          <w:tcPr>
            <w:tcW w:type="dxa" w:w="3600"/>
            <w:shd w:val="clear" w:color="auto" w:fill="7C3AED"/>
          </w:tcPr>
          <w:p>
            <w:r>
              <w:rPr>
                <w:b/>
                <w:color w:val="FFFFFF"/>
                <w:sz w:val="18"/>
              </w:rPr>
              <w:t>Endpoint</w:t>
            </w:r>
          </w:p>
        </w:tc>
        <w:tc>
          <w:tcPr>
            <w:tcW w:type="dxa" w:w="1440"/>
            <w:shd w:val="clear" w:color="auto" w:fill="7C3AED"/>
          </w:tcPr>
          <w:p>
            <w:r>
              <w:rPr>
                <w:b/>
                <w:color w:val="FFFFFF"/>
                <w:sz w:val="18"/>
              </w:rPr>
              <w:t>Method</w:t>
            </w:r>
          </w:p>
        </w:tc>
        <w:tc>
          <w:tcPr>
            <w:tcW w:type="dxa" w:w="4320"/>
            <w:shd w:val="clear" w:color="auto" w:fill="7C3AED"/>
          </w:tcPr>
          <w:p>
            <w:r>
              <w:rPr>
                <w:b/>
                <w:color w:val="FFFFFF"/>
                <w:sz w:val="18"/>
              </w:rPr>
              <w:t>Description</w:t>
            </w:r>
          </w:p>
        </w:tc>
      </w:tr>
      <w:tr>
        <w:tc>
          <w:tcPr>
            <w:tcW w:type="dxa" w:w="3600"/>
            <w:shd w:val="clear" w:color="auto" w:fill="F5F3FF"/>
          </w:tcPr>
          <w:p>
            <w:r>
              <w:rPr>
                <w:sz w:val="18"/>
              </w:rPr>
              <w:t>/</w:t>
            </w:r>
          </w:p>
        </w:tc>
        <w:tc>
          <w:tcPr>
            <w:tcW w:type="dxa" w:w="1440"/>
            <w:shd w:val="clear" w:color="auto" w:fill="F5F3FF"/>
          </w:tcPr>
          <w:p>
            <w:r>
              <w:rPr>
                <w:sz w:val="18"/>
              </w:rPr>
              <w:t>GET</w:t>
            </w:r>
          </w:p>
        </w:tc>
        <w:tc>
          <w:tcPr>
            <w:tcW w:type="dxa" w:w="4320"/>
            <w:shd w:val="clear" w:color="auto" w:fill="F5F3FF"/>
          </w:tcPr>
          <w:p>
            <w:r>
              <w:rPr>
                <w:sz w:val="18"/>
              </w:rPr>
              <w:t>Main application SPA</w:t>
            </w:r>
          </w:p>
        </w:tc>
      </w:tr>
      <w:tr>
        <w:tc>
          <w:tcPr>
            <w:tcW w:type="dxa" w:w="3600"/>
          </w:tcPr>
          <w:p>
            <w:r>
              <w:rPr>
                <w:sz w:val="18"/>
              </w:rPr>
              <w:t>/docs</w:t>
            </w:r>
          </w:p>
        </w:tc>
        <w:tc>
          <w:tcPr>
            <w:tcW w:type="dxa" w:w="1440"/>
          </w:tcPr>
          <w:p>
            <w:r>
              <w:rPr>
                <w:sz w:val="18"/>
              </w:rPr>
              <w:t>GET</w:t>
            </w:r>
          </w:p>
        </w:tc>
        <w:tc>
          <w:tcPr>
            <w:tcW w:type="dxa" w:w="4320"/>
          </w:tcPr>
          <w:p>
            <w:r>
              <w:rPr>
                <w:sz w:val="18"/>
              </w:rPr>
              <w:t>Platform documentation</w:t>
            </w:r>
          </w:p>
        </w:tc>
      </w:tr>
      <w:tr>
        <w:tc>
          <w:tcPr>
            <w:tcW w:type="dxa" w:w="3600"/>
            <w:shd w:val="clear" w:color="auto" w:fill="F5F3FF"/>
          </w:tcPr>
          <w:p>
            <w:r>
              <w:rPr>
                <w:sz w:val="18"/>
              </w:rPr>
              <w:t>/api/queue-task</w:t>
            </w:r>
          </w:p>
        </w:tc>
        <w:tc>
          <w:tcPr>
            <w:tcW w:type="dxa" w:w="1440"/>
            <w:shd w:val="clear" w:color="auto" w:fill="F5F3FF"/>
          </w:tcPr>
          <w:p>
            <w:r>
              <w:rPr>
                <w:sz w:val="18"/>
              </w:rPr>
              <w:t>POST</w:t>
            </w:r>
          </w:p>
        </w:tc>
        <w:tc>
          <w:tcPr>
            <w:tcW w:type="dxa" w:w="4320"/>
            <w:shd w:val="clear" w:color="auto" w:fill="F5F3FF"/>
          </w:tcPr>
          <w:p>
            <w:r>
              <w:rPr>
                <w:sz w:val="18"/>
              </w:rPr>
              <w:t>Submit task to agent queue</w:t>
            </w:r>
          </w:p>
        </w:tc>
      </w:tr>
      <w:tr>
        <w:tc>
          <w:tcPr>
            <w:tcW w:type="dxa" w:w="3600"/>
          </w:tcPr>
          <w:p>
            <w:r>
              <w:rPr>
                <w:sz w:val="18"/>
              </w:rPr>
              <w:t>/api/queue</w:t>
            </w:r>
          </w:p>
        </w:tc>
        <w:tc>
          <w:tcPr>
            <w:tcW w:type="dxa" w:w="1440"/>
          </w:tcPr>
          <w:p>
            <w:r>
              <w:rPr>
                <w:sz w:val="18"/>
              </w:rPr>
              <w:t>GET</w:t>
            </w:r>
          </w:p>
        </w:tc>
        <w:tc>
          <w:tcPr>
            <w:tcW w:type="dxa" w:w="4320"/>
          </w:tcPr>
          <w:p>
            <w:r>
              <w:rPr>
                <w:sz w:val="18"/>
              </w:rPr>
              <w:t>Queue status and history</w:t>
            </w:r>
          </w:p>
        </w:tc>
      </w:tr>
      <w:tr>
        <w:tc>
          <w:tcPr>
            <w:tcW w:type="dxa" w:w="3600"/>
            <w:shd w:val="clear" w:color="auto" w:fill="F5F3FF"/>
          </w:tcPr>
          <w:p>
            <w:r>
              <w:rPr>
                <w:sz w:val="18"/>
              </w:rPr>
              <w:t>/api/sessions</w:t>
            </w:r>
          </w:p>
        </w:tc>
        <w:tc>
          <w:tcPr>
            <w:tcW w:type="dxa" w:w="1440"/>
            <w:shd w:val="clear" w:color="auto" w:fill="F5F3FF"/>
          </w:tcPr>
          <w:p>
            <w:r>
              <w:rPr>
                <w:sz w:val="18"/>
              </w:rPr>
              <w:t>GET/POST</w:t>
            </w:r>
          </w:p>
        </w:tc>
        <w:tc>
          <w:tcPr>
            <w:tcW w:type="dxa" w:w="4320"/>
            <w:shd w:val="clear" w:color="auto" w:fill="F5F3FF"/>
          </w:tcPr>
          <w:p>
            <w:r>
              <w:rPr>
                <w:sz w:val="18"/>
              </w:rPr>
              <w:t>Session management</w:t>
            </w:r>
          </w:p>
        </w:tc>
      </w:tr>
      <w:tr>
        <w:tc>
          <w:tcPr>
            <w:tcW w:type="dxa" w:w="3600"/>
          </w:tcPr>
          <w:p>
            <w:r>
              <w:rPr>
                <w:sz w:val="18"/>
              </w:rPr>
              <w:t>/api/providers</w:t>
            </w:r>
          </w:p>
        </w:tc>
        <w:tc>
          <w:tcPr>
            <w:tcW w:type="dxa" w:w="1440"/>
          </w:tcPr>
          <w:p>
            <w:r>
              <w:rPr>
                <w:sz w:val="18"/>
              </w:rPr>
              <w:t>GET</w:t>
            </w:r>
          </w:p>
        </w:tc>
        <w:tc>
          <w:tcPr>
            <w:tcW w:type="dxa" w:w="4320"/>
          </w:tcPr>
          <w:p>
            <w:r>
              <w:rPr>
                <w:sz w:val="18"/>
              </w:rPr>
              <w:t>Available AI providers</w:t>
            </w:r>
          </w:p>
        </w:tc>
      </w:tr>
      <w:tr>
        <w:tc>
          <w:tcPr>
            <w:tcW w:type="dxa" w:w="3600"/>
            <w:shd w:val="clear" w:color="auto" w:fill="F5F3FF"/>
          </w:tcPr>
          <w:p>
            <w:r>
              <w:rPr>
                <w:sz w:val="18"/>
              </w:rPr>
              <w:t>/api/plan/info</w:t>
            </w:r>
          </w:p>
        </w:tc>
        <w:tc>
          <w:tcPr>
            <w:tcW w:type="dxa" w:w="1440"/>
            <w:shd w:val="clear" w:color="auto" w:fill="F5F3FF"/>
          </w:tcPr>
          <w:p>
            <w:r>
              <w:rPr>
                <w:sz w:val="18"/>
              </w:rPr>
              <w:t>GET</w:t>
            </w:r>
          </w:p>
        </w:tc>
        <w:tc>
          <w:tcPr>
            <w:tcW w:type="dxa" w:w="4320"/>
            <w:shd w:val="clear" w:color="auto" w:fill="F5F3FF"/>
          </w:tcPr>
          <w:p>
            <w:r>
              <w:rPr>
                <w:sz w:val="18"/>
              </w:rPr>
              <w:t>Current subscription info</w:t>
            </w:r>
          </w:p>
        </w:tc>
      </w:tr>
      <w:tr>
        <w:tc>
          <w:tcPr>
            <w:tcW w:type="dxa" w:w="3600"/>
          </w:tcPr>
          <w:p>
            <w:r>
              <w:rPr>
                <w:sz w:val="18"/>
              </w:rPr>
              <w:t>/api/health</w:t>
            </w:r>
          </w:p>
        </w:tc>
        <w:tc>
          <w:tcPr>
            <w:tcW w:type="dxa" w:w="1440"/>
          </w:tcPr>
          <w:p>
            <w:r>
              <w:rPr>
                <w:sz w:val="18"/>
              </w:rPr>
              <w:t>GET</w:t>
            </w:r>
          </w:p>
        </w:tc>
        <w:tc>
          <w:tcPr>
            <w:tcW w:type="dxa" w:w="4320"/>
          </w:tcPr>
          <w:p>
            <w:r>
              <w:rPr>
                <w:sz w:val="18"/>
              </w:rPr>
              <w:t>Health check</w:t>
            </w:r>
          </w:p>
        </w:tc>
      </w:tr>
      <w:tr>
        <w:tc>
          <w:tcPr>
            <w:tcW w:type="dxa" w:w="3600"/>
            <w:shd w:val="clear" w:color="auto" w:fill="F5F3FF"/>
          </w:tcPr>
          <w:p>
            <w:r>
              <w:rPr>
                <w:sz w:val="18"/>
              </w:rPr>
              <w:t>/api/auth/signup</w:t>
            </w:r>
          </w:p>
        </w:tc>
        <w:tc>
          <w:tcPr>
            <w:tcW w:type="dxa" w:w="1440"/>
            <w:shd w:val="clear" w:color="auto" w:fill="F5F3FF"/>
          </w:tcPr>
          <w:p>
            <w:r>
              <w:rPr>
                <w:sz w:val="18"/>
              </w:rPr>
              <w:t>POST</w:t>
            </w:r>
          </w:p>
        </w:tc>
        <w:tc>
          <w:tcPr>
            <w:tcW w:type="dxa" w:w="4320"/>
            <w:shd w:val="clear" w:color="auto" w:fill="F5F3FF"/>
          </w:tcPr>
          <w:p>
            <w:r>
              <w:rPr>
                <w:sz w:val="18"/>
              </w:rPr>
              <w:t>Create user account</w:t>
            </w:r>
          </w:p>
        </w:tc>
      </w:tr>
      <w:tr>
        <w:tc>
          <w:tcPr>
            <w:tcW w:type="dxa" w:w="3600"/>
          </w:tcPr>
          <w:p>
            <w:r>
              <w:rPr>
                <w:sz w:val="18"/>
              </w:rPr>
              <w:t>/api/auth/login</w:t>
            </w:r>
          </w:p>
        </w:tc>
        <w:tc>
          <w:tcPr>
            <w:tcW w:type="dxa" w:w="1440"/>
          </w:tcPr>
          <w:p>
            <w:r>
              <w:rPr>
                <w:sz w:val="18"/>
              </w:rPr>
              <w:t>POST</w:t>
            </w:r>
          </w:p>
        </w:tc>
        <w:tc>
          <w:tcPr>
            <w:tcW w:type="dxa" w:w="4320"/>
          </w:tcPr>
          <w:p>
            <w:r>
              <w:rPr>
                <w:sz w:val="18"/>
              </w:rPr>
              <w:t>Login and get JWT</w:t>
            </w:r>
          </w:p>
        </w:tc>
      </w:tr>
    </w:tbl>
    <w:p>
      <w:pPr>
        <w:pStyle w:val="Heading2"/>
      </w:pPr>
      <w:r>
        <w:t>Billing Endpoints</w:t>
      </w:r>
    </w:p>
    <w:tbl>
      <w:tblPr>
        <w:tblStyle w:val="TableGrid"/>
        <w:tblW w:type="auto" w:w="0"/>
        <w:jc w:val="left"/>
        <w:tblLook w:firstColumn="1" w:firstRow="1" w:lastColumn="0" w:lastRow="0" w:noHBand="0" w:noVBand="1" w:val="04A0"/>
      </w:tblPr>
      <w:tblGrid>
        <w:gridCol w:w="3041"/>
        <w:gridCol w:w="3041"/>
        <w:gridCol w:w="3041"/>
      </w:tblGrid>
      <w:tr>
        <w:tc>
          <w:tcPr>
            <w:tcW w:type="dxa" w:w="3600"/>
            <w:shd w:val="clear" w:color="auto" w:fill="7C3AED"/>
          </w:tcPr>
          <w:p>
            <w:r>
              <w:rPr>
                <w:b/>
                <w:color w:val="FFFFFF"/>
                <w:sz w:val="18"/>
              </w:rPr>
              <w:t>Endpoint</w:t>
            </w:r>
          </w:p>
        </w:tc>
        <w:tc>
          <w:tcPr>
            <w:tcW w:type="dxa" w:w="1440"/>
            <w:shd w:val="clear" w:color="auto" w:fill="7C3AED"/>
          </w:tcPr>
          <w:p>
            <w:r>
              <w:rPr>
                <w:b/>
                <w:color w:val="FFFFFF"/>
                <w:sz w:val="18"/>
              </w:rPr>
              <w:t>Method</w:t>
            </w:r>
          </w:p>
        </w:tc>
        <w:tc>
          <w:tcPr>
            <w:tcW w:type="dxa" w:w="4320"/>
            <w:shd w:val="clear" w:color="auto" w:fill="7C3AED"/>
          </w:tcPr>
          <w:p>
            <w:r>
              <w:rPr>
                <w:b/>
                <w:color w:val="FFFFFF"/>
                <w:sz w:val="18"/>
              </w:rPr>
              <w:t>Description</w:t>
            </w:r>
          </w:p>
        </w:tc>
      </w:tr>
      <w:tr>
        <w:tc>
          <w:tcPr>
            <w:tcW w:type="dxa" w:w="3600"/>
            <w:shd w:val="clear" w:color="auto" w:fill="F5F3FF"/>
          </w:tcPr>
          <w:p>
            <w:r>
              <w:rPr>
                <w:sz w:val="18"/>
              </w:rPr>
              <w:t>/api/payments/plans</w:t>
            </w:r>
          </w:p>
        </w:tc>
        <w:tc>
          <w:tcPr>
            <w:tcW w:type="dxa" w:w="1440"/>
            <w:shd w:val="clear" w:color="auto" w:fill="F5F3FF"/>
          </w:tcPr>
          <w:p>
            <w:r>
              <w:rPr>
                <w:sz w:val="18"/>
              </w:rPr>
              <w:t>GET</w:t>
            </w:r>
          </w:p>
        </w:tc>
        <w:tc>
          <w:tcPr>
            <w:tcW w:type="dxa" w:w="4320"/>
            <w:shd w:val="clear" w:color="auto" w:fill="F5F3FF"/>
          </w:tcPr>
          <w:p>
            <w:r>
              <w:rPr>
                <w:sz w:val="18"/>
              </w:rPr>
              <w:t>Available plans and pricing</w:t>
            </w:r>
          </w:p>
        </w:tc>
      </w:tr>
      <w:tr>
        <w:tc>
          <w:tcPr>
            <w:tcW w:type="dxa" w:w="3600"/>
          </w:tcPr>
          <w:p>
            <w:r>
              <w:rPr>
                <w:sz w:val="18"/>
              </w:rPr>
              <w:t>/api/payments/create-order</w:t>
            </w:r>
          </w:p>
        </w:tc>
        <w:tc>
          <w:tcPr>
            <w:tcW w:type="dxa" w:w="1440"/>
          </w:tcPr>
          <w:p>
            <w:r>
              <w:rPr>
                <w:sz w:val="18"/>
              </w:rPr>
              <w:t>POST</w:t>
            </w:r>
          </w:p>
        </w:tc>
        <w:tc>
          <w:tcPr>
            <w:tcW w:type="dxa" w:w="4320"/>
          </w:tcPr>
          <w:p>
            <w:r>
              <w:rPr>
                <w:sz w:val="18"/>
              </w:rPr>
              <w:t>Create Razorpay order</w:t>
            </w:r>
          </w:p>
        </w:tc>
      </w:tr>
      <w:tr>
        <w:tc>
          <w:tcPr>
            <w:tcW w:type="dxa" w:w="3600"/>
            <w:shd w:val="clear" w:color="auto" w:fill="F5F3FF"/>
          </w:tcPr>
          <w:p>
            <w:r>
              <w:rPr>
                <w:sz w:val="18"/>
              </w:rPr>
              <w:t>/api/payments/verify</w:t>
            </w:r>
          </w:p>
        </w:tc>
        <w:tc>
          <w:tcPr>
            <w:tcW w:type="dxa" w:w="1440"/>
            <w:shd w:val="clear" w:color="auto" w:fill="F5F3FF"/>
          </w:tcPr>
          <w:p>
            <w:r>
              <w:rPr>
                <w:sz w:val="18"/>
              </w:rPr>
              <w:t>POST</w:t>
            </w:r>
          </w:p>
        </w:tc>
        <w:tc>
          <w:tcPr>
            <w:tcW w:type="dxa" w:w="4320"/>
            <w:shd w:val="clear" w:color="auto" w:fill="F5F3FF"/>
          </w:tcPr>
          <w:p>
            <w:r>
              <w:rPr>
                <w:sz w:val="18"/>
              </w:rPr>
              <w:t>Verify payment and activate plan</w:t>
            </w:r>
          </w:p>
        </w:tc>
      </w:tr>
      <w:tr>
        <w:tc>
          <w:tcPr>
            <w:tcW w:type="dxa" w:w="3600"/>
          </w:tcPr>
          <w:p>
            <w:r>
              <w:rPr>
                <w:sz w:val="18"/>
              </w:rPr>
              <w:t>/api/payments/webhook</w:t>
            </w:r>
          </w:p>
        </w:tc>
        <w:tc>
          <w:tcPr>
            <w:tcW w:type="dxa" w:w="1440"/>
          </w:tcPr>
          <w:p>
            <w:r>
              <w:rPr>
                <w:sz w:val="18"/>
              </w:rPr>
              <w:t>POST</w:t>
            </w:r>
          </w:p>
        </w:tc>
        <w:tc>
          <w:tcPr>
            <w:tcW w:type="dxa" w:w="4320"/>
          </w:tcPr>
          <w:p>
            <w:r>
              <w:rPr>
                <w:sz w:val="18"/>
              </w:rPr>
              <w:t>Razorpay webhook receiver</w:t>
            </w:r>
          </w:p>
        </w:tc>
      </w:tr>
      <w:tr>
        <w:tc>
          <w:tcPr>
            <w:tcW w:type="dxa" w:w="3600"/>
            <w:shd w:val="clear" w:color="auto" w:fill="F5F3FF"/>
          </w:tcPr>
          <w:p>
            <w:r>
              <w:rPr>
                <w:sz w:val="18"/>
              </w:rPr>
              <w:t>/api/billing/info</w:t>
            </w:r>
          </w:p>
        </w:tc>
        <w:tc>
          <w:tcPr>
            <w:tcW w:type="dxa" w:w="1440"/>
            <w:shd w:val="clear" w:color="auto" w:fill="F5F3FF"/>
          </w:tcPr>
          <w:p>
            <w:r>
              <w:rPr>
                <w:sz w:val="18"/>
              </w:rPr>
              <w:t>GET</w:t>
            </w:r>
          </w:p>
        </w:tc>
        <w:tc>
          <w:tcPr>
            <w:tcW w:type="dxa" w:w="4320"/>
            <w:shd w:val="clear" w:color="auto" w:fill="F5F3FF"/>
          </w:tcPr>
          <w:p>
            <w:r>
              <w:rPr>
                <w:sz w:val="18"/>
              </w:rPr>
              <w:t>Subscription and invoice info</w:t>
            </w:r>
          </w:p>
        </w:tc>
      </w:tr>
      <w:tr>
        <w:tc>
          <w:tcPr>
            <w:tcW w:type="dxa" w:w="3600"/>
          </w:tcPr>
          <w:p>
            <w:r>
              <w:rPr>
                <w:sz w:val="18"/>
              </w:rPr>
              <w:t>/api/billing/invoices</w:t>
            </w:r>
          </w:p>
        </w:tc>
        <w:tc>
          <w:tcPr>
            <w:tcW w:type="dxa" w:w="1440"/>
          </w:tcPr>
          <w:p>
            <w:r>
              <w:rPr>
                <w:sz w:val="18"/>
              </w:rPr>
              <w:t>GET</w:t>
            </w:r>
          </w:p>
        </w:tc>
        <w:tc>
          <w:tcPr>
            <w:tcW w:type="dxa" w:w="4320"/>
          </w:tcPr>
          <w:p>
            <w:r>
              <w:rPr>
                <w:sz w:val="18"/>
              </w:rPr>
              <w:t>Invoice list</w:t>
            </w:r>
          </w:p>
        </w:tc>
      </w:tr>
      <w:tr>
        <w:tc>
          <w:tcPr>
            <w:tcW w:type="dxa" w:w="3600"/>
            <w:shd w:val="clear" w:color="auto" w:fill="F5F3FF"/>
          </w:tcPr>
          <w:p>
            <w:r>
              <w:rPr>
                <w:sz w:val="18"/>
              </w:rPr>
              <w:t>/api/billing/cancel</w:t>
            </w:r>
          </w:p>
        </w:tc>
        <w:tc>
          <w:tcPr>
            <w:tcW w:type="dxa" w:w="1440"/>
            <w:shd w:val="clear" w:color="auto" w:fill="F5F3FF"/>
          </w:tcPr>
          <w:p>
            <w:r>
              <w:rPr>
                <w:sz w:val="18"/>
              </w:rPr>
              <w:t>POST</w:t>
            </w:r>
          </w:p>
        </w:tc>
        <w:tc>
          <w:tcPr>
            <w:tcW w:type="dxa" w:w="4320"/>
            <w:shd w:val="clear" w:color="auto" w:fill="F5F3FF"/>
          </w:tcPr>
          <w:p>
            <w:r>
              <w:rPr>
                <w:sz w:val="18"/>
              </w:rPr>
              <w:t>Cancel subscription</w:t>
            </w:r>
          </w:p>
        </w:tc>
      </w:tr>
      <w:tr>
        <w:tc>
          <w:tcPr>
            <w:tcW w:type="dxa" w:w="3600"/>
          </w:tcPr>
          <w:p>
            <w:r>
              <w:rPr>
                <w:sz w:val="18"/>
              </w:rPr>
              <w:t>/api/invoice/&lt;id&gt;</w:t>
            </w:r>
          </w:p>
        </w:tc>
        <w:tc>
          <w:tcPr>
            <w:tcW w:type="dxa" w:w="1440"/>
          </w:tcPr>
          <w:p>
            <w:r>
              <w:rPr>
                <w:sz w:val="18"/>
              </w:rPr>
              <w:t>GET</w:t>
            </w:r>
          </w:p>
        </w:tc>
        <w:tc>
          <w:tcPr>
            <w:tcW w:type="dxa" w:w="4320"/>
          </w:tcPr>
          <w:p>
            <w:r>
              <w:rPr>
                <w:sz w:val="18"/>
              </w:rPr>
              <w:t>Download invoice HTML</w:t>
            </w:r>
          </w:p>
        </w:tc>
      </w:tr>
    </w:tbl>
    <w:p/>
    <w:p>
      <w:pPr>
        <w:pStyle w:val="Heading1"/>
      </w:pPr>
      <w:r>
        <w:rPr>
          <w:color w:val="7C3AED"/>
        </w:rPr>
        <w:t>14. UI Walkthrough</w:t>
      </w:r>
    </w:p>
    <w:p>
      <w:pPr>
        <w:spacing w:before="40" w:after="40"/>
        <w:pBdr>
          <w:bottom w:val="single" w:sz="4" w:space="1" w:color="BC8CFF"/>
        </w:pBdr>
      </w:pPr>
    </w:p>
    <w:p>
      <w:pPr>
        <w:pStyle w:val="Heading2"/>
      </w:pPr>
      <w:r>
        <w:t>Three-Panel Layout</w:t>
      </w:r>
    </w:p>
    <w:p>
      <w:pPr>
        <w:pStyle w:val="ListBullet"/>
        <w:ind w:left="0"/>
      </w:pPr>
      <w:r>
        <w:rPr>
          <w:b/>
          <w:color w:val="1F2D3D"/>
        </w:rPr>
        <w:t>Left Panel — AI Thinking:</w:t>
      </w:r>
      <w:r>
        <w:rPr>
          <w:color w:val="6B7280"/>
        </w:rPr>
        <w:t xml:space="preserve"> Live reasoning traces, session history, agent actions</w:t>
      </w:r>
    </w:p>
    <w:p>
      <w:pPr>
        <w:pStyle w:val="ListBullet"/>
        <w:ind w:left="0"/>
      </w:pPr>
      <w:r>
        <w:rPr>
          <w:b/>
          <w:color w:val="1F2D3D"/>
        </w:rPr>
        <w:t>Centre Panel — Logs/Code/Terminal:</w:t>
      </w:r>
      <w:r>
        <w:rPr>
          <w:color w:val="6B7280"/>
        </w:rPr>
        <w:t xml:space="preserve"> Task output, file editor, integrated terminal, metrics</w:t>
      </w:r>
    </w:p>
    <w:p>
      <w:pPr>
        <w:pStyle w:val="ListBullet"/>
        <w:ind w:left="0"/>
      </w:pPr>
      <w:r>
        <w:rPr>
          <w:b/>
          <w:color w:val="1F2D3D"/>
        </w:rPr>
        <w:t>Right Panel — Inspector:</w:t>
      </w:r>
      <w:r>
        <w:rPr>
          <w:color w:val="6B7280"/>
        </w:rPr>
        <w:t xml:space="preserve"> Model info, plan status, billing, intelligence score, memory</w:t>
      </w:r>
    </w:p>
    <w:p>
      <w:pPr>
        <w:pStyle w:val="Heading2"/>
      </w:pPr>
      <w:r>
        <w:t>Header Controls</w:t>
      </w:r>
    </w:p>
    <w:p>
      <w:pPr>
        <w:pStyle w:val="ListBullet"/>
        <w:ind w:left="0"/>
      </w:pPr>
      <w:r>
        <w:rPr>
          <w:color w:val="1F2D3D"/>
        </w:rPr>
        <w:t>Nexora logo and branding</w:t>
      </w:r>
    </w:p>
    <w:p>
      <w:pPr>
        <w:pStyle w:val="ListBullet"/>
        <w:ind w:left="0"/>
      </w:pPr>
      <w:r>
        <w:rPr>
          <w:color w:val="1F2D3D"/>
        </w:rPr>
        <w:t>Plan mode selector (Lite / Pro / Elite) with routing dropdown</w:t>
      </w:r>
    </w:p>
    <w:p>
      <w:pPr>
        <w:pStyle w:val="ListBullet"/>
        <w:ind w:left="0"/>
      </w:pPr>
      <w:r>
        <w:rPr>
          <w:color w:val="1F2D3D"/>
        </w:rPr>
        <w:t>Subscription badge showing current plan and expiry date</w:t>
      </w:r>
    </w:p>
    <w:p>
      <w:pPr>
        <w:pStyle w:val="ListBullet"/>
        <w:ind w:left="0"/>
      </w:pPr>
      <w:r>
        <w:rPr>
          <w:color w:val="1F2D3D"/>
        </w:rPr>
        <w:t>Theme toggle (dark/light)</w:t>
      </w:r>
    </w:p>
    <w:p>
      <w:pPr>
        <w:pStyle w:val="ListBullet"/>
        <w:ind w:left="0"/>
      </w:pPr>
      <w:r>
        <w:rPr>
          <w:color w:val="1F2D3D"/>
        </w:rPr>
        <w:t>Token and cost counter</w:t>
      </w:r>
    </w:p>
    <w:p>
      <w:pPr>
        <w:pStyle w:val="ListBullet"/>
        <w:ind w:left="0"/>
      </w:pPr>
      <w:r>
        <w:rPr>
          <w:color w:val="1F2D3D"/>
        </w:rPr>
        <w:t>Run task button</w:t>
      </w:r>
    </w:p>
    <w:p>
      <w:pPr>
        <w:pStyle w:val="Heading2"/>
      </w:pPr>
      <w:r>
        <w:t>Upgrade / Billing Modal</w:t>
      </w:r>
    </w:p>
    <w:p>
      <w:pPr>
        <w:pStyle w:val="ListBullet"/>
        <w:ind w:left="0"/>
      </w:pPr>
      <w:r>
        <w:rPr>
          <w:color w:val="1F2D3D"/>
        </w:rPr>
        <w:t>Billing cycle toggle (Monthly / Yearly)</w:t>
      </w:r>
    </w:p>
    <w:p>
      <w:pPr>
        <w:pStyle w:val="ListBullet"/>
        <w:ind w:left="0"/>
      </w:pPr>
      <w:r>
        <w:rPr>
          <w:color w:val="1F2D3D"/>
        </w:rPr>
        <w:t>Plan cards with INR pricing and feature lists</w:t>
      </w:r>
    </w:p>
    <w:p>
      <w:pPr>
        <w:pStyle w:val="ListBullet"/>
        <w:ind w:left="0"/>
      </w:pPr>
      <w:r>
        <w:rPr>
          <w:color w:val="1F2D3D"/>
        </w:rPr>
        <w:t>Real Razorpay checkout popup on 'Pay' click</w:t>
      </w:r>
    </w:p>
    <w:p>
      <w:pPr>
        <w:pStyle w:val="ListBullet"/>
        <w:ind w:left="0"/>
      </w:pPr>
      <w:r>
        <w:rPr>
          <w:color w:val="1F2D3D"/>
        </w:rPr>
        <w:t>Subscription status chip and expiry display</w:t>
      </w:r>
    </w:p>
    <w:p>
      <w:pPr>
        <w:pStyle w:val="ListBullet"/>
        <w:ind w:left="0"/>
      </w:pPr>
      <w:r>
        <w:rPr>
          <w:color w:val="1F2D3D"/>
        </w:rPr>
        <w:t>Invoice history with download links</w:t>
      </w:r>
    </w:p>
    <w:p>
      <w:pPr>
        <w:pStyle w:val="ListBullet"/>
        <w:ind w:left="0"/>
      </w:pPr>
      <w:r>
        <w:rPr>
          <w:color w:val="1F2D3D"/>
        </w:rPr>
        <w:t>Billing Setup Guide with webhook URL and connection status</w:t>
      </w:r>
    </w:p>
    <w:p/>
    <w:p>
      <w:pPr>
        <w:pStyle w:val="Heading1"/>
      </w:pPr>
      <w:r>
        <w:rPr>
          <w:color w:val="7C3AED"/>
        </w:rPr>
        <w:t>15. Future Scope</w:t>
      </w:r>
    </w:p>
    <w:p>
      <w:pPr>
        <w:spacing w:before="40" w:after="40"/>
        <w:pBdr>
          <w:bottom w:val="single" w:sz="4" w:space="1" w:color="BC8CFF"/>
        </w:pBdr>
      </w:pPr>
    </w:p>
    <w:p>
      <w:pPr>
        <w:pStyle w:val="ListBullet"/>
        <w:ind w:left="0"/>
      </w:pPr>
      <w:r>
        <w:rPr>
          <w:color w:val="1F2D3D"/>
        </w:rPr>
        <w:t>WebSocket real-time streaming (replace polling)</w:t>
      </w:r>
    </w:p>
    <w:p>
      <w:pPr>
        <w:pStyle w:val="ListBullet"/>
        <w:ind w:left="0"/>
      </w:pPr>
      <w:r>
        <w:rPr>
          <w:color w:val="1F2D3D"/>
        </w:rPr>
        <w:t>Team / organisation accounts with role-based access control</w:t>
      </w:r>
    </w:p>
    <w:p>
      <w:pPr>
        <w:pStyle w:val="ListBullet"/>
        <w:ind w:left="0"/>
      </w:pPr>
      <w:r>
        <w:rPr>
          <w:b/>
          <w:color w:val="1F2D3D"/>
        </w:rPr>
        <w:t>GitHub integration:</w:t>
      </w:r>
      <w:r>
        <w:rPr>
          <w:color w:val="6B7280"/>
        </w:rPr>
        <w:t xml:space="preserve"> commit, PR creation, code review automation</w:t>
      </w:r>
    </w:p>
    <w:p>
      <w:pPr>
        <w:pStyle w:val="ListBullet"/>
        <w:ind w:left="0"/>
      </w:pPr>
      <w:r>
        <w:rPr>
          <w:color w:val="1F2D3D"/>
        </w:rPr>
        <w:t>Plugin marketplace for custom agent tools</w:t>
      </w:r>
    </w:p>
    <w:p>
      <w:pPr>
        <w:pStyle w:val="ListBullet"/>
        <w:ind w:left="0"/>
      </w:pPr>
      <w:r>
        <w:rPr>
          <w:color w:val="1F2D3D"/>
        </w:rPr>
        <w:t>Mobile application (React Native / Expo)</w:t>
      </w:r>
    </w:p>
    <w:p>
      <w:pPr>
        <w:pStyle w:val="ListBullet"/>
        <w:ind w:left="0"/>
      </w:pPr>
      <w:r>
        <w:rPr>
          <w:color w:val="1F2D3D"/>
        </w:rPr>
        <w:t>Multi-tenant SaaS mode with per-tenant isolation</w:t>
      </w:r>
    </w:p>
    <w:p>
      <w:pPr>
        <w:pStyle w:val="ListBullet"/>
        <w:ind w:left="0"/>
      </w:pPr>
      <w:r>
        <w:rPr>
          <w:color w:val="1F2D3D"/>
        </w:rPr>
        <w:t>Annual billing plans via Razorpay Subscriptions API</w:t>
      </w:r>
    </w:p>
    <w:p>
      <w:pPr>
        <w:pStyle w:val="ListBullet"/>
        <w:ind w:left="0"/>
      </w:pPr>
      <w:r>
        <w:rPr>
          <w:color w:val="1F2D3D"/>
        </w:rPr>
        <w:t>Voice interface for task submission</w:t>
      </w:r>
    </w:p>
    <w:p>
      <w:pPr>
        <w:pStyle w:val="ListBullet"/>
        <w:ind w:left="0"/>
      </w:pPr>
      <w:r>
        <w:rPr>
          <w:color w:val="1F2D3D"/>
        </w:rPr>
        <w:t>Visual code editor with live preview</w:t>
      </w:r>
    </w:p>
    <w:p>
      <w:pPr>
        <w:pStyle w:val="ListBullet"/>
        <w:ind w:left="0"/>
      </w:pPr>
      <w:r>
        <w:rPr>
          <w:color w:val="1F2D3D"/>
        </w:rPr>
        <w:t>SOC2 compliance and audit logging</w:t>
      </w:r>
    </w:p>
    <w:p/>
    <w:p>
      <w:pPr>
        <w:spacing w:before="40" w:after="40"/>
        <w:pBdr>
          <w:bottom w:val="single" w:sz="4" w:space="1" w:color="BC8CFF"/>
        </w:pBdr>
      </w:pPr>
    </w:p>
    <w:p>
      <w:pPr>
        <w:jc w:val="center"/>
      </w:pPr>
      <w:r>
        <w:rPr>
          <w:i/>
          <w:color w:val="6B7280"/>
          <w:sz w:val="18"/>
        </w:rPr>
        <w:t>⚡ Nexora AI Platform · Official Documentation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