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redit-scorecard-reference-document"/>
    <w:p>
      <w:pPr>
        <w:pStyle w:val="Heading1"/>
      </w:pPr>
      <w:r>
        <w:t xml:space="preserve">Credit Scorecard — Reference Document</w:t>
      </w:r>
    </w:p>
    <w:p>
      <w:pPr>
        <w:pStyle w:val="FirstParagraph"/>
      </w:pPr>
      <w:r>
        <w:t xml:space="preserve">Version 1.1 · April 2026 · Combined Unsecured + Secured Portfolio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is the formal credit scorecard reference for the Credit Risk &amp;</w:t>
      </w:r>
      <w:r>
        <w:t xml:space="preserve"> </w:t>
      </w:r>
      <w:r>
        <w:t xml:space="preserve">Fraud Detection Platform. It translates the underlying Probability of Default</w:t>
      </w:r>
      <w:r>
        <w:t xml:space="preserve"> </w:t>
      </w:r>
      <w:r>
        <w:t xml:space="preserve">(PD) model into the points-based scorecard view that credit risk professionals</w:t>
      </w:r>
      <w:r>
        <w:t xml:space="preserve"> </w:t>
      </w:r>
      <w:r>
        <w:t xml:space="preserve">and OSFI E-23 reviewers expect to see.</w:t>
      </w:r>
    </w:p>
    <w:p>
      <w:pPr>
        <w:pStyle w:val="BodyText"/>
      </w:pPr>
      <w:r>
        <w:t xml:space="preserve">Two scorecard views are presented: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Score-to-Decision Lookup Table</w:t>
      </w:r>
      <w:r>
        <w:t xml:space="preserve"> </w:t>
      </w:r>
      <w:r>
        <w:t xml:space="preserve">— the operational table used by</w:t>
      </w:r>
      <w:r>
        <w:t xml:space="preserve"> </w:t>
      </w:r>
      <w:r>
        <w:t xml:space="preserve">underwriters and adverse-action letter generators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Feature-Level Score Attribution</w:t>
      </w:r>
      <w:r>
        <w:t xml:space="preserve"> </w:t>
      </w:r>
      <w:r>
        <w:t xml:space="preserve">— the per-feature breakdown showing how</w:t>
      </w:r>
      <w:r>
        <w:t xml:space="preserve"> </w:t>
      </w:r>
      <w:r>
        <w:t xml:space="preserve">each Weight-of-Evidence (WoE) bin contributes points to the final score</w:t>
      </w:r>
    </w:p>
    <w:p>
      <w:pPr>
        <w:pStyle w:val="FirstParagraph"/>
      </w:pPr>
      <w:r>
        <w:t xml:space="preserve">The scorecard is calibrated against real Out-of-Time (OOT) test data using the</w:t>
      </w:r>
      <w:r>
        <w:t xml:space="preserve"> </w:t>
      </w:r>
      <w:r>
        <w:t xml:space="preserve">LendingClub 2016-2018 vintage and the FICO HELOC sample.</w:t>
      </w:r>
    </w:p>
    <w:p>
      <w:r>
        <w:pict>
          <v:rect style="width:0;height:1.5pt" o:hralign="center" o:hrstd="t" o:hr="t"/>
        </w:pict>
      </w:r>
    </w:p>
    <w:bookmarkEnd w:id="20"/>
    <w:bookmarkStart w:id="21" w:name="score-scaling-methodology"/>
    <w:p>
      <w:pPr>
        <w:pStyle w:val="Heading2"/>
      </w:pPr>
      <w:r>
        <w:t xml:space="preserve">2. Score scaling methodology</w:t>
      </w:r>
    </w:p>
    <w:p>
      <w:pPr>
        <w:pStyle w:val="FirstParagraph"/>
      </w:pPr>
      <w:r>
        <w:t xml:space="preserve">The scorecard uses the standard Points-to-Double-the-Odds (PDO) scaling</w:t>
      </w:r>
      <w:r>
        <w:t xml:space="preserve"> </w:t>
      </w:r>
      <w:r>
        <w:t xml:space="preserve">convention used in retail credit risk:</w:t>
      </w:r>
    </w:p>
    <w:p>
      <w:pPr>
        <w:pStyle w:val="SourceCode"/>
      </w:pPr>
      <w:r>
        <w:rPr>
          <w:rStyle w:val="VerbatimChar"/>
        </w:rPr>
        <w:t xml:space="preserve">Score = Offset + Factor × ln(odds)</w:t>
      </w:r>
      <w:r>
        <w:br/>
      </w:r>
      <w:r>
        <w:rPr>
          <w:rStyle w:val="VerbatimChar"/>
        </w:rPr>
        <w:t xml:space="preserve">where odds = (1 - PD) / PD</w:t>
      </w:r>
    </w:p>
    <w:p>
      <w:pPr>
        <w:pStyle w:val="FirstParagraph"/>
      </w:pPr>
      <w:r>
        <w:rPr>
          <w:bCs/>
          <w:b/>
        </w:rPr>
        <w:t xml:space="preserve">Calibration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1"/>
        <w:gridCol w:w="720"/>
        <w:gridCol w:w="5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 reference odds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score = 600, 4 goods to 1 bad (PD ≈ 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 points doubles the odds (halves 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ln(2)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600 - 72.13 × ln(4)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range:</w:t>
      </w:r>
      <w:r>
        <w:t xml:space="preserve"> </w:t>
      </w:r>
      <w:r>
        <w:t xml:space="preserve">300 (highest risk) to 850 (lowest risk).</w:t>
      </w:r>
    </w:p>
    <w:p>
      <w:pPr>
        <w:pStyle w:val="BodyText"/>
      </w:pPr>
      <w:r>
        <w:t xml:space="preserve">This is the same convention used by Equifax FICO, TransUnion CreditVision, and</w:t>
      </w:r>
      <w:r>
        <w:t xml:space="preserve"> </w:t>
      </w:r>
      <w:r>
        <w:t xml:space="preserve">most North American consumer lenders. A 50-point increase represents a halving</w:t>
      </w:r>
      <w:r>
        <w:t xml:space="preserve"> </w:t>
      </w:r>
      <w:r>
        <w:t xml:space="preserve">of default odds, which is intuitive for both internal stakeholders and</w:t>
      </w:r>
      <w:r>
        <w:t xml:space="preserve"> </w:t>
      </w:r>
      <w:r>
        <w:t xml:space="preserve">external auditors.</w:t>
      </w:r>
    </w:p>
    <w:p>
      <w:r>
        <w:pict>
          <v:rect style="width:0;height:1.5pt" o:hralign="center" o:hrstd="t" o:hr="t"/>
        </w:pict>
      </w:r>
    </w:p>
    <w:bookmarkEnd w:id="21"/>
    <w:bookmarkStart w:id="22" w:name="score-to-pd-lookup-table"/>
    <w:p>
      <w:pPr>
        <w:pStyle w:val="Heading2"/>
      </w:pPr>
      <w:r>
        <w:t xml:space="preserve">3. Score-to-PD lookup table</w:t>
      </w:r>
    </w:p>
    <w:p>
      <w:pPr>
        <w:pStyle w:val="FirstParagraph"/>
      </w:pPr>
      <w:r>
        <w:t xml:space="preserve">The core scorecard. Every applicant’s predicted PD maps to one of these score</w:t>
      </w:r>
      <w:r>
        <w:t xml:space="preserve"> </w:t>
      </w:r>
      <w:r>
        <w:t xml:space="preserve">bands.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566"/>
        <w:gridCol w:w="1305"/>
        <w:gridCol w:w="1479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loss 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720 – 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— Super-prime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per $1,000 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680 – 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–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per $1,000 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630 – 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— Near-prime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–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refer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per $1,000 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580 – 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— Subprime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–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/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 per $1,000 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– 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— Deep subprime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(declined)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Approval threshold:</w:t>
      </w:r>
      <w:r>
        <w:t xml:space="preserve"> </w:t>
      </w:r>
      <w:r>
        <w:t xml:space="preserve">Score ≥ 638 (PD ≤ 28%) → Approve</w:t>
      </w:r>
      <w:r>
        <w:t xml:space="preserve"> </w:t>
      </w:r>
      <w:r>
        <w:rPr>
          <w:bCs/>
          <w:b/>
        </w:rPr>
        <w:t xml:space="preserve">Refer band:</w:t>
      </w:r>
      <w:r>
        <w:t xml:space="preserve"> </w:t>
      </w:r>
      <w:r>
        <w:t xml:space="preserve">Score 605–637 (PD 28%–35%) → Underwriter review</w:t>
      </w:r>
      <w:r>
        <w:t xml:space="preserve"> </w:t>
      </w:r>
      <w:r>
        <w:rPr>
          <w:bCs/>
          <w:b/>
        </w:rPr>
        <w:t xml:space="preserve">Decline threshold:</w:t>
      </w:r>
      <w:r>
        <w:t xml:space="preserve"> </w:t>
      </w:r>
      <w:r>
        <w:t xml:space="preserve">Score &lt; 605 (PD &gt; 35%) → Decline</w:t>
      </w:r>
    </w:p>
    <w:p>
      <w:r>
        <w:pict>
          <v:rect style="width:0;height:1.5pt" o:hralign="center" o:hrstd="t" o:hr="t"/>
        </w:pict>
      </w:r>
    </w:p>
    <w:bookmarkEnd w:id="22"/>
    <w:bookmarkStart w:id="23" w:name="Xe25ca24d63b23bbb47774d06e2831f6f5b4e350"/>
    <w:p>
      <w:pPr>
        <w:pStyle w:val="Heading2"/>
      </w:pPr>
      <w:r>
        <w:t xml:space="preserve">4. Risk tier performance — measured on OOT test set</w:t>
      </w:r>
    </w:p>
    <w:p>
      <w:pPr>
        <w:pStyle w:val="FirstParagraph"/>
      </w:pPr>
      <w:r>
        <w:t xml:space="preserve">These are real measured values from the Phase 4 model evaluation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reports/phase4/score_tier_analysis.csv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848"/>
        <w:gridCol w:w="1037"/>
        <w:gridCol w:w="1791"/>
        <w:gridCol w:w="198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predicted 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-2.69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-6.48 pp</w:t>
            </w:r>
          </w:p>
        </w:tc>
      </w:tr>
    </w:tbl>
    <w:p>
      <w:pPr>
        <w:pStyle w:val="BodyText"/>
      </w:pPr>
      <w:r>
        <w:t xml:space="preserve">The negative calibration gap on Tier D (predicted under-actual) is documented</w:t>
      </w:r>
      <w:r>
        <w:t xml:space="preserve"> </w:t>
      </w:r>
      <w:r>
        <w:t xml:space="preserve">in MODEL_CARD §6 — it’s driven by the loan-term-months product proxy and is</w:t>
      </w:r>
      <w:r>
        <w:t xml:space="preserve"> </w:t>
      </w:r>
      <w:r>
        <w:t xml:space="preserve">the central reason for the v1.1 segmented architecture. The v1.1 challenger</w:t>
      </w:r>
      <w:r>
        <w:t xml:space="preserve"> </w:t>
      </w:r>
      <w:r>
        <w:t xml:space="preserve">models have measured Unsecured AUC of 0.7208 (vs 0.6678 unified), which</w:t>
      </w:r>
      <w:r>
        <w:t xml:space="preserve"> </w:t>
      </w:r>
      <w:r>
        <w:t xml:space="preserve">materially closes the calibration gap.</w:t>
      </w:r>
    </w:p>
    <w:p>
      <w:r>
        <w:pict>
          <v:rect style="width:0;height:1.5pt" o:hralign="center" o:hrstd="t" o:hr="t"/>
        </w:pict>
      </w:r>
    </w:p>
    <w:bookmarkEnd w:id="23"/>
    <w:bookmarkStart w:id="26" w:name="feature-level-score-attribution"/>
    <w:p>
      <w:pPr>
        <w:pStyle w:val="Heading2"/>
      </w:pPr>
      <w:r>
        <w:t xml:space="preserve">5. Feature-level score attribution</w:t>
      </w:r>
    </w:p>
    <w:p>
      <w:pPr>
        <w:pStyle w:val="FirstParagraph"/>
      </w:pPr>
      <w:r>
        <w:t xml:space="preserve">The scorecard is built on 14 features ranked by Information Value (IV). Each</w:t>
      </w:r>
      <w:r>
        <w:t xml:space="preserve"> </w:t>
      </w:r>
      <w:r>
        <w:t xml:space="preserve">feature contributes points based on which WoE bin the applicant falls into.</w:t>
      </w:r>
    </w:p>
    <w:bookmarkStart w:id="24" w:name="top-contributing-features-by-iv"/>
    <w:p>
      <w:pPr>
        <w:pStyle w:val="Heading3"/>
      </w:pPr>
      <w:r>
        <w:t xml:space="preserve">5.1 Top-contributing features (by IV)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0"/>
        <w:gridCol w:w="2790"/>
        <w:gridCol w:w="720"/>
        <w:gridCol w:w="153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points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external_risk_estimate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±35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loan_term_months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±28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pct_trades_never_delinquent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±22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±18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num_high_utilization_trades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±16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score_x_product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ltv_x_product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±13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num_derogatory_marks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annual_income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±11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ltv_ratio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alt_data_score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months_since_oldest_trade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±7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points</w:t>
            </w:r>
          </w:p>
        </w:tc>
      </w:tr>
    </w:tbl>
    <w:p>
      <w:pPr>
        <w:pStyle w:val="BodyText"/>
      </w:pPr>
      <w:r>
        <w:t xml:space="preserve">* These features are excluded from the v1.1 segmented per-product models</w:t>
      </w:r>
      <w:r>
        <w:t xml:space="preserve"> </w:t>
      </w:r>
      <w:r>
        <w:t xml:space="preserve">because they encode product-type signal rather than genuine credit-risk signal</w:t>
      </w:r>
      <w:r>
        <w:t xml:space="preserve"> </w:t>
      </w:r>
      <w:r>
        <w:t xml:space="preserve">(see MODEL_CARD §6).</w:t>
      </w:r>
    </w:p>
    <w:bookmarkEnd w:id="24"/>
    <w:bookmarkStart w:id="25" w:name="worked-example-score-attribution"/>
    <w:p>
      <w:pPr>
        <w:pStyle w:val="Heading3"/>
      </w:pPr>
      <w:r>
        <w:t xml:space="preserve">5.2 Worked example — score attribution</w:t>
      </w:r>
    </w:p>
    <w:p>
      <w:pPr>
        <w:pStyle w:val="FirstParagraph"/>
      </w:pPr>
      <w:r>
        <w:t xml:space="preserve">A representative Tier C applicant: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WoE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external_risk_estimate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640–679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pct_trades_never_delinquent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85%–92%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num_high_utilization_trades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num_derogatory_marks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annual_income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$55K–$80K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ltv_ratio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0.55–0.70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alt_data_score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months_since_oldest_trade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loan_term_months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609</w:t>
            </w:r>
          </w:p>
        </w:tc>
      </w:tr>
    </w:tbl>
    <w:p>
      <w:pPr>
        <w:pStyle w:val="BodyText"/>
      </w:pPr>
      <w:r>
        <w:t xml:space="preserve">This applicant lands in</w:t>
      </w:r>
      <w:r>
        <w:t xml:space="preserve"> </w:t>
      </w:r>
      <w:r>
        <w:rPr>
          <w:bCs/>
          <w:b/>
        </w:rPr>
        <w:t xml:space="preserve">Tier D</w:t>
      </w:r>
      <w:r>
        <w:t xml:space="preserve"> </w:t>
      </w:r>
      <w:r>
        <w:t xml:space="preserve">(subprime, PD 20%-35%) and routes to the</w:t>
      </w:r>
      <w:r>
        <w:t xml:space="preserve"> </w:t>
      </w:r>
      <w:r>
        <w:rPr>
          <w:bCs/>
          <w:b/>
        </w:rPr>
        <w:t xml:space="preserve">Refer band</w:t>
      </w:r>
      <w:r>
        <w:t xml:space="preserve"> </w:t>
      </w:r>
      <w:r>
        <w:t xml:space="preserve">for underwriter review.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core-distribution-measured-portfolio"/>
    <w:p>
      <w:pPr>
        <w:pStyle w:val="Heading2"/>
      </w:pPr>
      <w:r>
        <w:t xml:space="preserve">6. Score distribution — measured portfolio</w:t>
      </w:r>
    </w:p>
    <w:p>
      <w:pPr>
        <w:pStyle w:val="FirstParagraph"/>
      </w:pPr>
      <w:r>
        <w:t xml:space="preserve">From the 194,564-loan OOT scoring portfolio (Phase 4 outputs):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declined</w:t>
            </w:r>
          </w:p>
        </w:tc>
      </w:tr>
    </w:tbl>
    <w:p>
      <w:pPr>
        <w:pStyle w:val="BodyText"/>
      </w:pPr>
      <w:r>
        <w:t xml:space="preserve">The heavy concentration in Tier D reflects the LendingClub training population,</w:t>
      </w:r>
      <w:r>
        <w:t xml:space="preserve"> </w:t>
      </w:r>
      <w:r>
        <w:t xml:space="preserve">which is dominated by near-prime / subprime unsecured lending. A real Canadian</w:t>
      </w:r>
      <w:r>
        <w:t xml:space="preserve"> </w:t>
      </w:r>
      <w:r>
        <w:t xml:space="preserve">non-bank lender with mixed prime/subprime mix would see a more balanced</w:t>
      </w:r>
      <w:r>
        <w:t xml:space="preserve"> </w:t>
      </w:r>
      <w:r>
        <w:t xml:space="preserve">distribution.</w:t>
      </w:r>
    </w:p>
    <w:p>
      <w:r>
        <w:pict>
          <v:rect style="width:0;height:1.5pt" o:hralign="center" o:hrstd="t" o:hr="t"/>
        </w:pict>
      </w:r>
    </w:p>
    <w:bookmarkEnd w:id="27"/>
    <w:bookmarkStart w:id="30" w:name="scorecard-governance"/>
    <w:p>
      <w:pPr>
        <w:pStyle w:val="Heading2"/>
      </w:pPr>
      <w:r>
        <w:t xml:space="preserve">7. Scorecard governance</w:t>
      </w:r>
    </w:p>
    <w:bookmarkStart w:id="28" w:name="validation-thresholds"/>
    <w:p>
      <w:pPr>
        <w:pStyle w:val="Heading3"/>
      </w:pPr>
      <w:r>
        <w:t xml:space="preserve">7.1 Validation thresholds</w:t>
      </w:r>
    </w:p>
    <w:p>
      <w:pPr>
        <w:pStyle w:val="FirstParagraph"/>
      </w:pPr>
      <w:r>
        <w:t xml:space="preserve">The scorecard is monitored against the following triggers (per OSFI E-23):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6"/>
        <w:gridCol w:w="1105"/>
        <w:gridCol w:w="1105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 (population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Investigate; consider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CSI (characteristic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feature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OOT 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formal revalidation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gap (any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Recalibrate Platt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rate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pp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policy review</w:t>
            </w:r>
          </w:p>
        </w:tc>
      </w:tr>
    </w:tbl>
    <w:bookmarkEnd w:id="28"/>
    <w:bookmarkStart w:id="29" w:name="champion-challenger"/>
    <w:p>
      <w:pPr>
        <w:pStyle w:val="Heading3"/>
      </w:pPr>
      <w:r>
        <w:t xml:space="preserve">7.2 Champion / challenger</w:t>
      </w:r>
    </w:p>
    <w:p>
      <w:pPr>
        <w:pStyle w:val="FirstParagraph"/>
      </w:pPr>
      <w:r>
        <w:rPr>
          <w:bCs/>
          <w:b/>
        </w:rPr>
        <w:t xml:space="preserve">Champion (production):</w:t>
      </w:r>
      <w:r>
        <w:t xml:space="preserve"> </w:t>
      </w:r>
      <w:r>
        <w:t xml:space="preserve">v1.0 unified XGBoost</w:t>
      </w:r>
      <w:r>
        <w:t xml:space="preserve"> </w:t>
      </w:r>
      <w:r>
        <w:rPr>
          <w:bCs/>
          <w:b/>
        </w:rPr>
        <w:t xml:space="preserve">Challenger (under evaluation):</w:t>
      </w:r>
      <w:r>
        <w:t xml:space="preserve"> </w:t>
      </w:r>
      <w:r>
        <w:t xml:space="preserve">v1.1 segmented per-product models</w:t>
      </w:r>
    </w:p>
    <w:p>
      <w:pPr>
        <w:pStyle w:val="BodyText"/>
      </w:pPr>
      <w:r>
        <w:t xml:space="preserve">The v1.1 segmented models will be promoted to champion when:</w:t>
      </w:r>
      <w:r>
        <w:t xml:space="preserve"> </w:t>
      </w:r>
      <w:r>
        <w:t xml:space="preserve">1. ≥ 12 months of stable PSI/CSI on the unsecured segment</w:t>
      </w:r>
      <w:r>
        <w:t xml:space="preserve"> </w:t>
      </w:r>
      <w:r>
        <w:t xml:space="preserve">2. ≥ 6 months of HELOC volume sufficient to reduce thin-data risk (target: &gt; 50K records)</w:t>
      </w:r>
      <w:r>
        <w:t xml:space="preserve"> </w:t>
      </w:r>
      <w:r>
        <w:t xml:space="preserve">3. Operational pipeline doubled (separate monitoring, separate adverse-action templates)</w:t>
      </w:r>
      <w:r>
        <w:t xml:space="preserve"> </w:t>
      </w:r>
      <w:r>
        <w:t xml:space="preserve">4. CRO and Credit Risk Committee sign-off on dual-model governance</w:t>
      </w:r>
    </w:p>
    <w:p>
      <w:pPr>
        <w:pStyle w:val="BodyText"/>
      </w:pPr>
      <w:r>
        <w:t xml:space="preserve">Until then, v1.1 runs alongside v1.0 for monitoring and validation purposes only.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dverse-action-and-reason-codes"/>
    <w:p>
      <w:pPr>
        <w:pStyle w:val="Heading2"/>
      </w:pPr>
      <w:r>
        <w:t xml:space="preserve">8. Adverse action and reason codes</w:t>
      </w:r>
    </w:p>
    <w:p>
      <w:pPr>
        <w:pStyle w:val="FirstParagraph"/>
      </w:pPr>
      <w:r>
        <w:t xml:space="preserve">When the scorecard declines an applicant (score &lt; 605 or any hard policy</w:t>
      </w:r>
      <w:r>
        <w:t xml:space="preserve"> </w:t>
      </w:r>
      <w:r>
        <w:t xml:space="preserve">failure), the system generates an adverse-action letter using ECOA-compliant</w:t>
      </w:r>
      <w:r>
        <w:t xml:space="preserve"> </w:t>
      </w:r>
      <w:r>
        <w:t xml:space="preserve">reason codes derived from SHAP attribution. The top-3 negative drivers from</w:t>
      </w:r>
      <w:r>
        <w:t xml:space="preserve"> </w:t>
      </w:r>
      <w:r>
        <w:t xml:space="preserve">the applicant’s score are translated into plain-English reasons.</w:t>
      </w:r>
    </w:p>
    <w:p>
      <w:pPr>
        <w:pStyle w:val="BodyText"/>
      </w:pPr>
      <w:r>
        <w:rPr>
          <w:bCs/>
          <w:b/>
        </w:rPr>
        <w:t xml:space="preserve">Common reason codes: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4264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credit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months_since_oldest_trade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recent inquiries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num_inquiries_last_6m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Debt-to-income ratio too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dti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annual_income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derogatory 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num_derogatory_marks</w:t>
            </w:r>
            <w:r>
              <w:t xml:space="preserve"> </w:t>
            </w:r>
            <w:r>
              <w:t xml:space="preserve">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credit 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num_high_utilization_trades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score below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credit_score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loan-to-value ratio (HELOC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ltv_ratio</w:t>
            </w:r>
            <w:r>
              <w:t xml:space="preserve"> </w:t>
            </w:r>
            <w:r>
              <w:t xml:space="preserve">&gt;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alternative-data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alt_data_score</w:t>
            </w:r>
            <w:r>
              <w:t xml:space="preserve"> </w:t>
            </w: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policy failure (specific rule cited)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gate</w:t>
            </w:r>
          </w:p>
        </w:tc>
      </w:tr>
    </w:tbl>
    <w:p>
      <w:pPr>
        <w:pStyle w:val="BodyText"/>
      </w:pPr>
      <w:r>
        <w:t xml:space="preserve">The adverse-action letter is generated by Llama 3 (locally via Ollama, for</w:t>
      </w:r>
      <w:r>
        <w:t xml:space="preserve"> </w:t>
      </w:r>
      <w:r>
        <w:t xml:space="preserve">PIPEDA compliance) using these codes plus the applicant’s name. A template</w:t>
      </w:r>
      <w:r>
        <w:t xml:space="preserve"> </w:t>
      </w:r>
      <w:r>
        <w:t xml:space="preserve">fallback ensures letter generation if the LLM is unavailable.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reports/phase4/score_tier_analysis.csv</w:t>
      </w:r>
      <w:r>
        <w:t xml:space="preserve"> </w:t>
      </w:r>
      <w:r>
        <w:t xml:space="preserve">— Live tier performance 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reports/phase4/model_comparison.csv</w:t>
      </w:r>
      <w:r>
        <w:t xml:space="preserve"> </w:t>
      </w:r>
      <w:r>
        <w:t xml:space="preserve">— Champion model AUC/KS/Gini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reports/phase4/model_comparison_segmented.csv</w:t>
      </w:r>
      <w:r>
        <w:t xml:space="preserve"> </w:t>
      </w:r>
      <w:r>
        <w:t xml:space="preserve">— v1.1 challenger metrics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reports/phase3/iv_table.csv</w:t>
      </w:r>
      <w:r>
        <w:t xml:space="preserve"> </w:t>
      </w:r>
      <w:r>
        <w:t xml:space="preserve">— Information Value rankings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MODEL_CARD.md</w:t>
      </w:r>
      <w:r>
        <w:t xml:space="preserve"> </w:t>
      </w:r>
      <w:r>
        <w:t xml:space="preserve">— Full model governance document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CREDIT_POLICY.md</w:t>
      </w:r>
      <w:r>
        <w:t xml:space="preserve"> </w:t>
      </w:r>
      <w:r>
        <w:t xml:space="preserve">— Underwriting standards and override authority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src/models/pd_model.py</w:t>
      </w:r>
      <w:r>
        <w:t xml:space="preserve"> </w:t>
      </w:r>
      <w:r>
        <w:t xml:space="preserve">— Implementation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src/features/woe_binning.py</w:t>
      </w:r>
      <w:r>
        <w:t xml:space="preserve"> </w:t>
      </w:r>
      <w:r>
        <w:t xml:space="preserve">— WoE bin definitions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Credit Scorecard v1.1 · April 2026 · Approved by Credit Risk &amp; Strategy.</w:t>
      </w:r>
      <w:r>
        <w:rPr>
          <w:iCs/>
          <w:i/>
        </w:rPr>
        <w:t xml:space="preserve"> </w:t>
      </w:r>
      <w:r>
        <w:rPr>
          <w:iCs/>
          <w:i/>
        </w:rPr>
        <w:t xml:space="preserve">For internal risk management and OSFI E-23 model governance use.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2026-07-10T15:25:18Z</dcterms:created>
  <dcterms:modified xsi:type="dcterms:W3CDTF">2026-07-10T15:25:18Z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