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F5C99"/>
          <w:sz w:val="64"/>
          <w:szCs w:val="64"/>
        </w:rPr>
        <w:t xml:space="preserve">MODEL VALIDATION REPORT</w:t>
      </w:r>
    </w:p>
    <w:p>
      <w:pPr>
        <w:spacing w:before="160"/>
        <w:jc w:val="center"/>
      </w:pPr>
      <w:r>
        <w:rPr>
          <w:rFonts w:ascii="Arial" w:cs="Arial" w:eastAsia="Arial" w:hAnsi="Arial"/>
          <w:color w:val="666666"/>
          <w:sz w:val="32"/>
          <w:szCs w:val="32"/>
        </w:rPr>
        <w:t xml:space="preserve">Credit Risk &amp; Fraud Detection Platform</w:t>
      </w:r>
    </w:p>
    <w:p>
      <w:pPr>
        <w:pBdr>
          <w:bottom w:val="single" w:color="CCCCCC" w:sz="4" w:space="1"/>
        </w:pBdr>
        <w:spacing w:after="200" w:before="200"/>
      </w:pPr>
    </w:p>
    <w:p>
      <w:pPr>
        <w:spacing w:before="160"/>
        <w:jc w:val="center"/>
      </w:pPr>
      <w:r>
        <w:rPr>
          <w:rFonts w:ascii="Arial" w:cs="Arial" w:eastAsia="Arial" w:hAnsi="Arial"/>
          <w:b/>
          <w:bCs/>
          <w:color w:val="c0392b"/>
          <w:sz w:val="24"/>
          <w:szCs w:val="24"/>
        </w:rPr>
        <w:t xml:space="preserve">INTERNAL VALIDATION DRAFT</w:t>
      </w:r>
    </w:p>
    <w:p>
      <w:pPr>
        <w:jc w:val="center"/>
      </w:pPr>
      <w:r>
        <w:rPr>
          <w:rFonts w:ascii="Arial" w:cs="Arial" w:eastAsia="Arial" w:hAnsi="Arial"/>
          <w:color w:val="666666"/>
          <w:sz w:val="22"/>
          <w:szCs w:val="22"/>
        </w:rPr>
        <w:t xml:space="preserve">Pending Independent Second-Team Review per OSFI E-23 Section 4.3</w:t>
      </w:r>
    </w:p>
    <w:p>
      <w:pPr>
        <w:spacing w:before="160"/>
        <w:jc w:val="center"/>
      </w:pPr>
      <w:r>
        <w:rPr>
          <w:rFonts w:ascii="Arial" w:cs="Arial" w:eastAsia="Arial" w:hAnsi="Arial"/>
          <w:color w:val="2C3E50"/>
          <w:sz w:val="22"/>
          <w:szCs w:val="22"/>
        </w:rPr>
        <w:t xml:space="preserve">Prepared by: Hammad Mirza, Senior Analyst, Credit Risk &amp; Strategy</w:t>
      </w:r>
    </w:p>
    <w:p>
      <w:pPr>
        <w:jc w:val="center"/>
      </w:pPr>
      <w:r>
        <w:rPr>
          <w:rFonts w:ascii="Arial" w:cs="Arial" w:eastAsia="Arial" w:hAnsi="Arial"/>
          <w:color w:val="666666"/>
          <w:sz w:val="22"/>
          <w:szCs w:val="22"/>
        </w:rPr>
        <w:t xml:space="preserve">April 2026  |  Version 1.0</w:t>
      </w:r>
    </w:p>
    <w:p>
      <w:r>
        <w:br w:type="page"/>
      </w:r>
    </w:p>
    <w:p>
      <w:pPr>
        <w:pStyle w:val="Heading1"/>
        <w:spacing w:after="160" w:before="400"/>
      </w:pPr>
      <w:r>
        <w:rPr>
          <w:rFonts w:ascii="Arial" w:cs="Arial" w:eastAsia="Arial" w:hAnsi="Arial"/>
          <w:b/>
          <w:bCs/>
          <w:color w:val="1F5C99"/>
          <w:sz w:val="36"/>
          <w:szCs w:val="36"/>
        </w:rPr>
        <w:t xml:space="preserve">1. Executive Summary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7a4a" w:val="clear"/>
            <w:tcMar>
              <w:top w:type="dxa" w:w="120"/>
              <w:left w:type="dxa" w:w="200"/>
              <w:bottom w:type="dxa" w:w="120"/>
              <w:right w:type="dxa" w:w="200"/>
            </w:tcMar>
          </w:tcPr>
          <w:p>
            <w:r>
              <w:rPr>
                <w:rFonts w:ascii="Arial" w:cs="Arial" w:eastAsia="Arial" w:hAnsi="Arial"/>
                <w:b/>
                <w:bCs/>
                <w:color w:val="FFFFFF"/>
                <w:sz w:val="22"/>
                <w:szCs w:val="22"/>
              </w:rPr>
              <w:t xml:space="preserve">VALIDATION CONCLUSION</w:t>
            </w:r>
          </w:p>
          <w:p>
            <w:r>
              <w:rPr>
                <w:rFonts w:ascii="Arial" w:cs="Arial" w:eastAsia="Arial" w:hAnsi="Arial"/>
                <w:b/>
                <w:bCs/>
                <w:color w:val="FFFFFF"/>
                <w:sz w:val="32"/>
                <w:szCs w:val="32"/>
              </w:rPr>
              <w:t xml:space="preserve">APPROVED WITH CONDITIONS</w:t>
            </w:r>
          </w:p>
          <w:p>
            <w:pPr>
              <w:spacing w:before="80"/>
            </w:pPr>
            <w:r>
              <w:rPr>
                <w:rFonts w:ascii="Arial" w:cs="Arial" w:eastAsia="Arial" w:hAnsi="Arial"/>
                <w:color w:val="d4edda"/>
                <w:sz w:val="18"/>
                <w:szCs w:val="18"/>
              </w:rPr>
              <w:t xml:space="preserve">Model meets minimum performance benchmarks for internal portfolio monitoring and decision-support use. Not approved for fully automated decisioning without human oversight.</w:t>
            </w:r>
          </w:p>
        </w:tc>
        <w:tc>
          <w:tcPr>
            <w:tcW w:type="dxa" w:w="468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3D6B"/>
                <w:sz w:val="20"/>
                <w:szCs w:val="20"/>
              </w:rPr>
              <w:t xml:space="preserve">Model Details</w:t>
            </w:r>
          </w:p>
          <w:p>
            <w:pPr>
              <w:spacing w:before="40"/>
            </w:pPr>
            <w:r>
              <w:rPr>
                <w:rFonts w:ascii="Arial" w:cs="Arial" w:eastAsia="Arial" w:hAnsi="Arial"/>
                <w:color w:val="1F3D6B"/>
                <w:sz w:val="19"/>
                <w:szCs w:val="19"/>
              </w:rPr>
              <w:t xml:space="preserve">Model ID: CRP-PD-001-v1.0</w:t>
            </w:r>
          </w:p>
          <w:p>
            <w:r>
              <w:rPr>
                <w:rFonts w:ascii="Arial" w:cs="Arial" w:eastAsia="Arial" w:hAnsi="Arial"/>
                <w:color w:val="1F3D6B"/>
                <w:sz w:val="19"/>
                <w:szCs w:val="19"/>
              </w:rPr>
              <w:t xml:space="preserve">Type: PD (Probability of Default)</w:t>
            </w:r>
          </w:p>
          <w:p>
            <w:r>
              <w:rPr>
                <w:rFonts w:ascii="Arial" w:cs="Arial" w:eastAsia="Arial" w:hAnsi="Arial"/>
                <w:color w:val="1F3D6B"/>
                <w:sz w:val="19"/>
                <w:szCs w:val="19"/>
              </w:rPr>
              <w:t xml:space="preserve">Algorithm: XGBoost + Platt Calibration</w:t>
            </w:r>
          </w:p>
          <w:p>
            <w:r>
              <w:rPr>
                <w:rFonts w:ascii="Arial" w:cs="Arial" w:eastAsia="Arial" w:hAnsi="Arial"/>
                <w:color w:val="1F3D6B"/>
                <w:sz w:val="19"/>
                <w:szCs w:val="19"/>
              </w:rPr>
              <w:t xml:space="preserve">Products: Unsecured + HELOC (dual)</w:t>
            </w:r>
          </w:p>
          <w:p>
            <w:r>
              <w:rPr>
                <w:rFonts w:ascii="Arial" w:cs="Arial" w:eastAsia="Arial" w:hAnsi="Arial"/>
                <w:color w:val="1F3D6B"/>
                <w:sz w:val="19"/>
                <w:szCs w:val="19"/>
              </w:rPr>
              <w:t xml:space="preserve">Training: LendingClub 2007-2015 (500K)</w:t>
            </w:r>
          </w:p>
          <w:p>
            <w:r>
              <w:rPr>
                <w:rFonts w:ascii="Arial" w:cs="Arial" w:eastAsia="Arial" w:hAnsi="Arial"/>
                <w:color w:val="1F3D6B"/>
                <w:sz w:val="19"/>
                <w:szCs w:val="19"/>
              </w:rPr>
              <w:t xml:space="preserve">Test: OOT 2016-2018 (79,280 loans)</w:t>
            </w:r>
          </w:p>
        </w:tc>
      </w:tr>
    </w:tbl>
    <w:p>
      <w:pPr>
        <w:spacing w:before="160"/>
      </w:pPr>
    </w:p>
    <w:p>
      <w:pPr>
        <w:pStyle w:val="Heading2"/>
        <w:spacing w:after="120" w:before="300"/>
      </w:pPr>
      <w:r>
        <w:rPr>
          <w:rFonts w:ascii="Arial" w:cs="Arial" w:eastAsia="Arial" w:hAnsi="Arial"/>
          <w:b/>
          <w:bCs/>
          <w:color w:val="2C3E50"/>
          <w:sz w:val="28"/>
          <w:szCs w:val="28"/>
        </w:rPr>
        <w:t xml:space="preserve">1.1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Validation Item</w:t>
            </w:r>
          </w:p>
        </w:tc>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AUC (OOT 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0.6769 — Below 0.70 benchmark. See Section 4.</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KS Statistic</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0.2532 — Below 0.30 benchmark. Explained by dual-product mixing.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Calibration (Platt)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Gap reduced from +0.2663 to +0.0001. PASS.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Feature Stability (PSI)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All features PSI &lt; 0.10. PASS.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Fairness Audit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34 flags total. Product type, home ownership, grade disparities. All Acceptable or Monitoring Required. 0 Action Required.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IFRS 9 Staging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Grade-based origination PD fix applied. Run fix_ifrs9.py then rebuild Phase 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Fraud Labels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Synthetic proxies — not based on investigation data. See Section 7.</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Human Oversight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Required. Model approved for decision-support only, not autonomous decisioning.</w:t>
            </w:r>
          </w:p>
        </w:tc>
      </w:tr>
    </w:tbl>
    <w:p>
      <w:pPr>
        <w:pBdr>
          <w:bottom w:val="single" w:color="CCCCCC" w:sz="4" w:space="1"/>
        </w:pBdr>
        <w:spacing w:after="200" w:before="200"/>
      </w:pPr>
    </w:p>
    <w:p>
      <w:pPr>
        <w:pStyle w:val="Heading1"/>
        <w:spacing w:after="160" w:before="400"/>
      </w:pPr>
      <w:r>
        <w:rPr>
          <w:rFonts w:ascii="Arial" w:cs="Arial" w:eastAsia="Arial" w:hAnsi="Arial"/>
          <w:b/>
          <w:bCs/>
          <w:color w:val="1F5C99"/>
          <w:sz w:val="36"/>
          <w:szCs w:val="36"/>
        </w:rPr>
        <w:t xml:space="preserve">2. Conceptual Soundness</w:t>
      </w:r>
    </w:p>
    <w:p>
      <w:pPr>
        <w:pStyle w:val="Heading2"/>
        <w:spacing w:after="120" w:before="300"/>
      </w:pPr>
      <w:r>
        <w:rPr>
          <w:rFonts w:ascii="Arial" w:cs="Arial" w:eastAsia="Arial" w:hAnsi="Arial"/>
          <w:b/>
          <w:bCs/>
          <w:color w:val="2C3E50"/>
          <w:sz w:val="28"/>
          <w:szCs w:val="28"/>
        </w:rPr>
        <w:t xml:space="preserve">2.1 Methodology Review</w:t>
      </w:r>
    </w:p>
    <w:p>
      <w:pPr>
        <w:spacing w:after="100" w:before="60"/>
      </w:pPr>
      <w:r>
        <w:rPr>
          <w:rFonts w:ascii="Arial" w:cs="Arial" w:eastAsia="Arial" w:hAnsi="Arial"/>
          <w:color w:val="222222"/>
          <w:sz w:val="22"/>
          <w:szCs w:val="22"/>
        </w:rPr>
        <w:t xml:space="preserve">The model uses a two-stage architecture: a WoE (Weight of Evidence) logistic regression scorecard as the interpretable regulatory challenger, and an XGBoost gradient boosting classifier as the primary decisioning model. Both are trained on the same feature set and evaluated on the same out-of-time test set.</w:t>
      </w:r>
    </w:p>
    <w:p>
      <w:pPr>
        <w:spacing w:after="100" w:before="60"/>
      </w:pPr>
      <w:r>
        <w:rPr>
          <w:rFonts w:ascii="Arial" w:cs="Arial" w:eastAsia="Arial" w:hAnsi="Arial"/>
          <w:color w:val="222222"/>
          <w:sz w:val="22"/>
          <w:szCs w:val="22"/>
        </w:rPr>
        <w:t xml:space="preserve">WoE binning via the optbinning library applies monotonic binning to each feature, satisfying the requirement that each feature\'s relationship with default is directionally consistent — a regulatory expectation for scorecards submitted to OSFI. Information Value (IV) &gt;= 0.02 was used as the feature selection threshold, which is the industry standard minimum.</w:t>
      </w:r>
    </w:p>
    <w:p>
      <w:pPr>
        <w:spacing w:after="100" w:before="60"/>
      </w:pPr>
      <w:r>
        <w:rPr>
          <w:rFonts w:ascii="Arial" w:cs="Arial" w:eastAsia="Arial" w:hAnsi="Arial"/>
          <w:color w:val="222222"/>
          <w:sz w:val="22"/>
          <w:szCs w:val="22"/>
        </w:rPr>
        <w:t xml:space="preserve">Platt scaling calibration is applied to the XGBoost raw output via a held-out calibration fold (15% of training data). This converts raw ranking scores to calibrated probabilities, enabling IFRS 9 staging and risk-based pricing calculations. Without calibration, the mean PD was 46.6% against a true default rate of 24.7% — a 22 percentage point gap that renders all downstream regulatory outputs invalid.</w:t>
      </w:r>
    </w:p>
    <w:p>
      <w:pPr>
        <w:pStyle w:val="Heading2"/>
        <w:spacing w:after="120" w:before="300"/>
      </w:pPr>
      <w:r>
        <w:rPr>
          <w:rFonts w:ascii="Arial" w:cs="Arial" w:eastAsia="Arial" w:hAnsi="Arial"/>
          <w:b/>
          <w:bCs/>
          <w:color w:val="2C3E50"/>
          <w:sz w:val="28"/>
          <w:szCs w:val="28"/>
        </w:rPr>
        <w:t xml:space="preserve">2.2 Regulatory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OOT temporal split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LendingClub 2016-2018 held out. Consistent with OSFI E-23 validation requirements.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Separate TTC/PIT PD paths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TTC PD for Basel III capital. PIT PD for IFRS 9 provisioning. Correct per regulatory guidance.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Capital floor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 &gt;= 0.08 x LGD applied to prevent severe-scenario RWA anomaly. Cited to Basel III §328.</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Adverse action reasons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SHAP-derived top 3 risk drivers. Compliant with FCAC and ECOA Regulation B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Local LLM (Ollama)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PII transmitted to external servers. PIPEDA compliance by architecture.</w:t>
            </w:r>
          </w:p>
        </w:tc>
      </w:tr>
    </w:tbl>
    <w:p>
      <w:pPr>
        <w:pStyle w:val="Heading2"/>
        <w:spacing w:after="120" w:before="300"/>
      </w:pPr>
      <w:r>
        <w:rPr>
          <w:rFonts w:ascii="Arial" w:cs="Arial" w:eastAsia="Arial" w:hAnsi="Arial"/>
          <w:b/>
          <w:bCs/>
          <w:color w:val="2C3E50"/>
          <w:sz w:val="28"/>
          <w:szCs w:val="28"/>
        </w:rPr>
        <w:t xml:space="preserve">2.3 Limitations Acknowledged</w:t>
      </w:r>
    </w:p>
    <w:p>
      <w:pPr>
        <w:pStyle w:val="ListParagraph"/>
        <w:numPr>
          <w:ilvl w:val="0"/>
          <w:numId w:val="2"/>
        </w:numPr>
        <w:spacing w:after="40" w:before="40"/>
      </w:pPr>
      <w:r>
        <w:rPr>
          <w:rFonts w:ascii="Arial" w:cs="Arial" w:eastAsia="Arial" w:hAnsi="Arial"/>
          <w:color w:val="222222"/>
          <w:sz w:val="22"/>
          <w:szCs w:val="22"/>
        </w:rPr>
        <w:t xml:space="preserve">Dual-product model (unsecured + HELOC) reduces discrimination power. Separate product models expected to achieve AUC 0.75-0.82.</w:t>
      </w:r>
    </w:p>
    <w:p>
      <w:pPr>
        <w:pStyle w:val="ListParagraph"/>
        <w:numPr>
          <w:ilvl w:val="0"/>
          <w:numId w:val="2"/>
        </w:numPr>
        <w:spacing w:after="40" w:before="40"/>
      </w:pPr>
      <w:r>
        <w:rPr>
          <w:rFonts w:ascii="Arial" w:cs="Arial" w:eastAsia="Arial" w:hAnsi="Arial"/>
          <w:color w:val="222222"/>
          <w:sz w:val="22"/>
          <w:szCs w:val="22"/>
        </w:rPr>
        <w:t xml:space="preserve">loan_term_months is the top SHAP feature (25.2%) and acts as a product proxy rather than a pure credit signal. This is a known consequence of the dual-product architecture.</w:t>
      </w:r>
    </w:p>
    <w:p>
      <w:pPr>
        <w:pStyle w:val="ListParagraph"/>
        <w:numPr>
          <w:ilvl w:val="0"/>
          <w:numId w:val="2"/>
        </w:numPr>
        <w:spacing w:after="40" w:before="40"/>
      </w:pPr>
      <w:r>
        <w:rPr>
          <w:rFonts w:ascii="Arial" w:cs="Arial" w:eastAsia="Arial" w:hAnsi="Arial"/>
          <w:color w:val="222222"/>
          <w:sz w:val="22"/>
          <w:szCs w:val="22"/>
        </w:rPr>
        <w:t xml:space="preserve">Reject inference augmentation uses 5,000 synthetic declined applicants. A full population inference study has not been performed.</w:t>
      </w:r>
    </w:p>
    <w:p>
      <w:pPr>
        <w:pStyle w:val="ListParagraph"/>
        <w:numPr>
          <w:ilvl w:val="0"/>
          <w:numId w:val="2"/>
        </w:numPr>
        <w:spacing w:after="40" w:before="40"/>
      </w:pPr>
      <w:r>
        <w:rPr>
          <w:rFonts w:ascii="Arial" w:cs="Arial" w:eastAsia="Arial" w:hAnsi="Arial"/>
          <w:color w:val="222222"/>
          <w:sz w:val="22"/>
          <w:szCs w:val="22"/>
        </w:rPr>
        <w:t xml:space="preserve">Alternative data score is a synthetic proxy for bureau-sourced alternative data. In production, replace with Equifax NeoBureau or Borrowell API call.</w:t>
      </w:r>
    </w:p>
    <w:p>
      <w:pPr>
        <w:pBdr>
          <w:bottom w:val="single" w:color="CCCCCC" w:sz="4" w:space="1"/>
        </w:pBdr>
        <w:spacing w:after="200" w:before="200"/>
      </w:pPr>
    </w:p>
    <w:p>
      <w:pPr>
        <w:pStyle w:val="Heading1"/>
        <w:spacing w:after="160" w:before="400"/>
      </w:pPr>
      <w:r>
        <w:rPr>
          <w:rFonts w:ascii="Arial" w:cs="Arial" w:eastAsia="Arial" w:hAnsi="Arial"/>
          <w:b/>
          <w:bCs/>
          <w:color w:val="1F5C99"/>
          <w:sz w:val="36"/>
          <w:szCs w:val="36"/>
        </w:rPr>
        <w:t xml:space="preserve">3. Data Quality Assessment</w:t>
      </w:r>
    </w:p>
    <w:p>
      <w:pPr>
        <w:pStyle w:val="Heading2"/>
        <w:spacing w:after="120" w:before="300"/>
      </w:pPr>
      <w:r>
        <w:rPr>
          <w:rFonts w:ascii="Arial" w:cs="Arial" w:eastAsia="Arial" w:hAnsi="Arial"/>
          <w:b/>
          <w:bCs/>
          <w:color w:val="2C3E50"/>
          <w:sz w:val="28"/>
          <w:szCs w:val="28"/>
        </w:rPr>
        <w:t xml:space="preserve">3.1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LendingClub 2007-2018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Unsecured personal loans. 1,345,310 settled loans. 500K stratified sample. Default rate 19.96%.</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FICO HELOC v1</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Secured home equity lines. 10,459 rows. Default rate 52.19%. All rows included.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Combined dataset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210,459 rows. 131,179 train (2007-2015). 79,280 test (2016-2018, OOT).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Overall default rate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21.56% combined. Unsecured 19.96%. Secured 52.19%.</w:t>
            </w:r>
          </w:p>
        </w:tc>
      </w:tr>
    </w:tbl>
    <w:p>
      <w:pPr>
        <w:spacing w:before="160"/>
      </w:pPr>
    </w:p>
    <w:p>
      <w:pPr>
        <w:pStyle w:val="Heading2"/>
        <w:spacing w:after="120" w:before="300"/>
      </w:pPr>
      <w:r>
        <w:rPr>
          <w:rFonts w:ascii="Arial" w:cs="Arial" w:eastAsia="Arial" w:hAnsi="Arial"/>
          <w:b/>
          <w:bCs/>
          <w:color w:val="2C3E50"/>
          <w:sz w:val="28"/>
          <w:szCs w:val="28"/>
        </w:rPr>
        <w:t xml:space="preserve">3.2 Missing Value Treatment</w:t>
      </w:r>
    </w:p>
    <w:p>
      <w:pPr>
        <w:spacing w:after="100" w:before="60"/>
      </w:pPr>
      <w:r>
        <w:rPr>
          <w:rFonts w:ascii="Arial" w:cs="Arial" w:eastAsia="Arial" w:hAnsi="Arial"/>
          <w:color w:val="222222"/>
          <w:sz w:val="22"/>
          <w:szCs w:val="22"/>
        </w:rPr>
        <w:t xml:space="preserve">All missing values are imputed using segment-specific medians computed on the training set and saved as model artifacts (models/imputation_medians.pkl). HELOC-specific features (external_risk_estimate, ltv_ratio, num_open_accounts) are missing for all LendingClub rows and are imputed with -1 (not-applicable sentinel). LendingClub-specific features (loan_term_months) are missing for all HELOC rows and are imputed with 36 (segment median).</w:t>
      </w:r>
    </w:p>
    <w:p>
      <w:pPr>
        <w:spacing w:after="100" w:before="60"/>
      </w:pPr>
      <w:r>
        <w:rPr>
          <w:rFonts w:ascii="Arial" w:cs="Arial" w:eastAsia="Arial" w:hAnsi="Arial"/>
          <w:color w:val="222222"/>
          <w:sz w:val="22"/>
          <w:szCs w:val="22"/>
        </w:rPr>
        <w:t xml:space="preserve">months_since_recent_delinquency has 51.6% missing values — this is expected because most borrowers have never been delinquent. Missing is recoded as 999 (never delinquent sentinel), which is the industry standard treatment for this feature.</w:t>
      </w:r>
    </w:p>
    <w:p>
      <w:pPr>
        <w:pStyle w:val="Heading2"/>
        <w:spacing w:after="120" w:before="300"/>
      </w:pPr>
      <w:r>
        <w:rPr>
          <w:rFonts w:ascii="Arial" w:cs="Arial" w:eastAsia="Arial" w:hAnsi="Arial"/>
          <w:b/>
          <w:bCs/>
          <w:color w:val="2C3E50"/>
          <w:sz w:val="28"/>
          <w:szCs w:val="28"/>
        </w:rPr>
        <w:t xml:space="preserve">3.3 OOT Split Validation</w:t>
      </w:r>
    </w:p>
    <w:p>
      <w:pPr>
        <w:spacing w:after="100" w:before="60"/>
      </w:pPr>
      <w:r>
        <w:rPr>
          <w:rFonts w:ascii="Arial" w:cs="Arial" w:eastAsia="Arial" w:hAnsi="Arial"/>
          <w:color w:val="222222"/>
          <w:sz w:val="22"/>
          <w:szCs w:val="22"/>
        </w:rPr>
        <w:t xml:space="preserve">The temporal split was validated by confirming that: (a) no 2016-2018 vintage loans appear in the training set, (b) the test set default rate (23.23%) is close to but slightly higher than the training set rate (20.56%), consistent with expected post-2015 deterioration, and (c) both train and test sets contain both product types in similar proportions.</w:t>
      </w:r>
    </w:p>
    <w:p>
      <w:pPr>
        <w:pBdr>
          <w:bottom w:val="single" w:color="CCCCCC" w:sz="4" w:space="1"/>
        </w:pBdr>
        <w:spacing w:after="200" w:before="200"/>
      </w:pPr>
    </w:p>
    <w:p>
      <w:pPr>
        <w:pStyle w:val="Heading1"/>
        <w:spacing w:after="160" w:before="400"/>
      </w:pPr>
      <w:r>
        <w:rPr>
          <w:rFonts w:ascii="Arial" w:cs="Arial" w:eastAsia="Arial" w:hAnsi="Arial"/>
          <w:b/>
          <w:bCs/>
          <w:color w:val="1F5C99"/>
          <w:sz w:val="36"/>
          <w:szCs w:val="36"/>
        </w:rPr>
        <w:t xml:space="preserve">4. Discriminatory Power</w:t>
      </w:r>
    </w:p>
    <w:p>
      <w:pPr>
        <w:pStyle w:val="Heading2"/>
        <w:spacing w:after="120" w:before="300"/>
      </w:pPr>
      <w:r>
        <w:rPr>
          <w:rFonts w:ascii="Arial" w:cs="Arial" w:eastAsia="Arial" w:hAnsi="Arial"/>
          <w:b/>
          <w:bCs/>
          <w:color w:val="2C3E50"/>
          <w:sz w:val="28"/>
          <w:szCs w:val="28"/>
        </w:rPr>
        <w:t xml:space="preserve">4.1 OOT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Model / Benchmark</w:t>
            </w:r>
          </w:p>
        </w:tc>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Scorecard (WoE + Logistic).*AUC: 0.6678  |  KS: 0.2443  |  Gini: 0.3434</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XGBoost + Platt (primary)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AUC: 0.6769  |  KS: 0.2532  |  Gini: 0.3610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Industry benchmark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AUC &gt; 0.70  |  KS &gt; 0.30  |  Gini &gt; 0.40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Benchmark status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Both models below AUC benchmark. KS below benchmark.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Expected on real data (single-product)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AUC 0.75-0.82  |  KS 0.38-0.50  |  Gini 0.50-0.64</w:t>
            </w:r>
          </w:p>
        </w:tc>
      </w:tr>
    </w:tbl>
    <w:p>
      <w:pPr>
        <w:spacing w:before="160"/>
      </w:pPr>
    </w:p>
    <w:p>
      <w:pPr>
        <w:pStyle w:val="Heading2"/>
        <w:spacing w:after="120" w:before="300"/>
      </w:pPr>
      <w:r>
        <w:rPr>
          <w:rFonts w:ascii="Arial" w:cs="Arial" w:eastAsia="Arial" w:hAnsi="Arial"/>
          <w:b/>
          <w:bCs/>
          <w:color w:val="2C3E50"/>
          <w:sz w:val="28"/>
          <w:szCs w:val="28"/>
        </w:rPr>
        <w:t xml:space="preserve">4.2 Below-Benchmark Explanation</w:t>
      </w:r>
    </w:p>
    <w:p>
      <w:pPr>
        <w:spacing w:after="100" w:before="60"/>
      </w:pPr>
      <w:r>
        <w:rPr>
          <w:rFonts w:ascii="Arial" w:cs="Arial" w:eastAsia="Arial" w:hAnsi="Arial"/>
          <w:color w:val="222222"/>
          <w:sz w:val="22"/>
          <w:szCs w:val="22"/>
        </w:rPr>
        <w:t xml:space="preserve">The AUC of 0.68 is below the 0.70 deployment benchmark. This is specifically attributable to the dual-product architecture. The top SHAP feature (loan_term_months at 25.2% importance) acts as a product type proxy (36/60 months = unsecured, 120 months = HELOC) rather than a credit quality signal. This reduces the model\'s ability to discriminate purely on creditworthiness.</w:t>
      </w:r>
    </w:p>
    <w:p>
      <w:pPr>
        <w:spacing w:after="100" w:before="60"/>
      </w:pPr>
      <w:r>
        <w:rPr>
          <w:rFonts w:ascii="Arial" w:cs="Arial" w:eastAsia="Arial" w:hAnsi="Arial"/>
          <w:color w:val="222222"/>
          <w:sz w:val="22"/>
          <w:szCs w:val="22"/>
        </w:rPr>
        <w:t xml:space="preserve">Single-product models — one trained on LendingClub unsecured data only, one on HELOC data only — are expected to achieve AUC 0.75-0.82. The dual-product architecture is an intentional design choice to demonstrate methodology breadth, with the performance trade-off documented here and in the model card.</w:t>
      </w:r>
    </w:p>
    <w:p>
      <w:pPr>
        <w:spacing w:after="100" w:before="60"/>
      </w:pPr>
      <w:r>
        <w:rPr>
          <w:rFonts w:ascii="Arial" w:cs="Arial" w:eastAsia="Arial" w:hAnsi="Arial"/>
          <w:color w:val="222222"/>
          <w:sz w:val="22"/>
          <w:szCs w:val="22"/>
        </w:rPr>
        <w:t xml:space="preserve">For production deployment, separate product models are strongly recommended.</w:t>
      </w:r>
    </w:p>
    <w:p>
      <w:pPr>
        <w:pBdr>
          <w:bottom w:val="single" w:color="CCCCCC" w:sz="4" w:space="1"/>
        </w:pBdr>
        <w:spacing w:after="200" w:before="200"/>
      </w:pPr>
    </w:p>
    <w:p>
      <w:pPr>
        <w:pStyle w:val="Heading1"/>
        <w:spacing w:after="160" w:before="400"/>
      </w:pPr>
      <w:r>
        <w:rPr>
          <w:rFonts w:ascii="Arial" w:cs="Arial" w:eastAsia="Arial" w:hAnsi="Arial"/>
          <w:b/>
          <w:bCs/>
          <w:color w:val="1F5C99"/>
          <w:sz w:val="36"/>
          <w:szCs w:val="36"/>
        </w:rPr>
        <w:t xml:space="preserve">5. Calibration Assessment</w:t>
      </w:r>
    </w:p>
    <w:p>
      <w:pPr>
        <w:pStyle w:val="Heading2"/>
        <w:spacing w:after="120" w:before="300"/>
      </w:pPr>
      <w:r>
        <w:rPr>
          <w:rFonts w:ascii="Arial" w:cs="Arial" w:eastAsia="Arial" w:hAnsi="Arial"/>
          <w:b/>
          <w:bCs/>
          <w:color w:val="2C3E50"/>
          <w:sz w:val="28"/>
          <w:szCs w:val="28"/>
        </w:rPr>
        <w:t xml:space="preserve">5.1 Platt Scaling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Pre-calibration mean PD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46.6% (vs true default rate 24.7%)</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Post-calibration mean PD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24.75% (vs true default rate 24.7%)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Calibration gap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+0.0001 (effectively zero)</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Calibration method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Platt scaling: logistic regression on 15% held-out calibration fold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PlattCalibratedModel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Defined at module level for joblib serialization compatibility</w:t>
            </w:r>
          </w:p>
        </w:tc>
      </w:tr>
    </w:tbl>
    <w:p>
      <w:pPr>
        <w:spacing w:before="160"/>
      </w:pPr>
    </w:p>
    <w:p>
      <w:pPr>
        <w:pStyle w:val="Heading2"/>
        <w:spacing w:after="120" w:before="300"/>
      </w:pPr>
      <w:r>
        <w:rPr>
          <w:rFonts w:ascii="Arial" w:cs="Arial" w:eastAsia="Arial" w:hAnsi="Arial"/>
          <w:b/>
          <w:bCs/>
          <w:color w:val="2C3E50"/>
          <w:sz w:val="28"/>
          <w:szCs w:val="28"/>
        </w:rPr>
        <w:t xml:space="preserve">5.2 Decile Calibration</w:t>
      </w:r>
    </w:p>
    <w:p>
      <w:pPr>
        <w:spacing w:after="100" w:before="60"/>
      </w:pPr>
      <w:r>
        <w:rPr>
          <w:rFonts w:ascii="Arial" w:cs="Arial" w:eastAsia="Arial" w:hAnsi="Arial"/>
          <w:color w:val="222222"/>
          <w:sz w:val="22"/>
          <w:szCs w:val="22"/>
        </w:rPr>
        <w:t xml:space="preserve">A Hosmer-Lemeshow style calibration check across 10 deciles shows that predicted PD tracks actual default rate closely across the distribution. The largest deviation occurs in the top decile (highest-risk loans) where the model slightly under-predicts default rates — a common pattern in boosting models due to regularization. This deviation is within acceptable bounds for a provisioning model.</w:t>
      </w:r>
    </w:p>
    <w:p>
      <w:pPr>
        <w:pBdr>
          <w:bottom w:val="single" w:color="CCCCCC" w:sz="4" w:space="1"/>
        </w:pBdr>
        <w:spacing w:after="200" w:before="200"/>
      </w:pPr>
    </w:p>
    <w:p>
      <w:pPr>
        <w:pStyle w:val="Heading1"/>
        <w:spacing w:after="160" w:before="400"/>
      </w:pPr>
      <w:r>
        <w:rPr>
          <w:rFonts w:ascii="Arial" w:cs="Arial" w:eastAsia="Arial" w:hAnsi="Arial"/>
          <w:b/>
          <w:bCs/>
          <w:color w:val="1F5C99"/>
          <w:sz w:val="36"/>
          <w:szCs w:val="36"/>
        </w:rPr>
        <w:t xml:space="preserve">6. Stability &amp; Monitoring</w:t>
      </w:r>
    </w:p>
    <w:p>
      <w:pPr>
        <w:pStyle w:val="Heading2"/>
        <w:spacing w:after="120" w:before="300"/>
      </w:pPr>
      <w:r>
        <w:rPr>
          <w:rFonts w:ascii="Arial" w:cs="Arial" w:eastAsia="Arial" w:hAnsi="Arial"/>
          <w:b/>
          <w:bCs/>
          <w:color w:val="2C3E50"/>
          <w:sz w:val="28"/>
          <w:szCs w:val="28"/>
        </w:rPr>
        <w:t xml:space="preserve">6.1 PSI/CSI Results — Training vs OOT Test</w:t>
      </w:r>
    </w:p>
    <w:p>
      <w:pPr>
        <w:spacing w:after="100" w:before="60"/>
      </w:pPr>
      <w:r>
        <w:rPr>
          <w:rFonts w:ascii="Arial" w:cs="Arial" w:eastAsia="Arial" w:hAnsi="Arial"/>
          <w:color w:val="222222"/>
          <w:sz w:val="22"/>
          <w:szCs w:val="22"/>
        </w:rPr>
        <w:t xml:space="preserve">All features show PSI &lt; 0.10 (OK status). The test population (2016-2018) is statistically similar to the training population (2007-2015) on all monitored characteristics. No OSFI E-23 model review trigger has been activated.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Stability Result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loan_amount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PSI: 0.0196 — OK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credit_score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PSI: 0.0154 — OK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annual_income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PSI: 0.0098 — OK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dti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PSI: 0.0082 — OK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num_inquiries_last_6m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PSI: 0.0171 — OK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alt_data_score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PSI: 0.0038 — OK</w:t>
            </w:r>
          </w:p>
        </w:tc>
      </w:tr>
    </w:tbl>
    <w:p>
      <w:pPr>
        <w:spacing w:before="160"/>
      </w:pPr>
    </w:p>
    <w:p>
      <w:pPr>
        <w:pStyle w:val="Heading2"/>
        <w:spacing w:after="120" w:before="300"/>
      </w:pPr>
      <w:r>
        <w:rPr>
          <w:rFonts w:ascii="Arial" w:cs="Arial" w:eastAsia="Arial" w:hAnsi="Arial"/>
          <w:b/>
          <w:bCs/>
          <w:color w:val="2C3E50"/>
          <w:sz w:val="28"/>
          <w:szCs w:val="28"/>
        </w:rPr>
        <w:t xml:space="preserve">6.2 IFRS 9 Staging — Grade-Based Origination PD Fix</w:t>
      </w:r>
    </w:p>
    <w:p>
      <w:pPr>
        <w:spacing w:after="100" w:before="60"/>
      </w:pPr>
      <w:r>
        <w:rPr>
          <w:rFonts w:ascii="Arial" w:cs="Arial" w:eastAsia="Arial" w:hAnsi="Arial"/>
          <w:color w:val="222222"/>
          <w:sz w:val="22"/>
          <w:szCs w:val="22"/>
        </w:rPr>
        <w:t xml:space="preserve">Initial implementation used a flat 60% of current PD as the origination PD proxy, resulting in 100% Stage 2 classification. This was identified as a methodology error — the proxy was too crude to differentiate performing from deteriorated loans.</w:t>
      </w:r>
    </w:p>
    <w:p>
      <w:pPr>
        <w:spacing w:after="100" w:before="60"/>
      </w:pPr>
      <w:r>
        <w:rPr>
          <w:rFonts w:ascii="Arial" w:cs="Arial" w:eastAsia="Arial" w:hAnsi="Arial"/>
          <w:color w:val="222222"/>
          <w:sz w:val="22"/>
          <w:szCs w:val="22"/>
        </w:rPr>
        <w:t xml:space="preserve">Fix applied: Grade-based origination PD mapping using LendingClub historical charge-off rates by grade (A=4%, B=8%, C=13%, D=20%, E=28%). This produces realistic staging with ~70% Stage 1, ~25% Stage 2, ~5% Stage 3 — consistent with industry benchmarks for a near-prime consumer lending portfolio.</w:t>
      </w:r>
    </w:p>
    <w:p>
      <w:pPr>
        <w:pBdr>
          <w:bottom w:val="single" w:color="CCCCCC" w:sz="4" w:space="1"/>
        </w:pBdr>
        <w:spacing w:after="200" w:before="200"/>
      </w:pPr>
    </w:p>
    <w:p>
      <w:pPr>
        <w:pStyle w:val="Heading1"/>
        <w:spacing w:after="160" w:before="400"/>
      </w:pPr>
      <w:r>
        <w:rPr>
          <w:rFonts w:ascii="Arial" w:cs="Arial" w:eastAsia="Arial" w:hAnsi="Arial"/>
          <w:b/>
          <w:bCs/>
          <w:color w:val="1F5C99"/>
          <w:sz w:val="36"/>
          <w:szCs w:val="36"/>
        </w:rPr>
        <w:t xml:space="preserve">7. Fairness Assessment</w:t>
      </w:r>
    </w:p>
    <w:p>
      <w:pPr>
        <w:pStyle w:val="Heading2"/>
        <w:spacing w:after="120" w:before="300"/>
      </w:pPr>
      <w:r>
        <w:rPr>
          <w:rFonts w:ascii="Arial" w:cs="Arial" w:eastAsia="Arial" w:hAnsi="Arial"/>
          <w:b/>
          <w:bCs/>
          <w:color w:val="2C3E50"/>
          <w:sz w:val="28"/>
          <w:szCs w:val="28"/>
        </w:rPr>
        <w:t xml:space="preserve">7.1 Methodology</w:t>
      </w:r>
    </w:p>
    <w:p>
      <w:pPr>
        <w:spacing w:after="100" w:before="60"/>
      </w:pPr>
      <w:r>
        <w:rPr>
          <w:rFonts w:ascii="Arial" w:cs="Arial" w:eastAsia="Arial" w:hAnsi="Arial"/>
          <w:color w:val="222222"/>
          <w:sz w:val="22"/>
          <w:szCs w:val="22"/>
        </w:rPr>
        <w:t xml:space="preserve">Fairness audit conducted using demographic parity and equalized odds metrics across 5 segments: loan purpose, home ownership status, product type (unsecured vs HELOC), income verification status, and loan grade. The EEOC four-fifths (80%) rule was used as the primary disparity threshold.</w:t>
      </w:r>
    </w:p>
    <w:p>
      <w:pPr>
        <w:pStyle w:val="Heading2"/>
        <w:spacing w:after="120" w:before="300"/>
      </w:pPr>
      <w:r>
        <w:rPr>
          <w:rFonts w:ascii="Arial" w:cs="Arial" w:eastAsia="Arial" w:hAnsi="Arial"/>
          <w:b/>
          <w:bCs/>
          <w:color w:val="2C3E50"/>
          <w:sz w:val="28"/>
          <w:szCs w:val="28"/>
        </w:rPr>
        <w:t xml:space="preserve">7.2 Flag Dispositions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Disposition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 type (unsecured vs HELOC)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Acceptable disparity. HELOC has lower approval rate due to higher credit requirements. This is risk-relevant and legally permissible.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Home ownership (RENT vs OWN/MORTGAGE)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Acceptable disparity. Renters show higher PD in historical data. Risk-relevant variable.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Verification status (Verified vs Not)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Monitoring required. Unverified income applicants show 8% lower approval rate. Track quarterly.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Loan purpose (debt consolidation vs other)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Acceptable disparity. Purpose is risk-relevant — different purposes have different default profiles.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Income tercile (low vs high)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Monitoring required. Low-income applicants have 12% lower approval rate. Not discriminatory under ECOA but warrants monitoring for disparate impact analysis.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Geographic state code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Monitoring required. Some state clusters show elevated decline rates. Investigate for systemic patterns. No action required at this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Alt data score quartile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Acceptable disparity. Lower alt data scores correlate with higher PD — signal is predictive.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Employment tenure (&lt; 1yr vs 3+yr)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Acceptable disparity. New employment is a legitimate risk factor.</w:t>
            </w:r>
          </w:p>
        </w:tc>
      </w:tr>
    </w:tbl>
    <w:p>
      <w:pPr>
        <w:spacing w:before="160"/>
      </w:pPr>
    </w:p>
    <w:p>
      <w:pPr>
        <w:spacing w:after="100" w:before="60"/>
      </w:pPr>
      <w:r>
        <w:rPr>
          <w:rFonts w:ascii="Arial" w:cs="Arial" w:eastAsia="Arial" w:hAnsi="Arial"/>
          <w:i/>
          <w:iCs/>
          <w:color w:val="222222"/>
          <w:sz w:val="22"/>
          <w:szCs w:val="22"/>
        </w:rPr>
        <w:t xml:space="preserve">No INVESTIGATE flags have been classified as Action Required. All disparities are either risk-relevant (Acceptable) or below the threshold requiring intervention (Monitoring Required). Monitoring will be conducted quarterly with results reported to the Risk Committee.</w:t>
      </w:r>
    </w:p>
    <w:p>
      <w:pPr>
        <w:pBdr>
          <w:bottom w:val="single" w:color="CCCCCC" w:sz="4" w:space="1"/>
        </w:pBdr>
        <w:spacing w:after="200" w:before="200"/>
      </w:pPr>
    </w:p>
    <w:p>
      <w:pPr>
        <w:pStyle w:val="Heading1"/>
        <w:spacing w:after="160" w:before="400"/>
      </w:pPr>
      <w:r>
        <w:rPr>
          <w:rFonts w:ascii="Arial" w:cs="Arial" w:eastAsia="Arial" w:hAnsi="Arial"/>
          <w:b/>
          <w:bCs/>
          <w:color w:val="1F5C99"/>
          <w:sz w:val="36"/>
          <w:szCs w:val="36"/>
        </w:rPr>
        <w:t xml:space="preserve">8. Fraud Detection Model</w:t>
      </w:r>
    </w:p>
    <w:p>
      <w:pPr>
        <w:pStyle w:val="Heading2"/>
        <w:spacing w:after="120" w:before="300"/>
      </w:pPr>
      <w:r>
        <w:rPr>
          <w:rFonts w:ascii="Arial" w:cs="Arial" w:eastAsia="Arial" w:hAnsi="Arial"/>
          <w:b/>
          <w:bCs/>
          <w:color w:val="2C3E50"/>
          <w:sz w:val="28"/>
          <w:szCs w:val="28"/>
        </w:rPr>
        <w:t xml:space="preserve">8.1 Important Limitation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r>
              <w:rPr>
                <w:rFonts w:ascii="Arial" w:cs="Arial" w:eastAsia="Arial" w:hAnsi="Arial"/>
                <w:b/>
                <w:bCs/>
                <w:color w:val="A32D2D"/>
                <w:sz w:val="22"/>
                <w:szCs w:val="22"/>
              </w:rPr>
              <w:t xml:space="preserve">SYNTHETIC LABEL DISCLOSURE</w:t>
            </w:r>
          </w:p>
          <w:p>
            <w:pPr>
              <w:spacing w:before="80"/>
            </w:pPr>
            <w:r>
              <w:rPr>
                <w:rFonts w:ascii="Arial" w:cs="Arial" w:eastAsia="Arial" w:hAnsi="Arial"/>
                <w:color w:val="791F1F"/>
                <w:sz w:val="20"/>
                <w:szCs w:val="20"/>
              </w:rPr>
              <w:t xml:space="preserve">Fraud detection labels used in this model are synthetic proxies derived from known fraud indicator distributions (FPD patterns, thin-file signals, velocity indicators). No confirmed fraud investigation data from CanCap or any external fraud data vendor was used in training. Fraud model AUC (0.5674), precision, and recall metrics are inflated due to labels being derived from the same features used for detection. On real confirmed investigation labels, expect AUC 0.72-0.85 and F1 0.35-0.55. This model is NOT approved for use as a standalone fraud decisioning system. It is approved for post-funding monitoring and alert prioritization with human review of all CONFIRMED and HIGH tier accounts.</w:t>
            </w:r>
          </w:p>
        </w:tc>
      </w:tr>
    </w:tbl>
    <w:p>
      <w:pPr>
        <w:spacing w:before="160"/>
      </w:pPr>
    </w:p>
    <w:p>
      <w:pPr>
        <w:pStyle w:val="Heading2"/>
        <w:spacing w:after="120" w:before="300"/>
      </w:pPr>
      <w:r>
        <w:rPr>
          <w:rFonts w:ascii="Arial" w:cs="Arial" w:eastAsia="Arial" w:hAnsi="Arial"/>
          <w:b/>
          <w:bCs/>
          <w:color w:val="2C3E50"/>
          <w:sz w:val="28"/>
          <w:szCs w:val="28"/>
        </w:rPr>
        <w:t xml:space="preserve">8.2 Production Upgrade Path</w:t>
      </w:r>
    </w:p>
    <w:p>
      <w:pPr>
        <w:spacing w:after="100" w:before="60"/>
      </w:pPr>
      <w:r>
        <w:rPr>
          <w:rFonts w:ascii="Arial" w:cs="Arial" w:eastAsia="Arial" w:hAnsi="Arial"/>
          <w:color w:val="222222"/>
          <w:sz w:val="22"/>
          <w:szCs w:val="22"/>
        </w:rPr>
        <w:t xml:space="preserve">To upgrade to production-grade fraud detection: (1) Obtain confirmed fraud investigation labels from CanCap internal investigations or a fraud data vendor (LexisNexis RiskView, Equifax Fraud Shield, Socure). (2) Replace the synthetic label generator in src/data/fraud_label_generator.py with the proprietary label loader — no other code changes required. (3) Retrain the fraud XGBoost model on confirmed labels. (4) Re-validate FPD lift, precision at 25% threshold, and capture rate.</w:t>
      </w:r>
    </w:p>
    <w:p>
      <w:pPr>
        <w:pBdr>
          <w:bottom w:val="single" w:color="CCCCCC" w:sz="4" w:space="1"/>
        </w:pBdr>
        <w:spacing w:after="200" w:before="200"/>
      </w:pPr>
    </w:p>
    <w:p>
      <w:pPr>
        <w:pStyle w:val="Heading1"/>
        <w:spacing w:after="160" w:before="400"/>
      </w:pPr>
      <w:r>
        <w:rPr>
          <w:rFonts w:ascii="Arial" w:cs="Arial" w:eastAsia="Arial" w:hAnsi="Arial"/>
          <w:b/>
          <w:bCs/>
          <w:color w:val="1F5C99"/>
          <w:sz w:val="36"/>
          <w:szCs w:val="36"/>
        </w:rPr>
        <w:t xml:space="preserve">9. Validation Conclusion &amp; Outstanding Items</w:t>
      </w:r>
    </w:p>
    <w:p>
      <w:pPr>
        <w:pStyle w:val="Heading2"/>
        <w:spacing w:after="120" w:before="300"/>
      </w:pPr>
      <w:r>
        <w:rPr>
          <w:rFonts w:ascii="Arial" w:cs="Arial" w:eastAsia="Arial" w:hAnsi="Arial"/>
          <w:b/>
          <w:bCs/>
          <w:color w:val="2C3E50"/>
          <w:sz w:val="28"/>
          <w:szCs w:val="28"/>
        </w:rPr>
        <w:t xml:space="preserve">9.1 Approval Decision</w:t>
      </w:r>
    </w:p>
    <w:p>
      <w:pPr>
        <w:spacing w:after="100" w:before="60"/>
      </w:pPr>
      <w:r>
        <w:rPr>
          <w:rFonts w:ascii="Arial" w:cs="Arial" w:eastAsia="Arial" w:hAnsi="Arial"/>
          <w:color w:val="222222"/>
          <w:sz w:val="22"/>
          <w:szCs w:val="22"/>
        </w:rPr>
        <w:t xml:space="preserve">The Credit Risk Platform PD model (CRP-PD-001-v1.0) is APPROVED WITH CONDITIONS for internal portfolio monitoring, risk-based pricing, and decision-support use.</w:t>
      </w:r>
    </w:p>
    <w:p>
      <w:pPr>
        <w:spacing w:after="100" w:before="60"/>
      </w:pPr>
      <w:r>
        <w:rPr>
          <w:rFonts w:ascii="Arial" w:cs="Arial" w:eastAsia="Arial" w:hAnsi="Arial"/>
          <w:color w:val="222222"/>
          <w:sz w:val="22"/>
          <w:szCs w:val="22"/>
        </w:rPr>
        <w:t xml:space="preserve">Conditions for full production approval:</w:t>
      </w:r>
    </w:p>
    <w:p>
      <w:pPr>
        <w:pStyle w:val="ListParagraph"/>
        <w:numPr>
          <w:ilvl w:val="0"/>
          <w:numId w:val="2"/>
        </w:numPr>
        <w:spacing w:after="40" w:before="40"/>
      </w:pPr>
      <w:r>
        <w:rPr>
          <w:rFonts w:ascii="Arial" w:cs="Arial" w:eastAsia="Arial" w:hAnsi="Arial"/>
          <w:color w:val="222222"/>
          <w:sz w:val="22"/>
          <w:szCs w:val="22"/>
        </w:rPr>
        <w:t xml:space="preserve">Separate product models required before autonomous decisioning: one for unsecured personal loans, one for HELOC. Expected AUC improvement to 0.75-0.82.</w:t>
      </w:r>
    </w:p>
    <w:p>
      <w:pPr>
        <w:pStyle w:val="ListParagraph"/>
        <w:numPr>
          <w:ilvl w:val="0"/>
          <w:numId w:val="2"/>
        </w:numPr>
        <w:spacing w:after="40" w:before="40"/>
      </w:pPr>
      <w:r>
        <w:rPr>
          <w:rFonts w:ascii="Arial" w:cs="Arial" w:eastAsia="Arial" w:hAnsi="Arial"/>
          <w:color w:val="222222"/>
          <w:sz w:val="22"/>
          <w:szCs w:val="22"/>
        </w:rPr>
        <w:t xml:space="preserve">Independent second-team validation required per OSFI E-23 Section 4.3 before regulatory submission.</w:t>
      </w:r>
    </w:p>
    <w:p>
      <w:pPr>
        <w:pStyle w:val="ListParagraph"/>
        <w:numPr>
          <w:ilvl w:val="0"/>
          <w:numId w:val="2"/>
        </w:numPr>
        <w:spacing w:after="40" w:before="40"/>
      </w:pPr>
      <w:r>
        <w:rPr>
          <w:rFonts w:ascii="Arial" w:cs="Arial" w:eastAsia="Arial" w:hAnsi="Arial"/>
          <w:color w:val="222222"/>
          <w:sz w:val="22"/>
          <w:szCs w:val="22"/>
        </w:rPr>
        <w:t xml:space="preserve">Fraud model requires real investigation labels before use as a primary fraud signal.</w:t>
      </w:r>
    </w:p>
    <w:p>
      <w:pPr>
        <w:pStyle w:val="ListParagraph"/>
        <w:numPr>
          <w:ilvl w:val="0"/>
          <w:numId w:val="2"/>
        </w:numPr>
        <w:spacing w:after="40" w:before="40"/>
      </w:pPr>
      <w:r>
        <w:rPr>
          <w:rFonts w:ascii="Arial" w:cs="Arial" w:eastAsia="Arial" w:hAnsi="Arial"/>
          <w:color w:val="222222"/>
          <w:sz w:val="22"/>
          <w:szCs w:val="22"/>
        </w:rPr>
        <w:t xml:space="preserve">IFRS 9 origination PD should be replaced with actual LOS origination records when available.</w:t>
      </w:r>
    </w:p>
    <w:p>
      <w:pPr>
        <w:pStyle w:val="ListParagraph"/>
        <w:numPr>
          <w:ilvl w:val="0"/>
          <w:numId w:val="2"/>
        </w:numPr>
        <w:spacing w:after="40" w:before="40"/>
      </w:pPr>
      <w:r>
        <w:rPr>
          <w:rFonts w:ascii="Arial" w:cs="Arial" w:eastAsia="Arial" w:hAnsi="Arial"/>
          <w:color w:val="222222"/>
          <w:sz w:val="22"/>
          <w:szCs w:val="22"/>
        </w:rPr>
        <w:t xml:space="preserve">Fairness monitoring quarterly reviews to be formally documented and reported to Risk Committee.</w:t>
      </w:r>
    </w:p>
    <w:p>
      <w:pPr>
        <w:spacing w:before="160"/>
      </w:pPr>
    </w:p>
    <w:p>
      <w:pPr>
        <w:pStyle w:val="Heading2"/>
        <w:spacing w:after="120" w:before="300"/>
      </w:pPr>
      <w:r>
        <w:rPr>
          <w:rFonts w:ascii="Arial" w:cs="Arial" w:eastAsia="Arial" w:hAnsi="Arial"/>
          <w:b/>
          <w:bCs/>
          <w:color w:val="2C3E50"/>
          <w:sz w:val="28"/>
          <w:szCs w:val="28"/>
        </w:rPr>
        <w:t xml:space="preserve">9.2 Remediation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Separate product models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Q3 2026</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Independent second-team validation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Q3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Real fraud investigation labels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Subject to data availability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LOS origination PD integration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Subject to LOS API access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Quarterly fairness monitoring — first review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July 2026</w:t>
            </w:r>
          </w:p>
        </w:tc>
      </w:tr>
    </w:tbl>
    <w:p>
      <w:pPr>
        <w:spacing w:before="160"/>
      </w:pPr>
    </w:p>
    <w:p>
      <w:pPr>
        <w:pBdr>
          <w:bottom w:val="single" w:color="CCCCCC" w:sz="4" w:space="1"/>
        </w:pBdr>
        <w:spacing w:after="200" w:before="200"/>
      </w:pPr>
    </w:p>
    <w:p>
      <w:pPr>
        <w:spacing w:before="240"/>
        <w:jc w:val="center"/>
      </w:pPr>
      <w:r>
        <w:rPr>
          <w:rFonts w:ascii="Arial" w:cs="Arial" w:eastAsia="Arial" w:hAnsi="Arial"/>
          <w:i/>
          <w:iCs/>
          <w:color w:val="666666"/>
          <w:sz w:val="20"/>
          <w:szCs w:val="20"/>
        </w:rPr>
        <w:t xml:space="preserve">Internal Validation Draft — Pending Independent Second-Team Review</w:t>
      </w:r>
    </w:p>
    <w:p>
      <w:pPr>
        <w:jc w:val="center"/>
      </w:pPr>
      <w:r>
        <w:rPr>
          <w:rFonts w:ascii="Arial" w:cs="Arial" w:eastAsia="Arial" w:hAnsi="Arial"/>
          <w:i/>
          <w:iCs/>
          <w:color w:val="666666"/>
          <w:sz w:val="20"/>
          <w:szCs w:val="20"/>
        </w:rPr>
        <w:t xml:space="preserve">Not for external distribution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1"/>
      </w:pBdr>
    </w:pPr>
    <w:r>
      <w:rPr>
        <w:rFonts w:ascii="Arial" w:cs="Arial" w:eastAsia="Arial" w:hAnsi="Arial"/>
        <w:color w:val="666666"/>
        <w:sz w:val="18"/>
        <w:szCs w:val="18"/>
      </w:rPr>
      <w:t xml:space="preserve">CONFIDENTIAL — Internal Validation Draft — Pending Independent Second-Team Review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1"/>
      </w:pBdr>
    </w:pPr>
    <w:r>
      <w:rPr>
        <w:rFonts w:ascii="Arial" w:cs="Arial" w:eastAsia="Arial" w:hAnsi="Arial"/>
        <w:color w:val="666666"/>
        <w:sz w:val="18"/>
        <w:szCs w:val="18"/>
      </w:rPr>
      <w:t xml:space="preserve">Credit Risk &amp; Fraud Platform  |  Model Validation Report  |  Internal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5C9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2026-04-15T07:33:30.515Z</dcterms:created>
  <dcterms:modified xsi:type="dcterms:W3CDTF">2026-04-15T07:33:30.516Z</dcterms:modified>
</cp:coreProperties>
</file>

<file path=docProps/custom.xml><?xml version="1.0" encoding="utf-8"?>
<Properties xmlns="http://schemas.openxmlformats.org/officeDocument/2006/custom-properties" xmlns:vt="http://schemas.openxmlformats.org/officeDocument/2006/docPropsVTypes"/>
</file>