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credit-policy"/>
    <w:p>
      <w:pPr>
        <w:pStyle w:val="Heading1"/>
      </w:pPr>
      <w:r>
        <w:t xml:space="preserve">CREDIT POLICY</w:t>
      </w:r>
    </w:p>
    <w:p>
      <w:pPr>
        <w:pStyle w:val="FirstParagraph"/>
      </w:pPr>
      <w:r>
        <w:rPr>
          <w:bCs/>
          <w:b/>
        </w:rPr>
        <w:t xml:space="preserve">Credit Risk &amp; Fraud Detection Platform</w:t>
      </w:r>
    </w:p>
    <w:p>
      <w:pPr>
        <w:pStyle w:val="BodyText"/>
      </w:pPr>
      <w:r>
        <w:t xml:space="preserve">Version 1.1 · Effective Date: April 2026 · Review Cycle: Annual</w:t>
      </w:r>
    </w:p>
    <w:p>
      <w:r>
        <w:pict>
          <v:rect style="width:0;height:1.5pt" o:hralign="center" o:hrstd="t" o:hr="t"/>
        </w:pict>
      </w:r>
    </w:p>
    <w:bookmarkStart w:id="20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CRP-POL-001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21,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Review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Risk &amp;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Risk Officer (CRO); Credit Risk Committee (CRC)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OSFI B-20, OSFI E-23, Basel III IRB, IFRS 9, ECOA/Reg B, FCAC, Criminal Code s.347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— Credit Risk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Risk, Model Risk Management, Internal Audit, External Examiners (upon request)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purpose-and-scope"/>
    <w:p>
      <w:pPr>
        <w:pStyle w:val="Heading2"/>
      </w:pPr>
      <w:r>
        <w:t xml:space="preserve">1. Purpose and Scope</w:t>
      </w:r>
    </w:p>
    <w:bookmarkStart w:id="2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Credit Policy establishes the governing rules under which the Credit Risk</w:t>
      </w:r>
      <w:r>
        <w:t xml:space="preserve"> </w:t>
      </w:r>
      <w:r>
        <w:t xml:space="preserve">and Fraud Detection Platform (hereafter</w:t>
      </w:r>
      <w:r>
        <w:t xml:space="preserve"> </w:t>
      </w:r>
      <w:r>
        <w:t xml:space="preserve">“</w:t>
      </w:r>
      <w:r>
        <w:t xml:space="preserve">the Platform</w:t>
      </w:r>
      <w:r>
        <w:t xml:space="preserve">”</w:t>
      </w:r>
      <w:r>
        <w:t xml:space="preserve">) may be used to</w:t>
      </w:r>
      <w:r>
        <w:t xml:space="preserve"> </w:t>
      </w:r>
      <w:r>
        <w:t xml:space="preserve">underwrite, price, provision for, and capital-charge consumer credit</w:t>
      </w:r>
      <w:r>
        <w:t xml:space="preserve"> </w:t>
      </w:r>
      <w:r>
        <w:t xml:space="preserve">originations and the existing loan book. It codifies the approved risk</w:t>
      </w:r>
      <w:r>
        <w:t xml:space="preserve"> </w:t>
      </w:r>
      <w:r>
        <w:t xml:space="preserve">appetite, decisioning rules, hard policy floors, override authority,</w:t>
      </w:r>
      <w:r>
        <w:t xml:space="preserve"> </w:t>
      </w:r>
      <w:r>
        <w:t xml:space="preserve">model-use boundaries, and documentation requirements. The Platform operates</w:t>
      </w:r>
      <w:r>
        <w:t xml:space="preserve"> </w:t>
      </w:r>
      <w:r>
        <w:t xml:space="preserve">within the limits set by this Policy and does not extend credit outside them.</w:t>
      </w:r>
    </w:p>
    <w:bookmarkEnd w:id="21"/>
    <w:bookmarkStart w:id="22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Policy applies to:</w:t>
      </w:r>
    </w:p>
    <w:p>
      <w:pPr>
        <w:numPr>
          <w:ilvl w:val="0"/>
          <w:numId w:val="1001"/>
        </w:numPr>
        <w:pStyle w:val="Compact"/>
      </w:pPr>
      <w:r>
        <w:t xml:space="preserve">All new consumer credit applications processed through the Platform,</w:t>
      </w:r>
      <w:r>
        <w:t xml:space="preserve"> </w:t>
      </w:r>
      <w:r>
        <w:t xml:space="preserve">including unsecured personal loans and secured Home Equity Lines of</w:t>
      </w:r>
      <w:r>
        <w:t xml:space="preserve"> </w:t>
      </w:r>
      <w:r>
        <w:t xml:space="preserve">Credit (HELOC).</w:t>
      </w:r>
    </w:p>
    <w:p>
      <w:pPr>
        <w:numPr>
          <w:ilvl w:val="0"/>
          <w:numId w:val="1001"/>
        </w:numPr>
        <w:pStyle w:val="Compact"/>
      </w:pPr>
      <w:r>
        <w:t xml:space="preserve">Portfolio-level monitoring, stress testing, and regulatory reporting</w:t>
      </w:r>
      <w:r>
        <w:t xml:space="preserve"> </w:t>
      </w:r>
      <w:r>
        <w:t xml:space="preserve">produced by the Platform.</w:t>
      </w:r>
    </w:p>
    <w:p>
      <w:pPr>
        <w:numPr>
          <w:ilvl w:val="0"/>
          <w:numId w:val="1001"/>
        </w:numPr>
        <w:pStyle w:val="Compact"/>
      </w:pPr>
      <w:r>
        <w:t xml:space="preserve">All staff involved in credit decisioning, model governance, validation,</w:t>
      </w:r>
      <w:r>
        <w:t xml:space="preserve"> </w:t>
      </w:r>
      <w:r>
        <w:t xml:space="preserve">and reporting.</w:t>
      </w:r>
    </w:p>
    <w:p>
      <w:pPr>
        <w:pStyle w:val="FirstParagraph"/>
      </w:pPr>
      <w:r>
        <w:t xml:space="preserve">This Policy does not apply to:</w:t>
      </w:r>
      <w:r>
        <w:t xml:space="preserve"> </w:t>
      </w:r>
      <w:r>
        <w:t xml:space="preserve">- Commercial lending, small-business lending, or any non-consumer exposure.</w:t>
      </w:r>
      <w:r>
        <w:t xml:space="preserve"> </w:t>
      </w:r>
      <w:r>
        <w:t xml:space="preserve">- Automotive secured lending, mortgage origination, or credit card issuance</w:t>
      </w:r>
      <w:r>
        <w:t xml:space="preserve"> </w:t>
      </w:r>
      <w:r>
        <w:t xml:space="preserve">(governed by product-specific policies).</w:t>
      </w:r>
      <w:r>
        <w:t xml:space="preserve"> </w:t>
      </w:r>
      <w:r>
        <w:t xml:space="preserve">- Any activity inconsistent with the Platform’s intended use as described</w:t>
      </w:r>
      <w:r>
        <w:t xml:space="preserve"> </w:t>
      </w:r>
      <w:r>
        <w:t xml:space="preserve">in the Model Card.</w:t>
      </w:r>
    </w:p>
    <w:bookmarkEnd w:id="22"/>
    <w:bookmarkStart w:id="23" w:name="regulatory-framework"/>
    <w:p>
      <w:pPr>
        <w:pStyle w:val="Heading3"/>
      </w:pPr>
      <w:r>
        <w:t xml:space="preserve">1.3 Regulatory Framework</w:t>
      </w:r>
    </w:p>
    <w:p>
      <w:pPr>
        <w:pStyle w:val="FirstParagraph"/>
      </w:pPr>
      <w:r>
        <w:t xml:space="preserve">This Policy is designed to operate within the following regulatory</w:t>
      </w:r>
      <w:r>
        <w:t xml:space="preserve"> </w:t>
      </w:r>
      <w:r>
        <w:t xml:space="preserve">frameworks. Where this Policy and a regulatory requirement are in tension,</w:t>
      </w:r>
      <w:r>
        <w:t xml:space="preserve"> </w:t>
      </w:r>
      <w:r>
        <w:t xml:space="preserve">the regulatory requirement prevails.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OSFI Guideline B-20</w:t>
      </w:r>
      <w:r>
        <w:t xml:space="preserve"> </w:t>
      </w:r>
      <w:r>
        <w:t xml:space="preserve">— Residential Mortgage Underwriting Practices (HELOC</w:t>
      </w:r>
      <w:r>
        <w:t xml:space="preserve"> </w:t>
      </w:r>
      <w:r>
        <w:t xml:space="preserve">portion), including LTV ceilings and qualifying rate treatment.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OSFI Guideline E-23</w:t>
      </w:r>
      <w:r>
        <w:t xml:space="preserve"> </w:t>
      </w:r>
      <w:r>
        <w:t xml:space="preserve">— Enterprise-Wide Model Risk Management, including</w:t>
      </w:r>
      <w:r>
        <w:t xml:space="preserve"> </w:t>
      </w:r>
      <w:r>
        <w:t xml:space="preserve">model validation, documentation, and monitoring.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Basel III</w:t>
      </w:r>
      <w:r>
        <w:t xml:space="preserve"> </w:t>
      </w:r>
      <w:r>
        <w:t xml:space="preserve">— Capital adequacy under the Internal Ratings-Based (IRB)</w:t>
      </w:r>
      <w:r>
        <w:t xml:space="preserve"> </w:t>
      </w:r>
      <w:r>
        <w:t xml:space="preserve">approach for credit risk, including OSFI CAR requirements.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IFRS 9</w:t>
      </w:r>
      <w:r>
        <w:t xml:space="preserve"> </w:t>
      </w:r>
      <w:r>
        <w:t xml:space="preserve">— Financial Instruments, specifically Expected Credit Loss (ECL)</w:t>
      </w:r>
      <w:r>
        <w:t xml:space="preserve"> </w:t>
      </w:r>
      <w:r>
        <w:t xml:space="preserve">provisioning under the three-stage approach.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Equal Credit Opportunity Act (ECOA) / Regulation B</w:t>
      </w:r>
      <w:r>
        <w:t xml:space="preserve"> </w:t>
      </w:r>
      <w:r>
        <w:t xml:space="preserve">— Adverse action</w:t>
      </w:r>
      <w:r>
        <w:t xml:space="preserve"> </w:t>
      </w:r>
      <w:r>
        <w:t xml:space="preserve">disclosure requirements. While ECOA is US law, the Platform’s disclosure</w:t>
      </w:r>
      <w:r>
        <w:t xml:space="preserve"> </w:t>
      </w:r>
      <w:r>
        <w:t xml:space="preserve">standards meet both ECOA and Canadian FCAC requirements.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Financial Consumer Agency of Canada (FCAC)</w:t>
      </w:r>
      <w:r>
        <w:t xml:space="preserve"> </w:t>
      </w:r>
      <w:r>
        <w:t xml:space="preserve">— Consumer protection,</w:t>
      </w:r>
      <w:r>
        <w:t xml:space="preserve"> </w:t>
      </w:r>
      <w:r>
        <w:t xml:space="preserve">including prohibited adverse-action disclosure content.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Criminal Code of Canada s.347</w:t>
      </w:r>
      <w:r>
        <w:t xml:space="preserve"> </w:t>
      </w:r>
      <w:r>
        <w:t xml:space="preserve">— Maximum effective interest rate (35%</w:t>
      </w:r>
      <w:r>
        <w:t xml:space="preserve"> </w:t>
      </w:r>
      <w:r>
        <w:t xml:space="preserve">APR, effective January 2025).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Personal Information Protection and Electronic Documents Act (PIPEDA)</w:t>
      </w:r>
      <w:r>
        <w:t xml:space="preserve"> </w:t>
      </w:r>
      <w:r>
        <w:t xml:space="preserve">— Personal data handling.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risk-appetite"/>
    <w:p>
      <w:pPr>
        <w:pStyle w:val="Heading2"/>
      </w:pPr>
      <w:r>
        <w:t xml:space="preserve">2. Risk Appetite</w:t>
      </w:r>
    </w:p>
    <w:bookmarkStart w:id="25" w:name="philosophy"/>
    <w:p>
      <w:pPr>
        <w:pStyle w:val="Heading3"/>
      </w:pPr>
      <w:r>
        <w:t xml:space="preserve">2.1 Philosophy</w:t>
      </w:r>
    </w:p>
    <w:p>
      <w:pPr>
        <w:pStyle w:val="FirstParagraph"/>
      </w:pPr>
      <w:r>
        <w:t xml:space="preserve">The Platform targets a prime-to-near-prime consumer book with a controlled</w:t>
      </w:r>
      <w:r>
        <w:t xml:space="preserve"> </w:t>
      </w:r>
      <w:r>
        <w:t xml:space="preserve">tail of near-subprime exposure. The institution’s risk appetite explicitly</w:t>
      </w:r>
      <w:r>
        <w:t xml:space="preserve"> </w:t>
      </w:r>
      <w:r>
        <w:t xml:space="preserve">avoids deep-subprime exposure (risk tier E represents less than 10% of</w:t>
      </w:r>
      <w:r>
        <w:t xml:space="preserve"> </w:t>
      </w:r>
      <w:r>
        <w:t xml:space="preserve">originations on a trailing 12-month basis) and prohibits any exposure</w:t>
      </w:r>
      <w:r>
        <w:t xml:space="preserve"> </w:t>
      </w:r>
      <w:r>
        <w:t xml:space="preserve">inconsistent with the Code of Conduct or the institution’s public</w:t>
      </w:r>
      <w:r>
        <w:t xml:space="preserve"> </w:t>
      </w:r>
      <w:r>
        <w:t xml:space="preserve">commitments.</w:t>
      </w:r>
    </w:p>
    <w:bookmarkEnd w:id="25"/>
    <w:bookmarkStart w:id="26" w:name="X0ef060c439a63357b0cabac8b18159cb208811a"/>
    <w:p>
      <w:pPr>
        <w:pStyle w:val="Heading3"/>
      </w:pPr>
      <w:r>
        <w:t xml:space="preserve">2.2 Quantitative Limits — Approved by the Board</w:t>
      </w:r>
    </w:p>
    <w:p>
      <w:pPr>
        <w:pStyle w:val="FirstParagraph"/>
      </w:pPr>
      <w:r>
        <w:t xml:space="preserve">The following risk limits are approved by the Credit Risk Committee and</w:t>
      </w:r>
      <w:r>
        <w:t xml:space="preserve"> </w:t>
      </w:r>
      <w:r>
        <w:t xml:space="preserve">ratified by the Board. Any breach is reported to the CRO within 1 business</w:t>
      </w:r>
      <w:r>
        <w:t xml:space="preserve"> </w:t>
      </w:r>
      <w:r>
        <w:t xml:space="preserve">day and to the Board Risk Committee at its next regular meeting.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58"/>
        <w:gridCol w:w="1958"/>
        <w:gridCol w:w="17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/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Portfolio Expected Loss rate (EL / 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≤ 5.0% · Limit ≤ 8.0%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breach → CRO notify + corrective action plan within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Unsecured personal loan share of total 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≤ 75% · Limit ≤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Approaching limit (&gt;80%) → concentration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E (high-risk subprime) share of originations (T12M)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≤ 5% · Limit ≤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breach → origination tightening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Portfolio 12-month OOT PD calibration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± 1 pp · Limit ± 2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breach → model recalibration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IFRS 9 Stage 2 loan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only; no hard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20% → Investigation of macro or underwriting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 rate (confirmed, T12M)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≤ 1.5% · Limit ≤ 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breach → fraud control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Adequacy Ratio (CET1)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≥ 11.5% · Limit ≥ 8.0% (Pillar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approach (&lt; 10%) → capital planning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Single-tier EL concentration ratio (EL share / loan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≤ 3.0× · Limit ≤ 4.0× for any one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breach → tier-level review</w:t>
            </w:r>
          </w:p>
        </w:tc>
      </w:tr>
    </w:tbl>
    <w:bookmarkEnd w:id="26"/>
    <w:bookmarkStart w:id="27" w:name="prohibited-exposures"/>
    <w:p>
      <w:pPr>
        <w:pStyle w:val="Heading3"/>
      </w:pPr>
      <w:r>
        <w:t xml:space="preserve">2.3 Prohibited Exposures</w:t>
      </w:r>
    </w:p>
    <w:p>
      <w:pPr>
        <w:pStyle w:val="FirstParagraph"/>
      </w:pPr>
      <w:r>
        <w:t xml:space="preserve">The Platform shall not be used to decision, approve, or price credit for:</w:t>
      </w:r>
      <w:r>
        <w:t xml:space="preserve"> </w:t>
      </w:r>
      <w:r>
        <w:t xml:space="preserve">- Applicants under 18 years of age or over 80 years of age (except in</w:t>
      </w:r>
      <w:r>
        <w:t xml:space="preserve"> </w:t>
      </w:r>
      <w:r>
        <w:t xml:space="preserve">exceptional cases reviewed by senior underwriting).</w:t>
      </w:r>
      <w:r>
        <w:t xml:space="preserve"> </w:t>
      </w:r>
      <w:r>
        <w:t xml:space="preserve">- Applicants with active bankruptcy proceedings or an undischarged bankruptcy</w:t>
      </w:r>
      <w:r>
        <w:t xml:space="preserve"> </w:t>
      </w:r>
      <w:r>
        <w:t xml:space="preserve">on file.</w:t>
      </w:r>
      <w:r>
        <w:t xml:space="preserve"> </w:t>
      </w:r>
      <w:r>
        <w:t xml:space="preserve">- Applicants flagged by Office of Foreign Assets Control (OFAC) sanctions</w:t>
      </w:r>
      <w:r>
        <w:t xml:space="preserve"> </w:t>
      </w:r>
      <w:r>
        <w:t xml:space="preserve">screening or equivalent Canadian screening.</w:t>
      </w:r>
      <w:r>
        <w:t xml:space="preserve"> </w:t>
      </w:r>
      <w:r>
        <w:t xml:space="preserve">- Loans for purposes prohibited by law or institutional policy (gambling</w:t>
      </w:r>
      <w:r>
        <w:t xml:space="preserve"> </w:t>
      </w:r>
      <w:r>
        <w:t xml:space="preserve">consolidation, certain speculative investments, etc.).</w:t>
      </w:r>
      <w:r>
        <w:t xml:space="preserve"> </w:t>
      </w:r>
      <w:r>
        <w:t xml:space="preserve">- Applicants where fraud confirmation has been escalated to law enforcement</w:t>
      </w:r>
      <w:r>
        <w:t xml:space="preserve"> </w:t>
      </w:r>
      <w:r>
        <w:t xml:space="preserve">or where a prior fraud incident is on file (subject to institutional</w:t>
      </w:r>
      <w:r>
        <w:t xml:space="preserve"> </w:t>
      </w:r>
      <w:r>
        <w:t xml:space="preserve">fraud-recovery review).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hierarchical-decision-engine"/>
    <w:p>
      <w:pPr>
        <w:pStyle w:val="Heading2"/>
      </w:pPr>
      <w:r>
        <w:t xml:space="preserve">3. Hierarchical Decision Engine</w:t>
      </w:r>
    </w:p>
    <w:bookmarkStart w:id="29" w:name="overview"/>
    <w:p>
      <w:pPr>
        <w:pStyle w:val="Heading3"/>
      </w:pPr>
      <w:r>
        <w:t xml:space="preserve">3.1 Overview</w:t>
      </w:r>
    </w:p>
    <w:p>
      <w:pPr>
        <w:pStyle w:val="FirstParagraph"/>
      </w:pPr>
      <w:r>
        <w:t xml:space="preserve">Every credit application processed by the Platform is routed through five</w:t>
      </w:r>
      <w:r>
        <w:t xml:space="preserve"> </w:t>
      </w:r>
      <w:r>
        <w:t xml:space="preserve">ordered decision gates. The order of evaluation is fixed and cannot be</w:t>
      </w:r>
      <w:r>
        <w:t xml:space="preserve"> </w:t>
      </w:r>
      <w:r>
        <w:t xml:space="preserve">overridden by any operator. A decline at an earlier gate terminates</w:t>
      </w:r>
      <w:r>
        <w:t xml:space="preserve"> </w:t>
      </w:r>
      <w:r>
        <w:t xml:space="preserve">evaluation — subsequent gates are not evaluated.</w:t>
      </w:r>
    </w:p>
    <w:bookmarkEnd w:id="29"/>
    <w:bookmarkStart w:id="30" w:name="gate-1-fraud-screening"/>
    <w:p>
      <w:pPr>
        <w:pStyle w:val="Heading3"/>
      </w:pPr>
      <w:r>
        <w:t xml:space="preserve">3.2 Gate 1 — Fraud Screening</w:t>
      </w:r>
    </w:p>
    <w:p>
      <w:pPr>
        <w:pStyle w:val="FirstParagraph"/>
      </w:pPr>
      <w:r>
        <w:t xml:space="preserve">The Platform generates a post-funding-style fraud probability at application</w:t>
      </w:r>
      <w:r>
        <w:t xml:space="preserve"> </w:t>
      </w:r>
      <w:r>
        <w:t xml:space="preserve">time using 14 fraud-specific features (application-time red flags, velocity</w:t>
      </w:r>
      <w:r>
        <w:t xml:space="preserve"> </w:t>
      </w:r>
      <w:r>
        <w:t xml:space="preserve">and loan-stacking signals, synthetic identity indicators, first-payment</w:t>
      </w:r>
      <w:r>
        <w:t xml:space="preserve"> </w:t>
      </w:r>
      <w:r>
        <w:t xml:space="preserve">default risk proxies).</w:t>
      </w:r>
    </w:p>
    <w:p>
      <w:pPr>
        <w:pStyle w:val="BodyText"/>
      </w:pPr>
      <w:r>
        <w:rPr>
          <w:bCs/>
          <w:b/>
        </w:rPr>
        <w:t xml:space="preserve">Rule:</w:t>
      </w:r>
      <w:r>
        <w:t xml:space="preserve"> </w:t>
      </w:r>
      <w:r>
        <w:t xml:space="preserve">If fraud probability &gt; 65%, the decision is DECLINE_FRAUD.</w:t>
      </w:r>
    </w:p>
    <w:p>
      <w:pPr>
        <w:pStyle w:val="BodyText"/>
      </w:pPr>
      <w:r>
        <w:rPr>
          <w:bCs/>
          <w:b/>
        </w:rPr>
        <w:t xml:space="preserve">Adverse action treatment:</w:t>
      </w:r>
      <w:r>
        <w:t xml:space="preserve"> </w:t>
      </w:r>
      <w:r>
        <w:t xml:space="preserve">Under FCAC guidance (confirmed in writing by</w:t>
      </w:r>
      <w:r>
        <w:t xml:space="preserve"> </w:t>
      </w:r>
      <w:r>
        <w:t xml:space="preserve">Legal, February 2024), a lender MUST NOT cite fraud as the decline reason</w:t>
      </w:r>
      <w:r>
        <w:t xml:space="preserve"> </w:t>
      </w:r>
      <w:r>
        <w:t xml:space="preserve">in the adverse action letter sent to the applicant. The Platform uses a</w:t>
      </w:r>
      <w:r>
        <w:t xml:space="preserve"> </w:t>
      </w:r>
      <w:r>
        <w:t xml:space="preserve">generic decline reason from the approved adverse-action-reason list. The</w:t>
      </w:r>
      <w:r>
        <w:t xml:space="preserve"> </w:t>
      </w:r>
      <w:r>
        <w:t xml:space="preserve">fraud status is recorded in the internal decision audit trail for</w:t>
      </w:r>
      <w:r>
        <w:t xml:space="preserve"> </w:t>
      </w:r>
      <w:r>
        <w:t xml:space="preserve">investigation purposes only.</w:t>
      </w:r>
    </w:p>
    <w:p>
      <w:pPr>
        <w:pStyle w:val="BodyText"/>
      </w:pPr>
      <w:r>
        <w:rPr>
          <w:bCs/>
          <w:b/>
        </w:rPr>
        <w:t xml:space="preserve">Operational requirement:</w:t>
      </w:r>
      <w:r>
        <w:t xml:space="preserve"> </w:t>
      </w:r>
      <w:r>
        <w:t xml:space="preserve">Fraud declines at HIGH or CONFIRMED alert tiers</w:t>
      </w:r>
      <w:r>
        <w:t xml:space="preserve"> </w:t>
      </w:r>
      <w:r>
        <w:t xml:space="preserve">require escalation to the Fraud Investigations team within 24 hours.</w:t>
      </w:r>
    </w:p>
    <w:bookmarkEnd w:id="30"/>
    <w:bookmarkStart w:id="31" w:name="gate-2-hard-policy-rules"/>
    <w:p>
      <w:pPr>
        <w:pStyle w:val="Heading3"/>
      </w:pPr>
      <w:r>
        <w:t xml:space="preserve">3.3 Gate 2 — Hard Policy Rules</w:t>
      </w:r>
    </w:p>
    <w:p>
      <w:pPr>
        <w:pStyle w:val="FirstParagraph"/>
      </w:pPr>
      <w:r>
        <w:t xml:space="preserve">If Gate 1 passes, the Platform evaluates hard policy rules. Any rule</w:t>
      </w:r>
      <w:r>
        <w:t xml:space="preserve"> </w:t>
      </w:r>
      <w:r>
        <w:t xml:space="preserve">failure is a DECLINE_POLICY outcome. Hard policy rules represent institutional</w:t>
      </w:r>
      <w:r>
        <w:t xml:space="preserve"> </w:t>
      </w:r>
      <w:r>
        <w:t xml:space="preserve">floors; they cannot be overridden by any compensating factors and do not</w:t>
      </w:r>
      <w:r>
        <w:t xml:space="preserve"> </w:t>
      </w:r>
      <w:r>
        <w:t xml:space="preserve">consider the output of the credit model.</w:t>
      </w:r>
    </w:p>
    <w:p>
      <w:pPr>
        <w:pStyle w:val="BodyText"/>
      </w:pPr>
      <w:r>
        <w:rPr>
          <w:bCs/>
          <w:b/>
        </w:rPr>
        <w:t xml:space="preserve">Rule set (v1.1):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92"/>
        <w:gridCol w:w="3383"/>
        <w:gridCol w:w="2691"/>
        <w:gridCol w:w="11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FICO /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score &lt;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Debt-to-Income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DTI &gt;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Derogatory 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Derogatory marks ≥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Recent Inquiries (6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Inquiries &gt;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LTV (HELOC only, OSFI B-20 aligned)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LTV &gt;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HELOC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Adverse action treatment:</w:t>
      </w:r>
      <w:r>
        <w:t xml:space="preserve"> </w:t>
      </w:r>
      <w:r>
        <w:t xml:space="preserve">When a hard policy rule fails, the adverse</w:t>
      </w:r>
      <w:r>
        <w:t xml:space="preserve"> </w:t>
      </w:r>
      <w:r>
        <w:t xml:space="preserve">action letter cites the specific failed rule in plain language. SHAP-based</w:t>
      </w:r>
      <w:r>
        <w:t xml:space="preserve"> </w:t>
      </w:r>
      <w:r>
        <w:t xml:space="preserve">reasons are NOT used — the credit model did not run. Example text: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Your credit score of 472 is below the minimum of 500 required for this</w:t>
      </w:r>
      <w:r>
        <w:rPr>
          <w:iCs/>
          <w:i/>
        </w:rPr>
        <w:t xml:space="preserve"> </w:t>
      </w:r>
      <w:r>
        <w:rPr>
          <w:iCs/>
          <w:i/>
        </w:rPr>
        <w:t xml:space="preserve">product. This is an absolute requirement; compensating factors do not apply.</w:t>
      </w:r>
      <w:r>
        <w:rPr>
          <w:iCs/>
          <w:i/>
        </w:rPr>
        <w:t xml:space="preserve">”</w:t>
      </w:r>
    </w:p>
    <w:bookmarkEnd w:id="31"/>
    <w:bookmarkStart w:id="32" w:name="gate-3-credit-model-scoring"/>
    <w:p>
      <w:pPr>
        <w:pStyle w:val="Heading3"/>
      </w:pPr>
      <w:r>
        <w:t xml:space="preserve">3.4 Gate 3 — Credit Model Scoring</w:t>
      </w:r>
    </w:p>
    <w:p>
      <w:pPr>
        <w:pStyle w:val="FirstParagraph"/>
      </w:pPr>
      <w:r>
        <w:t xml:space="preserve">If Gates 1-2 pass, the PD model scores the application. The output is a</w:t>
      </w:r>
      <w:r>
        <w:t xml:space="preserve"> </w:t>
      </w:r>
      <w:r>
        <w:t xml:space="preserve">calibrated 12-month point-in-time probability of default (PD_PIT) on a 0-100%</w:t>
      </w:r>
      <w:r>
        <w:t xml:space="preserve"> </w:t>
      </w:r>
      <w:r>
        <w:t xml:space="preserve">scale, which is mapped to:</w:t>
      </w:r>
    </w:p>
    <w:p>
      <w:pPr>
        <w:numPr>
          <w:ilvl w:val="0"/>
          <w:numId w:val="1003"/>
        </w:numPr>
        <w:pStyle w:val="Compact"/>
      </w:pPr>
      <w:r>
        <w:t xml:space="preserve">A credit score on the 300-850 PDO scale (Base Score 600, base_odds 4.0,</w:t>
      </w:r>
      <w:r>
        <w:t xml:space="preserve"> </w:t>
      </w:r>
      <w:r>
        <w:t xml:space="preserve">Points-to-Double-Odds 20).</w:t>
      </w:r>
    </w:p>
    <w:p>
      <w:pPr>
        <w:numPr>
          <w:ilvl w:val="0"/>
          <w:numId w:val="1003"/>
        </w:numPr>
        <w:pStyle w:val="Compact"/>
      </w:pPr>
      <w:r>
        <w:t xml:space="preserve">A risk tier: A (score ≥ 720), B (680-719), C (630-679), D (580-629),</w:t>
      </w:r>
      <w:r>
        <w:t xml:space="preserve"> </w:t>
      </w:r>
      <w:r>
        <w:t xml:space="preserve">E (&lt; 580).</w:t>
      </w:r>
    </w:p>
    <w:p>
      <w:pPr>
        <w:numPr>
          <w:ilvl w:val="0"/>
          <w:numId w:val="1003"/>
        </w:numPr>
        <w:pStyle w:val="Compact"/>
      </w:pPr>
      <w:r>
        <w:t xml:space="preserve">A through-the-cycle (TTC) PD for Basel III capital computation.</w:t>
      </w:r>
    </w:p>
    <w:p>
      <w:pPr>
        <w:numPr>
          <w:ilvl w:val="0"/>
          <w:numId w:val="1003"/>
        </w:numPr>
        <w:pStyle w:val="Compact"/>
      </w:pPr>
      <w:r>
        <w:t xml:space="preserve">An IFRS 9 stage (1 = Performing, 2 = Significant Increase in Credit Risk,</w:t>
      </w:r>
      <w:r>
        <w:t xml:space="preserve"> </w:t>
      </w:r>
      <w:r>
        <w:t xml:space="preserve">3 = Impaired).</w:t>
      </w:r>
    </w:p>
    <w:bookmarkEnd w:id="32"/>
    <w:bookmarkStart w:id="33" w:name="gate-4-decision-bands"/>
    <w:p>
      <w:pPr>
        <w:pStyle w:val="Heading3"/>
      </w:pPr>
      <w:r>
        <w:t xml:space="preserve">3.5 Gate 4 — Decision Bands</w:t>
      </w:r>
    </w:p>
    <w:p>
      <w:pPr>
        <w:pStyle w:val="FirstParagraph"/>
      </w:pPr>
      <w:r>
        <w:t xml:space="preserve">The PD_PIT determines the approval band: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479"/>
        <w:gridCol w:w="46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PD_PIT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 ≤ 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approval (subject to Gate 5 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28% &lt; PD ≤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analyst review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 &gt;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decline with SHAP-derived adverse reasons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Refer band operational requirements:</w:t>
      </w:r>
      <w:r>
        <w:t xml:space="preserve"> </w:t>
      </w:r>
      <w:r>
        <w:t xml:space="preserve">A Tier C or Tier D application in</w:t>
      </w:r>
      <w:r>
        <w:t xml:space="preserve"> </w:t>
      </w:r>
      <w:r>
        <w:t xml:space="preserve">the refer band must be reviewed by a credit analyst holding at least Level 2</w:t>
      </w:r>
      <w:r>
        <w:t xml:space="preserve"> </w:t>
      </w:r>
      <w:r>
        <w:t xml:space="preserve">credit authority. The analyst may consider compensating factors not captured</w:t>
      </w:r>
      <w:r>
        <w:t xml:space="preserve"> </w:t>
      </w:r>
      <w:r>
        <w:t xml:space="preserve">by the model: employment stability trend (not just tenure), demonstrated</w:t>
      </w:r>
      <w:r>
        <w:t xml:space="preserve"> </w:t>
      </w:r>
      <w:r>
        <w:t xml:space="preserve">asset position, depth of relationship with the institution, reasons for</w:t>
      </w:r>
      <w:r>
        <w:t xml:space="preserve"> </w:t>
      </w:r>
      <w:r>
        <w:t xml:space="preserve">derogatory marks (if any), and any information not present in the bureau</w:t>
      </w:r>
      <w:r>
        <w:t xml:space="preserve"> </w:t>
      </w:r>
      <w:r>
        <w:t xml:space="preserve">file. The analyst’s final decision (APPROVE or DECLINE_CREDIT) and rationale</w:t>
      </w:r>
      <w:r>
        <w:t xml:space="preserve"> </w:t>
      </w:r>
      <w:r>
        <w:t xml:space="preserve">must be documented in the credit file.</w:t>
      </w:r>
    </w:p>
    <w:bookmarkEnd w:id="33"/>
    <w:bookmarkStart w:id="34" w:name="gate-5-human-authority-matrix"/>
    <w:p>
      <w:pPr>
        <w:pStyle w:val="Heading3"/>
      </w:pPr>
      <w:r>
        <w:t xml:space="preserve">3.6 Gate 5 — Human Authority Matrix</w:t>
      </w:r>
    </w:p>
    <w:p>
      <w:pPr>
        <w:pStyle w:val="FirstParagraph"/>
      </w:pPr>
      <w:r>
        <w:t xml:space="preserve">Even when the Platform returns APPROVE, certain applications require human</w:t>
      </w:r>
      <w:r>
        <w:t xml:space="preserve"> </w:t>
      </w:r>
      <w:r>
        <w:t xml:space="preserve">review per the Institution’s Underwriting Authority Matrix: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42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Loan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A or B, amount ≤ $15,000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Platform-automated (no human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A or B, amount &gt; $15,000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 underwriter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C, any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 underwriter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C, amount &gt; $15,000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2 underwriter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D, any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2 underwriter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3 underwriter + Credit Risk CRC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HELOC, any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2 underwriter + secured-lending specialist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HELOC with LTV &gt;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3 underwriter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 to any hard policy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3 + CRO ratification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product-specific-requirements"/>
    <w:p>
      <w:pPr>
        <w:pStyle w:val="Heading2"/>
      </w:pPr>
      <w:r>
        <w:t xml:space="preserve">4. Product-Specific Requirements</w:t>
      </w:r>
    </w:p>
    <w:bookmarkStart w:id="36" w:name="unsecured-personal-loans"/>
    <w:p>
      <w:pPr>
        <w:pStyle w:val="Heading3"/>
      </w:pPr>
      <w:r>
        <w:t xml:space="preserve">4.1 Unsecured Personal Loans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Loan amount:</w:t>
      </w:r>
      <w:r>
        <w:t xml:space="preserve"> </w:t>
      </w:r>
      <w:r>
        <w:t xml:space="preserve">Minimum $1,000, maximum $100,000 per applicant.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Term:</w:t>
      </w:r>
      <w:r>
        <w:t xml:space="preserve"> </w:t>
      </w:r>
      <w:r>
        <w:t xml:space="preserve">36 or 60 months only. The PD model has been trained on these</w:t>
      </w:r>
      <w:r>
        <w:t xml:space="preserve"> </w:t>
      </w:r>
      <w:r>
        <w:t xml:space="preserve">two terms; any other term is outside the model’s validated range.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Rate:</w:t>
      </w:r>
      <w:r>
        <w:t xml:space="preserve"> </w:t>
      </w:r>
      <w:r>
        <w:t xml:space="preserve">Risk-based; Criminal Code s.347 35% APR ceiling enforced.</w:t>
      </w:r>
      <w:r>
        <w:t xml:space="preserve"> </w:t>
      </w:r>
      <w:r>
        <w:t xml:space="preserve">See §6.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Payment-to-Income:</w:t>
      </w:r>
      <w:r>
        <w:t xml:space="preserve"> </w:t>
      </w:r>
      <w:r>
        <w:t xml:space="preserve">PTI ceiling 20% of gross monthly income. Measured</w:t>
      </w:r>
      <w:r>
        <w:t xml:space="preserve"> </w:t>
      </w:r>
      <w:r>
        <w:t xml:space="preserve">on the amortizing payment at the approved APR.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Consolidation, home improvement, medical, major purchase,</w:t>
      </w:r>
      <w:r>
        <w:t xml:space="preserve"> </w:t>
      </w:r>
      <w:r>
        <w:t xml:space="preserve">debt refinance, and other lawful purposes. Excluded purposes: gambling,</w:t>
      </w:r>
      <w:r>
        <w:t xml:space="preserve"> </w:t>
      </w:r>
      <w:r>
        <w:t xml:space="preserve">investment in securities (speculative), business financing, and any purpose</w:t>
      </w:r>
      <w:r>
        <w:t xml:space="preserve"> </w:t>
      </w:r>
      <w:r>
        <w:t xml:space="preserve">inconsistent with §2.3.</w:t>
      </w:r>
    </w:p>
    <w:bookmarkEnd w:id="36"/>
    <w:bookmarkStart w:id="37" w:name="home-equity-line-of-credit-heloc"/>
    <w:p>
      <w:pPr>
        <w:pStyle w:val="Heading3"/>
      </w:pPr>
      <w:r>
        <w:t xml:space="preserve">4.2 Home Equity Line of Credit (HELOC)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Line amount:</w:t>
      </w:r>
      <w:r>
        <w:t xml:space="preserve"> </w:t>
      </w:r>
      <w:r>
        <w:t xml:space="preserve">Minimum $10,000, maximum $500,000 per property.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LTV:</w:t>
      </w:r>
      <w:r>
        <w:t xml:space="preserve"> </w:t>
      </w:r>
      <w:r>
        <w:t xml:space="preserve">Maximum 90% (OSFI B-20 aligned). Maximum combined LTV (first</w:t>
      </w:r>
      <w:r>
        <w:t xml:space="preserve"> </w:t>
      </w:r>
      <w:r>
        <w:t xml:space="preserve">mortgage + HELOC) 80%.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Term:</w:t>
      </w:r>
      <w:r>
        <w:t xml:space="preserve"> </w:t>
      </w:r>
      <w:r>
        <w:t xml:space="preserve">Not directly comparable across books; the Platform standardises</w:t>
      </w:r>
      <w:r>
        <w:t xml:space="preserve"> </w:t>
      </w:r>
      <w:r>
        <w:t xml:space="preserve">HELOC</w:t>
      </w:r>
      <w:r>
        <w:t xml:space="preserve"> </w:t>
      </w:r>
      <w:r>
        <w:rPr>
          <w:rStyle w:val="VerbatimChar"/>
        </w:rPr>
        <w:t xml:space="preserve">loan_term_months</w:t>
      </w:r>
      <w:r>
        <w:t xml:space="preserve"> </w:t>
      </w:r>
      <w:r>
        <w:t xml:space="preserve">to 36 for scoring purposes (see §8.5).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Rate:</w:t>
      </w:r>
      <w:r>
        <w:t xml:space="preserve"> </w:t>
      </w:r>
      <w:r>
        <w:t xml:space="preserve">Variable, tied to prime rate; subject to the same 35% ceiling.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Qualifying rate:</w:t>
      </w:r>
      <w:r>
        <w:t xml:space="preserve"> </w:t>
      </w:r>
      <w:r>
        <w:t xml:space="preserve">Applicant must qualify at the greater of the contract</w:t>
      </w:r>
      <w:r>
        <w:t xml:space="preserve"> </w:t>
      </w:r>
      <w:r>
        <w:t xml:space="preserve">rate + 200 bps or the OSFI benchmark qualifying rate (per B-20).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Collateral:</w:t>
      </w:r>
      <w:r>
        <w:t xml:space="preserve"> </w:t>
      </w:r>
      <w:r>
        <w:t xml:space="preserve">Property appraisal required. Acceptable properties:</w:t>
      </w:r>
      <w:r>
        <w:t xml:space="preserve"> </w:t>
      </w:r>
      <w:r>
        <w:t xml:space="preserve">owner-occupied detached, semi-detached, townhouse, condominium. Excluded:</w:t>
      </w:r>
      <w:r>
        <w:t xml:space="preserve"> </w:t>
      </w:r>
      <w:r>
        <w:t xml:space="preserve">rental properties with more than 2 units, commercial real estate, vacant</w:t>
      </w:r>
      <w:r>
        <w:t xml:space="preserve"> </w:t>
      </w:r>
      <w:r>
        <w:t xml:space="preserve">land.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override-authority"/>
    <w:p>
      <w:pPr>
        <w:pStyle w:val="Heading2"/>
      </w:pPr>
      <w:r>
        <w:t xml:space="preserve">5. Override Authority</w:t>
      </w:r>
    </w:p>
    <w:bookmarkStart w:id="39" w:name="hard-policy-overrides"/>
    <w:p>
      <w:pPr>
        <w:pStyle w:val="Heading3"/>
      </w:pPr>
      <w:r>
        <w:t xml:space="preserve">5.1 Hard Policy Overrides</w:t>
      </w:r>
    </w:p>
    <w:p>
      <w:pPr>
        <w:pStyle w:val="FirstParagraph"/>
      </w:pPr>
      <w:r>
        <w:t xml:space="preserve">Hard policy rules (§3.3) cannot be overridden by front-line underwriters.</w:t>
      </w:r>
      <w:r>
        <w:t xml:space="preserve"> </w:t>
      </w:r>
      <w:r>
        <w:t xml:space="preserve">An exception requires:</w:t>
      </w:r>
      <w:r>
        <w:t xml:space="preserve"> </w:t>
      </w:r>
      <w:r>
        <w:t xml:space="preserve">1. A documented rationale in the credit file</w:t>
      </w:r>
      <w:r>
        <w:t xml:space="preserve"> </w:t>
      </w:r>
      <w:r>
        <w:t xml:space="preserve">2. Sign-off from a Level 3 underwriter</w:t>
      </w:r>
      <w:r>
        <w:t xml:space="preserve"> </w:t>
      </w:r>
      <w:r>
        <w:t xml:space="preserve">3. CRO ratification in the monthly Credit Risk Committee exception report</w:t>
      </w:r>
      <w:r>
        <w:t xml:space="preserve"> </w:t>
      </w:r>
      <w:r>
        <w:t xml:space="preserve">4. Year-over-year reporting to the Board Risk Committee</w:t>
      </w:r>
    </w:p>
    <w:p>
      <w:pPr>
        <w:pStyle w:val="BodyText"/>
      </w:pPr>
      <w:r>
        <w:t xml:space="preserve">The following hard rules may NOT be overridden under any circumstances:</w:t>
      </w:r>
      <w:r>
        <w:t xml:space="preserve"> </w:t>
      </w:r>
      <w:r>
        <w:t xml:space="preserve">- P-01 if the applicant’s credit score &lt; 450</w:t>
      </w:r>
      <w:r>
        <w:t xml:space="preserve"> </w:t>
      </w:r>
      <w:r>
        <w:t xml:space="preserve">- P-05 (HELOC LTV &gt; 90%) — absolute regulatory limit</w:t>
      </w:r>
      <w:r>
        <w:t xml:space="preserve"> </w:t>
      </w:r>
      <w:r>
        <w:t xml:space="preserve">- Any Gate 1 (Fraud) decline at CONFIRMED alert tier</w:t>
      </w:r>
    </w:p>
    <w:bookmarkEnd w:id="39"/>
    <w:bookmarkStart w:id="40" w:name="model-decision-overrides"/>
    <w:p>
      <w:pPr>
        <w:pStyle w:val="Heading3"/>
      </w:pPr>
      <w:r>
        <w:t xml:space="preserve">5.2 Model Decision Overrides</w:t>
      </w:r>
    </w:p>
    <w:p>
      <w:pPr>
        <w:pStyle w:val="FirstParagraph"/>
      </w:pPr>
      <w:r>
        <w:t xml:space="preserve">A credit analyst may override a Platform APPROVE decision to DECLINE for</w:t>
      </w:r>
      <w:r>
        <w:t xml:space="preserve"> </w:t>
      </w:r>
      <w:r>
        <w:t xml:space="preserve">cause, or override a REFER/DECLINE_CREDIT decision to APPROVE based on</w:t>
      </w:r>
      <w:r>
        <w:t xml:space="preserve"> </w:t>
      </w:r>
      <w:r>
        <w:t xml:space="preserve">documented compensating factors. Overrides are logged in the decision audit</w:t>
      </w:r>
      <w:r>
        <w:t xml:space="preserve"> </w:t>
      </w:r>
      <w:r>
        <w:t xml:space="preserve">trail with analyst ID, timestamp, rationale, and authority level.</w:t>
      </w:r>
    </w:p>
    <w:p>
      <w:pPr>
        <w:pStyle w:val="BodyText"/>
      </w:pPr>
      <w:r>
        <w:rPr>
          <w:bCs/>
          <w:b/>
        </w:rPr>
        <w:t xml:space="preserve">Override monitoring:</w:t>
      </w:r>
      <w:r>
        <w:t xml:space="preserve"> </w:t>
      </w:r>
      <w:r>
        <w:t xml:space="preserve">The monthly Credit Risk Committee report tracks</w:t>
      </w:r>
      <w:r>
        <w:t xml:space="preserve"> </w:t>
      </w:r>
      <w:r>
        <w:t xml:space="preserve">override rates by analyst, by tier, and by direction. Override rates above</w:t>
      </w:r>
      <w:r>
        <w:t xml:space="preserve"> </w:t>
      </w:r>
      <w:r>
        <w:t xml:space="preserve">15% for any single analyst trigger a calibration review.</w:t>
      </w:r>
    </w:p>
    <w:bookmarkEnd w:id="40"/>
    <w:bookmarkStart w:id="41" w:name="pricing-overrides"/>
    <w:p>
      <w:pPr>
        <w:pStyle w:val="Heading3"/>
      </w:pPr>
      <w:r>
        <w:t xml:space="preserve">5.3 Pricing Overrides</w:t>
      </w:r>
    </w:p>
    <w:p>
      <w:pPr>
        <w:pStyle w:val="FirstParagraph"/>
      </w:pPr>
      <w:r>
        <w:t xml:space="preserve">An APR below the Platform’s recommended risk-based rate requires:</w:t>
      </w:r>
      <w:r>
        <w:t xml:space="preserve"> </w:t>
      </w:r>
      <w:r>
        <w:t xml:space="preserve">1. Documented strategic rationale (relationship pricing, acquisition campaign,</w:t>
      </w:r>
      <w:r>
        <w:t xml:space="preserve"> </w:t>
      </w:r>
      <w:r>
        <w:t xml:space="preserve">etc.)</w:t>
      </w:r>
      <w:r>
        <w:t xml:space="preserve"> </w:t>
      </w:r>
      <w:r>
        <w:t xml:space="preserve">2. Level 3 authorization</w:t>
      </w:r>
      <w:r>
        <w:t xml:space="preserve"> </w:t>
      </w:r>
      <w:r>
        <w:t xml:space="preserve">3. Inclusion in the monthly concession-pricing report</w:t>
      </w:r>
    </w:p>
    <w:p>
      <w:pPr>
        <w:pStyle w:val="BodyText"/>
      </w:pPr>
      <w:r>
        <w:t xml:space="preserve">An APR above the Platform’s recommended rate is NOT permitted — the risk-based</w:t>
      </w:r>
      <w:r>
        <w:t xml:space="preserve"> </w:t>
      </w:r>
      <w:r>
        <w:t xml:space="preserve">recommendation already represents the maximum defensible rate under the</w:t>
      </w:r>
      <w:r>
        <w:t xml:space="preserve"> </w:t>
      </w:r>
      <w:r>
        <w:t xml:space="preserve">CoF + EL + OpEx + ROE construction.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risk-based-pricing"/>
    <w:p>
      <w:pPr>
        <w:pStyle w:val="Heading2"/>
      </w:pPr>
      <w:r>
        <w:t xml:space="preserve">6. Risk-Based Pricing</w:t>
      </w:r>
    </w:p>
    <w:bookmarkStart w:id="43" w:name="rate-construction"/>
    <w:p>
      <w:pPr>
        <w:pStyle w:val="Heading3"/>
      </w:pPr>
      <w:r>
        <w:t xml:space="preserve">6.1 Rate Construction</w:t>
      </w:r>
    </w:p>
    <w:p>
      <w:pPr>
        <w:pStyle w:val="FirstParagraph"/>
      </w:pPr>
      <w:r>
        <w:t xml:space="preserve">The Platform computes the recommended APR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APR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CoF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EL rate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OpEx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ROE target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Collateral adjustment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 </m:t>
              </m:r>
              <m:r>
                <m:t>35</m:t>
              </m:r>
              <m:r>
                <m:rPr>
                  <m:sty m:val="p"/>
                </m:rPr>
                <m:t>%</m:t>
              </m:r>
            </m:e>
          </m:d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CoF</w:t>
      </w:r>
      <w:r>
        <w:t xml:space="preserve"> </w:t>
      </w:r>
      <w:r>
        <w:t xml:space="preserve">(Cost of Funds) is published weekly by Treasury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 rate</w:t>
      </w:r>
      <w:r>
        <w:t xml:space="preserve"> </w:t>
      </w:r>
      <w:r>
        <w:t xml:space="preserve">= PD × LGD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OpEx</w:t>
      </w:r>
      <w:r>
        <w:t xml:space="preserve"> </w:t>
      </w:r>
      <w:r>
        <w:t xml:space="preserve">= 1.5% (approved institutional assumption, reviewed annually)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ROE target</w:t>
      </w:r>
      <w:r>
        <w:t xml:space="preserve"> </w:t>
      </w:r>
      <w:r>
        <w:t xml:space="preserve">= 2.0% (approved institutional assumption, reviewed annually)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Collateral adjustment</w:t>
      </w:r>
      <w:r>
        <w:t xml:space="preserve"> </w:t>
      </w:r>
      <w:r>
        <w:t xml:space="preserve">(HELOC only): -0.5 bps per 10 percentage points</w:t>
      </w:r>
      <w:r>
        <w:t xml:space="preserve"> </w:t>
      </w:r>
      <w:r>
        <w:t xml:space="preserve">of LTV below 80%, capped at -200 bps</w:t>
      </w:r>
    </w:p>
    <w:bookmarkEnd w:id="43"/>
    <w:bookmarkStart w:id="44" w:name="criminal-code-compliance"/>
    <w:p>
      <w:pPr>
        <w:pStyle w:val="Heading3"/>
      </w:pPr>
      <w:r>
        <w:t xml:space="preserve">6.2 Criminal Code Compliance</w:t>
      </w:r>
    </w:p>
    <w:p>
      <w:pPr>
        <w:pStyle w:val="FirstParagraph"/>
      </w:pPr>
      <w:r>
        <w:t xml:space="preserve">Under Section 347 of the Criminal Code of Canada (effective January 2025),</w:t>
      </w:r>
      <w:r>
        <w:t xml:space="preserve"> </w:t>
      </w:r>
      <w:r>
        <w:t xml:space="preserve">the effective annual rate (including fees) may not exceed 35%. The Platform</w:t>
      </w:r>
      <w:r>
        <w:t xml:space="preserve"> </w:t>
      </w:r>
      <w:r>
        <w:t xml:space="preserve">applies this cap at the APR construction step and flags all tier-E applications</w:t>
      </w:r>
      <w:r>
        <w:t xml:space="preserve"> </w:t>
      </w:r>
      <w:r>
        <w:t xml:space="preserve">that require the cap.</w:t>
      </w:r>
    </w:p>
    <w:p>
      <w:pPr>
        <w:pStyle w:val="BodyText"/>
      </w:pPr>
      <w:r>
        <w:rPr>
          <w:bCs/>
          <w:b/>
        </w:rPr>
        <w:t xml:space="preserve">Operational consequence of the cap:</w:t>
      </w:r>
      <w:r>
        <w:t xml:space="preserve"> </w:t>
      </w:r>
      <w:r>
        <w:t xml:space="preserve">Tier E applicants whose uncapped</w:t>
      </w:r>
      <w:r>
        <w:t xml:space="preserve"> </w:t>
      </w:r>
      <w:r>
        <w:t xml:space="preserve">rate exceeds 35% must be DECLINED rather than approved at the capped rate.</w:t>
      </w:r>
      <w:r>
        <w:t xml:space="preserve"> </w:t>
      </w:r>
      <w:r>
        <w:t xml:space="preserve">This is because the capped rate does not cover expected loss plus operating</w:t>
      </w:r>
      <w:r>
        <w:t xml:space="preserve"> </w:t>
      </w:r>
      <w:r>
        <w:t xml:space="preserve">costs, rendering the loan unprofitable and indirectly incentivizing risky</w:t>
      </w:r>
      <w:r>
        <w:t xml:space="preserve"> </w:t>
      </w:r>
      <w:r>
        <w:t xml:space="preserve">origination. The Platform Tab 5 (Risk-Based Pricing) documents this</w:t>
      </w:r>
      <w:r>
        <w:t xml:space="preserve"> </w:t>
      </w:r>
      <w:r>
        <w:t xml:space="preserve">mechanism explicitly.</w:t>
      </w:r>
    </w:p>
    <w:bookmarkEnd w:id="44"/>
    <w:bookmarkStart w:id="45" w:name="pricing-committee-review"/>
    <w:p>
      <w:pPr>
        <w:pStyle w:val="Heading3"/>
      </w:pPr>
      <w:r>
        <w:t xml:space="preserve">6.3 Pricing Committee Review</w:t>
      </w:r>
    </w:p>
    <w:p>
      <w:pPr>
        <w:pStyle w:val="FirstParagraph"/>
      </w:pPr>
      <w:r>
        <w:t xml:space="preserve">The Pricing Committee reviews the rate schedule quarterly to incorporate:</w:t>
      </w:r>
      <w:r>
        <w:t xml:space="preserve"> </w:t>
      </w:r>
      <w:r>
        <w:t xml:space="preserve">- Updated Treasury CoF</w:t>
      </w:r>
      <w:r>
        <w:t xml:space="preserve"> </w:t>
      </w:r>
      <w:r>
        <w:t xml:space="preserve">- Portfolio-derived tier mid-PDs (not hardcoded; the Platform re-computes</w:t>
      </w:r>
      <w:r>
        <w:t xml:space="preserve"> </w:t>
      </w:r>
      <w:r>
        <w:t xml:space="preserve">these each run)</w:t>
      </w:r>
      <w:r>
        <w:t xml:space="preserve"> </w:t>
      </w:r>
      <w:r>
        <w:t xml:space="preserve">- Competitive benchmarks (Tab 5 shows six Canadian lender segments)</w:t>
      </w:r>
      <w:r>
        <w:t xml:space="preserve"> </w:t>
      </w:r>
      <w:r>
        <w:t xml:space="preserve">- Cost-of-funds sensitivity analysis (Tab 5 Section 5)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apital-provisioning-and-stress-testing"/>
    <w:p>
      <w:pPr>
        <w:pStyle w:val="Heading2"/>
      </w:pPr>
      <w:r>
        <w:t xml:space="preserve">7. Capital, Provisioning, and Stress Testing</w:t>
      </w:r>
    </w:p>
    <w:bookmarkStart w:id="47" w:name="basel-iii-irb-capital"/>
    <w:p>
      <w:pPr>
        <w:pStyle w:val="Heading3"/>
      </w:pPr>
      <w:r>
        <w:t xml:space="preserve">7.1 Basel III IRB Capital</w:t>
      </w:r>
    </w:p>
    <w:p>
      <w:pPr>
        <w:pStyle w:val="FirstParagraph"/>
      </w:pPr>
      <w:r>
        <w:t xml:space="preserve">The Platform implements the Internal Ratings-Based (IRB) approach: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LGD</m:t>
          </m:r>
          <m:r>
            <m:rPr>
              <m:sty m:val="p"/>
            </m:rPr>
            <m:t>⋅</m:t>
          </m:r>
          <m:r>
            <m:t>N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PD</m:t>
                      </m:r>
                    </m:e>
                  </m: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R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</m:den>
                  </m:f>
                </m:e>
              </m:rad>
              <m:r>
                <m:rPr>
                  <m:sty m:val="p"/>
                </m:rPr>
                <m:t>⋅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0.999</m:t>
                  </m:r>
                </m:e>
              </m:d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PD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LGD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RWA</m:t>
          </m:r>
          <m:r>
            <m:rPr>
              <m:sty m:val="p"/>
            </m:rPr>
            <m:t>=</m:t>
          </m:r>
          <m:r>
            <m:t>12.5</m:t>
          </m:r>
          <m:r>
            <m:rPr>
              <m:sty m:val="p"/>
            </m:rPr>
            <m:t>⋅</m:t>
          </m:r>
          <m:r>
            <m:t>K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EAD</m:t>
          </m:r>
        </m:oMath>
      </m:oMathPara>
    </w:p>
    <w:p>
      <w:pPr>
        <w:pStyle w:val="FirstParagraph"/>
      </w:pPr>
      <w:r>
        <w:t xml:space="preserve">Where R is the per-product asset correlation, N is the standard normal CDF,</w:t>
      </w:r>
      <w:r>
        <w:t xml:space="preserve"> </w:t>
      </w:r>
      <w:r>
        <w:t xml:space="preserve">and G is its inverse. Capital is computed at the 99.9th percentile — sufficient</w:t>
      </w:r>
      <w:r>
        <w:t xml:space="preserve"> </w:t>
      </w:r>
      <w:r>
        <w:t xml:space="preserve">to survive all but a 1-in-1000 year loss event.</w:t>
      </w:r>
    </w:p>
    <w:p>
      <w:pPr>
        <w:pStyle w:val="BodyText"/>
      </w:pPr>
      <w:r>
        <w:rPr>
          <w:bCs/>
          <w:b/>
        </w:rPr>
        <w:t xml:space="preserve">Reported Capital Adequacy Ratio (CAR):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CAR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Available CET1 Capital</m:t>
              </m:r>
            </m:num>
            <m:den>
              <m:r>
                <m:rPr>
                  <m:nor/>
                  <m:sty m:val="p"/>
                </m:rPr>
                <m:t>Total RWA</m:t>
              </m:r>
            </m:den>
          </m:f>
        </m:oMath>
      </m:oMathPara>
    </w:p>
    <w:p>
      <w:pPr>
        <w:pStyle w:val="FirstParagraph"/>
      </w:pPr>
      <w:r>
        <w:t xml:space="preserve">The OSFI Pillar 1 minimum is 8%. The institution’s internal D-SIB-equivalent</w:t>
      </w:r>
      <w:r>
        <w:t xml:space="preserve"> </w:t>
      </w:r>
      <w:r>
        <w:t xml:space="preserve">CET1 target is 11.5%, plus the 2.5% Capital Conservation Buffer.</w:t>
      </w:r>
    </w:p>
    <w:p>
      <w:pPr>
        <w:pStyle w:val="BodyText"/>
      </w:pPr>
      <w:r>
        <w:rPr>
          <w:bCs/>
          <w:b/>
        </w:rPr>
        <w:t xml:space="preserve">In the Platform demonstration</w:t>
      </w:r>
      <w:r>
        <w:t xml:space="preserve">, available capital is assumed to be 11.5% ×</w:t>
      </w:r>
      <w:r>
        <w:t xml:space="preserve"> </w:t>
      </w:r>
      <w:r>
        <w:t xml:space="preserve">RWA (matching the internal target); in production the numerator comes from</w:t>
      </w:r>
      <w:r>
        <w:t xml:space="preserve"> </w:t>
      </w:r>
      <w:r>
        <w:t xml:space="preserve">the booked CET1 balance in the OSFI return.</w:t>
      </w:r>
    </w:p>
    <w:bookmarkEnd w:id="47"/>
    <w:bookmarkStart w:id="48" w:name="ifrs-9-expected-credit-loss"/>
    <w:p>
      <w:pPr>
        <w:pStyle w:val="Heading3"/>
      </w:pPr>
      <w:r>
        <w:t xml:space="preserve">7.2 IFRS 9 Expected Credit Loss</w:t>
      </w:r>
    </w:p>
    <w:p>
      <w:pPr>
        <w:pStyle w:val="FirstParagraph"/>
      </w:pPr>
      <w:r>
        <w:t xml:space="preserve">The Platform computes ECL provisions per the three-stage model: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Stage 1 (Performing)</w:t>
      </w:r>
      <w:r>
        <w:t xml:space="preserve">: 12-month ECL = PD × LGD × EAD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Stage 2 (Significant Increase in Credit Risk)</w:t>
      </w:r>
      <w:r>
        <w:t xml:space="preserve">: Lifetime ECL on a</w:t>
      </w:r>
      <w:r>
        <w:t xml:space="preserve"> </w:t>
      </w:r>
      <w:r>
        <w:t xml:space="preserve">discounted cash flow basis, using the effective interest rate at origination</w:t>
      </w:r>
      <w:r>
        <w:t xml:space="preserve"> </w:t>
      </w:r>
      <w:r>
        <w:t xml:space="preserve">and the monthly PD curve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Stage 3 (Impaired)</w:t>
      </w:r>
      <w:r>
        <w:t xml:space="preserve">: Lifetime ECL, typically 40-80% coverage of EAD</w:t>
      </w:r>
    </w:p>
    <w:p>
      <w:pPr>
        <w:pStyle w:val="FirstParagraph"/>
      </w:pPr>
      <w:r>
        <w:rPr>
          <w:bCs/>
          <w:b/>
        </w:rPr>
        <w:t xml:space="preserve">Staging triggers: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Stage 2 triggers</w:t>
      </w:r>
      <w:r>
        <w:t xml:space="preserve"> </w:t>
      </w:r>
      <w:r>
        <w:t xml:space="preserve">(any one is sufficient): PD has increased &gt; 20% from</w:t>
      </w:r>
      <w:r>
        <w:t xml:space="preserve"> </w:t>
      </w:r>
      <w:r>
        <w:t xml:space="preserve">origination; credit score has dropped 30+ points; 30+ days past due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Stage 3 triggers</w:t>
      </w:r>
      <w:r>
        <w:t xml:space="preserve">: PD ≥ 70%; 90+ days past due; bankruptcy filing;</w:t>
      </w:r>
      <w:r>
        <w:t xml:space="preserve"> </w:t>
      </w:r>
      <w:r>
        <w:t xml:space="preserve">unlikeliness to pay determination</w:t>
      </w:r>
    </w:p>
    <w:p>
      <w:pPr>
        <w:pStyle w:val="BodyText"/>
      </w:pPr>
      <w:r>
        <w:rPr>
          <w:bCs/>
          <w:b/>
        </w:rPr>
        <w:t xml:space="preserve">Origination PD proxy</w:t>
      </w:r>
      <w:r>
        <w:t xml:space="preserve"> </w:t>
      </w:r>
      <w:r>
        <w:t xml:space="preserve">— for historical cohorts where booked-at-origination</w:t>
      </w:r>
      <w:r>
        <w:t xml:space="preserve"> </w:t>
      </w:r>
      <w:r>
        <w:t xml:space="preserve">PD is unavailable, the Platform uses LendingClub grade as a proxy (A=4%,</w:t>
      </w:r>
      <w:r>
        <w:t xml:space="preserve"> </w:t>
      </w:r>
      <w:r>
        <w:t xml:space="preserve">B=8%, C=13%, D=20%, E=28%, F=35%, G=40%). This is documented as a known</w:t>
      </w:r>
      <w:r>
        <w:t xml:space="preserve"> </w:t>
      </w:r>
      <w:r>
        <w:t xml:space="preserve">limitation (see §8.3). In a production setting, origination PD must come</w:t>
      </w:r>
      <w:r>
        <w:t xml:space="preserve"> </w:t>
      </w:r>
      <w:r>
        <w:t xml:space="preserve">from the Loan Origination System at the time of booking (per IFRS 9 ¶5.5.11).</w:t>
      </w:r>
    </w:p>
    <w:bookmarkEnd w:id="48"/>
    <w:bookmarkStart w:id="49" w:name="macroeconomic-stress-testing"/>
    <w:p>
      <w:pPr>
        <w:pStyle w:val="Heading3"/>
      </w:pPr>
      <w:r>
        <w:t xml:space="preserve">7.3 Macroeconomic Stress Testing</w:t>
      </w:r>
    </w:p>
    <w:p>
      <w:pPr>
        <w:pStyle w:val="FirstParagraph"/>
      </w:pPr>
      <w:r>
        <w:t xml:space="preserve">Three scenarios are run quarterly or when OSFI provides updated scenarios: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1237"/>
        <w:gridCol w:w="1320"/>
        <w:gridCol w:w="3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 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LGD 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Continuation of current macro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Adverse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recession — plausible downside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recession — 2008-09 magnitude tail risk</w:t>
            </w:r>
          </w:p>
        </w:tc>
      </w:tr>
    </w:tbl>
    <w:p>
      <w:pPr>
        <w:pStyle w:val="BodyText"/>
      </w:pPr>
      <w:r>
        <w:rPr>
          <w:bCs/>
          <w:b/>
        </w:rPr>
        <w:t xml:space="preserve">Known simplification:</w:t>
      </w:r>
      <w:r>
        <w:t xml:space="preserve"> </w:t>
      </w:r>
      <w:r>
        <w:t xml:space="preserve">the v1.0 implementation holds LGD constant across</w:t>
      </w:r>
      <w:r>
        <w:t xml:space="preserve"> </w:t>
      </w:r>
      <w:r>
        <w:t xml:space="preserve">scenarios. For HELOC specifically, a 2008-style house price shock (-25% to</w:t>
      </w:r>
      <w:r>
        <w:t xml:space="preserve"> </w:t>
      </w:r>
      <w:r>
        <w:t xml:space="preserve">-35%) would raise HELOC LGD from ~30% to 50-60% per Freddie Mac historical</w:t>
      </w:r>
      <w:r>
        <w:t xml:space="preserve"> </w:t>
      </w:r>
      <w:r>
        <w:t xml:space="preserve">data. This is documented in the Model Card and flagged for v1.2 enhancement.</w:t>
      </w:r>
    </w:p>
    <w:p>
      <w:pPr>
        <w:pStyle w:val="BodyText"/>
      </w:pPr>
      <w:r>
        <w:rPr>
          <w:bCs/>
          <w:b/>
        </w:rPr>
        <w:t xml:space="preserve">Severe-scenario capital shortfall reporting:</w:t>
      </w:r>
      <w:r>
        <w:t xml:space="preserve"> </w:t>
      </w:r>
      <w:r>
        <w:t xml:space="preserve">If the severe scenario</w:t>
      </w:r>
      <w:r>
        <w:t xml:space="preserve"> </w:t>
      </w:r>
      <w:r>
        <w:t xml:space="preserve">implies required capital exceeds available capital at the 11.5% CET1 target,</w:t>
      </w:r>
      <w:r>
        <w:t xml:space="preserve"> </w:t>
      </w:r>
      <w:r>
        <w:t xml:space="preserve">the Platform generates a Capital Shortfall report for the CRO, triggering</w:t>
      </w:r>
      <w:r>
        <w:t xml:space="preserve"> </w:t>
      </w:r>
      <w:r>
        <w:t xml:space="preserve">one of three actions: (a) capital raise, (b) portfolio reduction, or (c)</w:t>
      </w:r>
      <w:r>
        <w:t xml:space="preserve"> </w:t>
      </w:r>
      <w:r>
        <w:t xml:space="preserve">risk appetite adjustment. OSFI is notified per the Institution’s supervisory</w:t>
      </w:r>
      <w:r>
        <w:t xml:space="preserve"> </w:t>
      </w:r>
      <w:r>
        <w:t xml:space="preserve">relationship protocol.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model-governance"/>
    <w:p>
      <w:pPr>
        <w:pStyle w:val="Heading2"/>
      </w:pPr>
      <w:r>
        <w:t xml:space="preserve">8. Model Governance</w:t>
      </w:r>
    </w:p>
    <w:bookmarkStart w:id="51" w:name="approved-models"/>
    <w:p>
      <w:pPr>
        <w:pStyle w:val="Heading3"/>
      </w:pPr>
      <w:r>
        <w:t xml:space="preserve">8.1 Approved Models</w:t>
      </w:r>
    </w:p>
    <w:p>
      <w:pPr>
        <w:pStyle w:val="FirstParagraph"/>
      </w:pPr>
      <w:r>
        <w:t xml:space="preserve">Under OSFI E-23, only models with a current approved Model Card (see</w:t>
      </w:r>
      <w:r>
        <w:t xml:space="preserve"> </w:t>
      </w:r>
      <w:r>
        <w:t xml:space="preserve">MODEL_CARD.md) may be used for decisioning. As of the Effective Date, the</w:t>
      </w:r>
      <w:r>
        <w:t xml:space="preserve"> </w:t>
      </w:r>
      <w:r>
        <w:t xml:space="preserve">approved models are: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74"/>
        <w:gridCol w:w="3727"/>
        <w:gridCol w:w="1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 XGBoost (v1.0 unified)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PD decisioning, cross-product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 Scorecard (v1.0 logistic)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/ explanation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 XGBoost Segmented (v1.1)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Per-product monitoring, challenger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LGD Regression (v1.0)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LGD estimation for EL and RWA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 XGBoost (v1.0)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Pre-approval fraud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Champion</w:t>
            </w:r>
          </w:p>
        </w:tc>
      </w:tr>
    </w:tbl>
    <w:bookmarkEnd w:id="51"/>
    <w:bookmarkStart w:id="52" w:name="champion-challenger-framework"/>
    <w:p>
      <w:pPr>
        <w:pStyle w:val="Heading3"/>
      </w:pPr>
      <w:r>
        <w:t xml:space="preserve">8.2 Champion / Challenger Framework</w:t>
      </w:r>
    </w:p>
    <w:p>
      <w:pPr>
        <w:pStyle w:val="FirstParagraph"/>
      </w:pPr>
      <w:r>
        <w:t xml:space="preserve">The v1.1 per-product segmented PD models run in parallel with the v1.0</w:t>
      </w:r>
      <w:r>
        <w:t xml:space="preserve"> </w:t>
      </w:r>
      <w:r>
        <w:t xml:space="preserve">unified champion, generating shadow scores for every application. The</w:t>
      </w:r>
      <w:r>
        <w:t xml:space="preserve"> </w:t>
      </w:r>
      <w:r>
        <w:t xml:space="preserve">Model Risk Management team produces a monthly divergence report. A challenger</w:t>
      </w:r>
      <w:r>
        <w:t xml:space="preserve"> </w:t>
      </w:r>
      <w:r>
        <w:t xml:space="preserve">is eligible for promotion to champion if all of the following are true for</w:t>
      </w:r>
      <w:r>
        <w:t xml:space="preserve"> </w:t>
      </w:r>
      <w:r>
        <w:t xml:space="preserve">two consecutive quarters:</w:t>
      </w:r>
    </w:p>
    <w:p>
      <w:pPr>
        <w:numPr>
          <w:ilvl w:val="0"/>
          <w:numId w:val="1007"/>
        </w:numPr>
        <w:pStyle w:val="Compact"/>
      </w:pPr>
      <w:r>
        <w:t xml:space="preserve">AUC on OOT test data is at least 0.02 absolute AUC above the champion</w:t>
      </w:r>
    </w:p>
    <w:p>
      <w:pPr>
        <w:numPr>
          <w:ilvl w:val="0"/>
          <w:numId w:val="1007"/>
        </w:numPr>
        <w:pStyle w:val="Compact"/>
      </w:pPr>
      <w:r>
        <w:t xml:space="preserve">Calibration gap is within ± 2 percentage points</w:t>
      </w:r>
    </w:p>
    <w:p>
      <w:pPr>
        <w:numPr>
          <w:ilvl w:val="0"/>
          <w:numId w:val="1007"/>
        </w:numPr>
        <w:pStyle w:val="Compact"/>
      </w:pPr>
      <w:r>
        <w:t xml:space="preserve">Fairness metrics across the five monitored segments do not show material</w:t>
      </w:r>
      <w:r>
        <w:t xml:space="preserve"> </w:t>
      </w:r>
      <w:r>
        <w:t xml:space="preserve">deterioration</w:t>
      </w:r>
    </w:p>
    <w:p>
      <w:pPr>
        <w:numPr>
          <w:ilvl w:val="0"/>
          <w:numId w:val="1007"/>
        </w:numPr>
        <w:pStyle w:val="Compact"/>
      </w:pPr>
      <w:r>
        <w:t xml:space="preserve">No policy or regulatory conflict is introduced</w:t>
      </w:r>
    </w:p>
    <w:p>
      <w:pPr>
        <w:pStyle w:val="FirstParagraph"/>
      </w:pPr>
      <w:r>
        <w:t xml:space="preserve">Promotion requires CRO approval and Credit Risk Committee ratification.</w:t>
      </w:r>
    </w:p>
    <w:bookmarkEnd w:id="52"/>
    <w:bookmarkStart w:id="53" w:name="monitoring-and-retraining-triggers"/>
    <w:p>
      <w:pPr>
        <w:pStyle w:val="Heading3"/>
      </w:pPr>
      <w:r>
        <w:t xml:space="preserve">8.3 Monitoring and Retraining Triggers</w:t>
      </w:r>
    </w:p>
    <w:p>
      <w:pPr>
        <w:pStyle w:val="FirstParagraph"/>
      </w:pPr>
      <w:r>
        <w:t xml:space="preserve">The Platform runs monthly monitoring (Tab 3, Section 8 — Feature Stability).</w:t>
      </w:r>
      <w:r>
        <w:t xml:space="preserve"> </w:t>
      </w:r>
      <w:r>
        <w:t xml:space="preserve">Per OSFI E-23, a model must be reviewed if the Population Stability Index</w:t>
      </w:r>
      <w:r>
        <w:t xml:space="preserve"> </w:t>
      </w:r>
      <w:r>
        <w:t xml:space="preserve">(PSI) exceeds 0.25 on the model score or on any input feature. A full</w:t>
      </w:r>
      <w:r>
        <w:t xml:space="preserve"> </w:t>
      </w:r>
      <w:r>
        <w:t xml:space="preserve">model review is triggered, with a 90-day window to document findings and a</w:t>
      </w:r>
      <w:r>
        <w:t xml:space="preserve"> </w:t>
      </w:r>
      <w:r>
        <w:t xml:space="preserve">recommendation (retrain, retire, no action).</w:t>
      </w:r>
    </w:p>
    <w:p>
      <w:pPr>
        <w:pStyle w:val="BodyText"/>
      </w:pPr>
      <w:r>
        <w:t xml:space="preserve">Automatic retraining is NOT permitted without model governance sign-off.</w:t>
      </w:r>
    </w:p>
    <w:bookmarkEnd w:id="53"/>
    <w:bookmarkStart w:id="54" w:name="fair-lending-compliance"/>
    <w:p>
      <w:pPr>
        <w:pStyle w:val="Heading3"/>
      </w:pPr>
      <w:r>
        <w:t xml:space="preserve">8.4 Fair Lending Compliance</w:t>
      </w:r>
    </w:p>
    <w:p>
      <w:pPr>
        <w:pStyle w:val="FirstParagraph"/>
      </w:pPr>
      <w:r>
        <w:t xml:space="preserve">The Platform includes a fairness-audit view (Tab 3, Section 9) using</w:t>
      </w:r>
      <w:r>
        <w:t xml:space="preserve"> </w:t>
      </w:r>
      <w:r>
        <w:t xml:space="preserve">demographic parity (approval-rate gap) and equalized odds (TPR/FPR gap)</w:t>
      </w:r>
      <w:r>
        <w:t xml:space="preserve"> </w:t>
      </w:r>
      <w:r>
        <w:t xml:space="preserve">across five operationally-available segments: loan purpose, home ownership,</w:t>
      </w:r>
      <w:r>
        <w:t xml:space="preserve"> </w:t>
      </w:r>
      <w:r>
        <w:t xml:space="preserve">LendingClub grade, product type, and income verification status. The EEOC</w:t>
      </w:r>
      <w:r>
        <w:t xml:space="preserve"> </w:t>
      </w:r>
      <w:r>
        <w:t xml:space="preserve">four-fifths rule is used as the primary disparity threshold.</w:t>
      </w:r>
    </w:p>
    <w:p>
      <w:pPr>
        <w:pStyle w:val="BodyText"/>
      </w:pPr>
      <w:r>
        <w:rPr>
          <w:bCs/>
          <w:b/>
        </w:rPr>
        <w:t xml:space="preserve">Scope limitation:</w:t>
      </w:r>
      <w:r>
        <w:t xml:space="preserve"> </w:t>
      </w:r>
      <w:r>
        <w:t xml:space="preserve">This fairness audit is exploratory and</w:t>
      </w:r>
      <w:r>
        <w:t xml:space="preserve"> </w:t>
      </w:r>
      <w:r>
        <w:t xml:space="preserve">monitoring-oriented. It is NOT a full protected-class disparate impact</w:t>
      </w:r>
      <w:r>
        <w:t xml:space="preserve"> </w:t>
      </w:r>
      <w:r>
        <w:t xml:space="preserve">analysis — public datasets do not contain race, gender, or national origin</w:t>
      </w:r>
      <w:r>
        <w:t xml:space="preserve"> </w:t>
      </w:r>
      <w:r>
        <w:t xml:space="preserve">proxies. Before the Platform is used in production, a proxy-based disparate</w:t>
      </w:r>
      <w:r>
        <w:t xml:space="preserve"> </w:t>
      </w:r>
      <w:r>
        <w:t xml:space="preserve">impact analysis must be commissioned from a qualified compliance consultant,</w:t>
      </w:r>
      <w:r>
        <w:t xml:space="preserve"> </w:t>
      </w:r>
      <w:r>
        <w:t xml:space="preserve">and all findings must be addressed.</w:t>
      </w:r>
    </w:p>
    <w:bookmarkEnd w:id="54"/>
    <w:bookmarkStart w:id="55" w:name="known-limitations-requiring-disclosure"/>
    <w:p>
      <w:pPr>
        <w:pStyle w:val="Heading3"/>
      </w:pPr>
      <w:r>
        <w:t xml:space="preserve">8.5 Known Limitations Requiring Disclosure</w:t>
      </w:r>
    </w:p>
    <w:p>
      <w:pPr>
        <w:pStyle w:val="FirstParagraph"/>
      </w:pPr>
      <w:r>
        <w:t xml:space="preserve">The following limitations must be disclosed in any model validation report,</w:t>
      </w:r>
      <w:r>
        <w:t xml:space="preserve"> </w:t>
      </w:r>
      <w:r>
        <w:t xml:space="preserve">OSFI submission, or external examiner engagement: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Training data is US-origin (LendingClub).</w:t>
      </w:r>
      <w:r>
        <w:t xml:space="preserve"> </w:t>
      </w:r>
      <w:r>
        <w:t xml:space="preserve">Canadian market</w:t>
      </w:r>
      <w:r>
        <w:t xml:space="preserve"> </w:t>
      </w:r>
      <w:r>
        <w:t xml:space="preserve">dynamics may differ.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HELOC-specific features are synthetic proxies</w:t>
      </w:r>
      <w:r>
        <w:t xml:space="preserve"> </w:t>
      </w:r>
      <w:r>
        <w:t xml:space="preserve">(income, LTV,</w:t>
      </w:r>
      <w:r>
        <w:t xml:space="preserve"> </w:t>
      </w:r>
      <w:r>
        <w:t xml:space="preserve">DTI) engineered from bureau data.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Reject inference applied via augmentation method.</w:t>
      </w:r>
      <w:r>
        <w:t xml:space="preserve"> </w:t>
      </w:r>
      <w:r>
        <w:t xml:space="preserve">Not a</w:t>
      </w:r>
      <w:r>
        <w:t xml:space="preserve"> </w:t>
      </w:r>
      <w:r>
        <w:t xml:space="preserve">behavioural override.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 forward-looking macro in the PD model itself.</w:t>
      </w:r>
      <w:r>
        <w:t xml:space="preserve"> </w:t>
      </w:r>
      <w:r>
        <w:t xml:space="preserve">Macro is</w:t>
      </w:r>
      <w:r>
        <w:t xml:space="preserve"> </w:t>
      </w:r>
      <w:r>
        <w:t xml:space="preserve">handled separately via PIT→TTC conversion and stress multipliers.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Performance metrics reflect the proxy-adjusted data.</w:t>
      </w:r>
      <w:r>
        <w:t xml:space="preserve"> </w:t>
      </w:r>
      <w:r>
        <w:t xml:space="preserve">Re-validation</w:t>
      </w:r>
      <w:r>
        <w:t xml:space="preserve"> </w:t>
      </w:r>
      <w:r>
        <w:t xml:space="preserve">required on a real production portfolio.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loan_term_months</w:t>
      </w:r>
      <w:r>
        <w:rPr>
          <w:bCs/>
          <w:b/>
        </w:rPr>
        <w:t xml:space="preserve"> </w:t>
      </w:r>
      <w:r>
        <w:rPr>
          <w:bCs/>
          <w:b/>
        </w:rPr>
        <w:t xml:space="preserve">is a product-type proxy</w:t>
      </w:r>
      <w:r>
        <w:t xml:space="preserve"> </w:t>
      </w:r>
      <w:r>
        <w:t xml:space="preserve">in the v1.0 unified</w:t>
      </w:r>
      <w:r>
        <w:t xml:space="preserve"> </w:t>
      </w:r>
      <w:r>
        <w:t xml:space="preserve">model. Neutralized at scoring time for HELOC (standardised to 36);</w:t>
      </w:r>
      <w:r>
        <w:t xml:space="preserve"> </w:t>
      </w:r>
      <w:r>
        <w:t xml:space="preserve">removed structurally in the v1.1 segmented challenger.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Fraud labels are synthetic.</w:t>
      </w:r>
      <w:r>
        <w:t xml:space="preserve"> </w:t>
      </w:r>
      <w:r>
        <w:t xml:space="preserve">Real AUC on investigation labels</w:t>
      </w:r>
      <w:r>
        <w:t xml:space="preserve"> </w:t>
      </w:r>
      <w:r>
        <w:t xml:space="preserve">would be 0.72-0.85.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IFRS 9 origination PD is proxied</w:t>
      </w:r>
      <w:r>
        <w:t xml:space="preserve"> </w:t>
      </w:r>
      <w:r>
        <w:t xml:space="preserve">using LendingClub grade.</w:t>
      </w:r>
      <w:r>
        <w:t xml:space="preserve"> </w:t>
      </w:r>
      <w:r>
        <w:t xml:space="preserve">Would not be acceptable for regulatory submission.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Stress-test LGD held constant.</w:t>
      </w:r>
      <w:r>
        <w:t xml:space="preserve"> </w:t>
      </w:r>
      <w:r>
        <w:t xml:space="preserve">Real HELOC LGD rises under</w:t>
      </w:r>
      <w:r>
        <w:t xml:space="preserve"> </w:t>
      </w:r>
      <w:r>
        <w:t xml:space="preserve">house-price shock (30%→60% during GFC).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adverse-action-compliance"/>
    <w:p>
      <w:pPr>
        <w:pStyle w:val="Heading2"/>
      </w:pPr>
      <w:r>
        <w:t xml:space="preserve">9. Adverse Action Compliance</w:t>
      </w:r>
    </w:p>
    <w:bookmarkStart w:id="57" w:name="requirement"/>
    <w:p>
      <w:pPr>
        <w:pStyle w:val="Heading3"/>
      </w:pPr>
      <w:r>
        <w:t xml:space="preserve">9.1 Requirement</w:t>
      </w:r>
    </w:p>
    <w:p>
      <w:pPr>
        <w:pStyle w:val="FirstParagraph"/>
      </w:pPr>
      <w:r>
        <w:t xml:space="preserve">All DECLINE and REFER decisions must generate an adverse action letter</w:t>
      </w:r>
      <w:r>
        <w:t xml:space="preserve"> </w:t>
      </w:r>
      <w:r>
        <w:t xml:space="preserve">that complies with ECOA / Regulation B and FCAC requirements. The letter</w:t>
      </w:r>
      <w:r>
        <w:t xml:space="preserve"> </w:t>
      </w:r>
      <w:r>
        <w:t xml:space="preserve">must:</w:t>
      </w:r>
    </w:p>
    <w:p>
      <w:pPr>
        <w:numPr>
          <w:ilvl w:val="0"/>
          <w:numId w:val="1009"/>
        </w:numPr>
        <w:pStyle w:val="Compact"/>
      </w:pPr>
      <w:r>
        <w:t xml:space="preserve">Be sent within 30 days of the adverse action decision.</w:t>
      </w:r>
    </w:p>
    <w:p>
      <w:pPr>
        <w:numPr>
          <w:ilvl w:val="0"/>
          <w:numId w:val="1009"/>
        </w:numPr>
        <w:pStyle w:val="Compact"/>
      </w:pPr>
      <w:r>
        <w:t xml:space="preserve">State the specific reasons for the adverse action (generic reasons</w:t>
      </w:r>
      <w:r>
        <w:t xml:space="preserve"> </w:t>
      </w:r>
      <w:r>
        <w:t xml:space="preserve">such as</w:t>
      </w:r>
      <w:r>
        <w:t xml:space="preserve"> </w:t>
      </w:r>
      <w:r>
        <w:t xml:space="preserve">“</w:t>
      </w:r>
      <w:r>
        <w:t xml:space="preserve">credit risk</w:t>
      </w:r>
      <w:r>
        <w:t xml:space="preserve">”</w:t>
      </w:r>
      <w:r>
        <w:t xml:space="preserve"> </w:t>
      </w:r>
      <w:r>
        <w:t xml:space="preserve">are not sufficient).</w:t>
      </w:r>
    </w:p>
    <w:p>
      <w:pPr>
        <w:numPr>
          <w:ilvl w:val="0"/>
          <w:numId w:val="1009"/>
        </w:numPr>
        <w:pStyle w:val="Compact"/>
      </w:pPr>
      <w:r>
        <w:t xml:space="preserve">Inform the applicant of the right to a free credit report from the</w:t>
      </w:r>
      <w:r>
        <w:t xml:space="preserve"> </w:t>
      </w:r>
      <w:r>
        <w:t xml:space="preserve">credit reporting agency used.</w:t>
      </w:r>
    </w:p>
    <w:p>
      <w:pPr>
        <w:numPr>
          <w:ilvl w:val="0"/>
          <w:numId w:val="1009"/>
        </w:numPr>
        <w:pStyle w:val="Compact"/>
      </w:pPr>
      <w:r>
        <w:t xml:space="preserve">Provide contact information for disputes.</w:t>
      </w:r>
    </w:p>
    <w:p>
      <w:pPr>
        <w:numPr>
          <w:ilvl w:val="0"/>
          <w:numId w:val="1009"/>
        </w:numPr>
        <w:pStyle w:val="Compact"/>
      </w:pPr>
      <w:r>
        <w:t xml:space="preserve">NOT cite fraud as the decline reason, even if fraud is the true</w:t>
      </w:r>
      <w:r>
        <w:t xml:space="preserve"> </w:t>
      </w:r>
      <w:r>
        <w:t xml:space="preserve">cause (FCAC guidance).</w:t>
      </w:r>
    </w:p>
    <w:bookmarkEnd w:id="57"/>
    <w:bookmarkStart w:id="58" w:name="reason-generation"/>
    <w:p>
      <w:pPr>
        <w:pStyle w:val="Heading3"/>
      </w:pPr>
      <w:r>
        <w:t xml:space="preserve">9.2 Reason Generation</w:t>
      </w:r>
    </w:p>
    <w:p>
      <w:pPr>
        <w:pStyle w:val="FirstParagraph"/>
      </w:pPr>
      <w:r>
        <w:t xml:space="preserve">The Platform generates adverse action reasons per the following rules: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DECLINE_FRAUD</w:t>
      </w:r>
      <w:r>
        <w:t xml:space="preserve">: generic reason from the approved adverse-action</w:t>
      </w:r>
      <w:r>
        <w:t xml:space="preserve"> </w:t>
      </w:r>
      <w:r>
        <w:t xml:space="preserve">reason list; fraud status recorded only in the internal decision audit</w:t>
      </w:r>
      <w:r>
        <w:t xml:space="preserve"> </w:t>
      </w:r>
      <w:r>
        <w:t xml:space="preserve">trail.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DECLINE_POLICY</w:t>
      </w:r>
      <w:r>
        <w:t xml:space="preserve">: the specific failed policy rule in plain language.</w:t>
      </w:r>
      <w:r>
        <w:t xml:space="preserve"> </w:t>
      </w:r>
      <w:r>
        <w:t xml:space="preserve">SHAP reasons are NOT used because the credit model never ran.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DECLINE_CREDIT / REFER</w:t>
      </w:r>
      <w:r>
        <w:t xml:space="preserve">: SHAP-derived reasons, filtered for:</w:t>
      </w:r>
    </w:p>
    <w:p>
      <w:pPr>
        <w:numPr>
          <w:ilvl w:val="1"/>
          <w:numId w:val="1011"/>
        </w:numPr>
        <w:pStyle w:val="Compact"/>
      </w:pPr>
      <w:r>
        <w:t xml:space="preserve">Non-bureau signals (internal flags, interaction features)</w:t>
      </w:r>
    </w:p>
    <w:p>
      <w:pPr>
        <w:numPr>
          <w:ilvl w:val="1"/>
          <w:numId w:val="1011"/>
        </w:numPr>
        <w:pStyle w:val="Compact"/>
      </w:pPr>
      <w:r>
        <w:t xml:space="preserve">Product proxies (</w:t>
      </w:r>
      <w:r>
        <w:rPr>
          <w:rStyle w:val="VerbatimChar"/>
        </w:rPr>
        <w:t xml:space="preserve">loan_term_months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Features with healthy values (never tell a 0-inquiry applicant</w:t>
      </w:r>
      <w:r>
        <w:t xml:space="preserve"> </w:t>
      </w:r>
      <w:r>
        <w:t xml:space="preserve">“</w:t>
      </w:r>
      <w:r>
        <w:t xml:space="preserve">too many inquiries</w:t>
      </w:r>
      <w:r>
        <w:t xml:space="preserve">”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DECLINE</w:t>
      </w:r>
      <w:r>
        <w:t xml:space="preserve"> </w:t>
      </w:r>
      <w:r>
        <w:t xml:space="preserve">(any cause) with counterfactual recourse: up to 3</w:t>
      </w:r>
      <w:r>
        <w:t xml:space="preserve"> </w:t>
      </w:r>
      <w:r>
        <w:t xml:space="preserve">single-feature paths that would cross the approval threshold, where</w:t>
      </w:r>
      <w:r>
        <w:t xml:space="preserve"> </w:t>
      </w:r>
      <w:r>
        <w:t xml:space="preserve">the feature is something the applicant can realistically modify.</w:t>
      </w:r>
    </w:p>
    <w:bookmarkEnd w:id="58"/>
    <w:bookmarkStart w:id="59" w:name="letter-generation"/>
    <w:p>
      <w:pPr>
        <w:pStyle w:val="Heading3"/>
      </w:pPr>
      <w:r>
        <w:t xml:space="preserve">9.3 Letter Generation</w:t>
      </w:r>
    </w:p>
    <w:p>
      <w:pPr>
        <w:pStyle w:val="FirstParagraph"/>
      </w:pPr>
      <w:r>
        <w:t xml:space="preserve">The Platform uses a local LLM (Llama 3 via Ollama) to draft the letter,</w:t>
      </w:r>
      <w:r>
        <w:t xml:space="preserve"> </w:t>
      </w:r>
      <w:r>
        <w:t xml:space="preserve">with a template fallback. The LLM is deployed locally for PIPEDA</w:t>
      </w:r>
      <w:r>
        <w:t xml:space="preserve"> </w:t>
      </w:r>
      <w:r>
        <w:t xml:space="preserve">compliance — no applicant PII is transmitted externally. The generated</w:t>
      </w:r>
      <w:r>
        <w:t xml:space="preserve"> </w:t>
      </w:r>
      <w:r>
        <w:t xml:space="preserve">letter is reviewed against a checklist before dispatch.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data-governance"/>
    <w:p>
      <w:pPr>
        <w:pStyle w:val="Heading2"/>
      </w:pPr>
      <w:r>
        <w:t xml:space="preserve">10. Data Governance</w:t>
      </w:r>
    </w:p>
    <w:bookmarkStart w:id="61" w:name="data-sources"/>
    <w:p>
      <w:pPr>
        <w:pStyle w:val="Heading3"/>
      </w:pPr>
      <w:r>
        <w:t xml:space="preserve">10.1 Data Sources</w:t>
      </w:r>
    </w:p>
    <w:p>
      <w:pPr>
        <w:pStyle w:val="FirstParagraph"/>
      </w:pPr>
      <w:r>
        <w:t xml:space="preserve">The Platform consumes data from: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Credit bureau</w:t>
      </w:r>
      <w:r>
        <w:t xml:space="preserve"> </w:t>
      </w:r>
      <w:r>
        <w:t xml:space="preserve">— Equifax Canada (primary), TransUnion Canada (backup).</w:t>
      </w:r>
      <w:r>
        <w:t xml:space="preserve"> </w:t>
      </w:r>
      <w:r>
        <w:t xml:space="preserve">Hard pull with applicant consent at origination.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Income verification</w:t>
      </w:r>
      <w:r>
        <w:t xml:space="preserve"> </w:t>
      </w:r>
      <w:r>
        <w:t xml:space="preserve">— Equifax The Work Number or direct employer</w:t>
      </w:r>
      <w:r>
        <w:t xml:space="preserve"> </w:t>
      </w:r>
      <w:r>
        <w:t xml:space="preserve">confirmation; stated-income only for Tier A with &gt; 5-year tenure.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Alternative data (pre-production)</w:t>
      </w:r>
      <w:r>
        <w:t xml:space="preserve"> </w:t>
      </w:r>
      <w:r>
        <w:t xml:space="preserve">— Equifax NeoBureau, Borrowell</w:t>
      </w:r>
      <w:r>
        <w:t xml:space="preserve"> </w:t>
      </w:r>
      <w:r>
        <w:t xml:space="preserve">Rental Advantage. Currently synthesized (</w:t>
      </w:r>
      <w:r>
        <w:rPr>
          <w:rStyle w:val="VerbatimChar"/>
        </w:rPr>
        <w:t xml:space="preserve">alt_data_score</w:t>
      </w:r>
      <w:r>
        <w:t xml:space="preserve">) as a proxy;</w:t>
      </w:r>
      <w:r>
        <w:t xml:space="preserve"> </w:t>
      </w:r>
      <w:r>
        <w:t xml:space="preserve">v1.2 roadmap includes real-data integration.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Internal data</w:t>
      </w:r>
      <w:r>
        <w:t xml:space="preserve"> </w:t>
      </w:r>
      <w:r>
        <w:t xml:space="preserve">— Application form, internal banking data for existing</w:t>
      </w:r>
      <w:r>
        <w:t xml:space="preserve"> </w:t>
      </w:r>
      <w:r>
        <w:t xml:space="preserve">customers, decisioning history.</w:t>
      </w:r>
    </w:p>
    <w:bookmarkEnd w:id="61"/>
    <w:bookmarkStart w:id="62" w:name="data-retention-and-destruction"/>
    <w:p>
      <w:pPr>
        <w:pStyle w:val="Heading3"/>
      </w:pPr>
      <w:r>
        <w:t xml:space="preserve">10.2 Data Retention and Destruction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Applicant PII</w:t>
      </w:r>
      <w:r>
        <w:t xml:space="preserve"> </w:t>
      </w:r>
      <w:r>
        <w:t xml:space="preserve">retained per PIPEDA guidelines and institutional policy</w:t>
      </w:r>
      <w:r>
        <w:t xml:space="preserve"> </w:t>
      </w:r>
      <w:r>
        <w:t xml:space="preserve">— 7 years from last activity, then destroyed per secure-destruction</w:t>
      </w:r>
      <w:r>
        <w:t xml:space="preserve"> </w:t>
      </w:r>
      <w:r>
        <w:t xml:space="preserve">procedures.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Decision audit trails</w:t>
      </w:r>
      <w:r>
        <w:t xml:space="preserve"> </w:t>
      </w:r>
      <w:r>
        <w:t xml:space="preserve">retained 7 years.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Model training data</w:t>
      </w:r>
      <w:r>
        <w:t xml:space="preserve"> </w:t>
      </w:r>
      <w:r>
        <w:t xml:space="preserve">retained indefinitely (anonymized); retraining</w:t>
      </w:r>
      <w:r>
        <w:t xml:space="preserve"> </w:t>
      </w:r>
      <w:r>
        <w:t xml:space="preserve">uses only anonymized or aggregate data.</w:t>
      </w:r>
    </w:p>
    <w:bookmarkEnd w:id="62"/>
    <w:bookmarkStart w:id="63" w:name="data-quality"/>
    <w:p>
      <w:pPr>
        <w:pStyle w:val="Heading3"/>
      </w:pPr>
      <w:r>
        <w:t xml:space="preserve">10.3 Data Quality</w:t>
      </w:r>
    </w:p>
    <w:p>
      <w:pPr>
        <w:pStyle w:val="FirstParagraph"/>
      </w:pPr>
      <w:r>
        <w:t xml:space="preserve">Each origination record is validated at application time: required fields</w:t>
      </w:r>
      <w:r>
        <w:t xml:space="preserve"> </w:t>
      </w:r>
      <w:r>
        <w:t xml:space="preserve">present, numeric ranges plausible, date formats parseable, credit bureau</w:t>
      </w:r>
      <w:r>
        <w:t xml:space="preserve"> </w:t>
      </w:r>
      <w:r>
        <w:t xml:space="preserve">pull successful. Records failing validation are routed to manual review.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roles-and-responsibilities"/>
    <w:p>
      <w:pPr>
        <w:pStyle w:val="Heading2"/>
      </w:pPr>
      <w:r>
        <w:t xml:space="preserve">11. Roles and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Chief Risk Officer (CRO)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accountability for credit risk. Ratifies exceptions.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Credit Risk Committee (CRC)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review of exceptions, override rates, concentration, capital.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 of Credit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Day-to-day portfolio management; triggers policy reviews.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Credit Analysts (Level 1-3)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Decision-making within authority matrix; documented rationale.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Risk Management (MRM)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Validation, monitoring, challenger shadow-scoring, PSI triggers.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Fraud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fraud escalations; update fraud feature definitions.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review of Policy adherence and Model Card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ECOA, Reg B, FCAC, Criminal Code, PIPEDA, OFAC alignment.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Treasury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 publication; capital planning; stress-scenario ingestion.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External Examiners (OSFI)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Supervisory review of the Platform under B-20, E-23, Basel III.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9" w:name="exceptions-and-corrective-action"/>
    <w:p>
      <w:pPr>
        <w:pStyle w:val="Heading2"/>
      </w:pPr>
      <w:r>
        <w:t xml:space="preserve">12. Exceptions and Corrective Action</w:t>
      </w:r>
    </w:p>
    <w:bookmarkStart w:id="66" w:name="exception-reporting"/>
    <w:p>
      <w:pPr>
        <w:pStyle w:val="Heading3"/>
      </w:pPr>
      <w:r>
        <w:t xml:space="preserve">12.1 Exception Reporting</w:t>
      </w:r>
    </w:p>
    <w:p>
      <w:pPr>
        <w:pStyle w:val="FirstParagraph"/>
      </w:pPr>
      <w:r>
        <w:t xml:space="preserve">Any breach of this Policy is logged in the monthly Exception Report and</w:t>
      </w:r>
      <w:r>
        <w:t xml:space="preserve"> </w:t>
      </w:r>
      <w:r>
        <w:t xml:space="preserve">presented at the Credit Risk Committee. The report includes:</w:t>
      </w:r>
      <w:r>
        <w:t xml:space="preserve"> </w:t>
      </w:r>
      <w:r>
        <w:t xml:space="preserve">- Breach description and root cause</w:t>
      </w:r>
      <w:r>
        <w:t xml:space="preserve"> </w:t>
      </w:r>
      <w:r>
        <w:t xml:space="preserve">- Loans affected (count and $ amount)</w:t>
      </w:r>
      <w:r>
        <w:t xml:space="preserve"> </w:t>
      </w:r>
      <w:r>
        <w:t xml:space="preserve">- Corrective action taken or proposed</w:t>
      </w:r>
      <w:r>
        <w:t xml:space="preserve"> </w:t>
      </w:r>
      <w:r>
        <w:t xml:space="preserve">- Owner and target completion date</w:t>
      </w:r>
    </w:p>
    <w:bookmarkEnd w:id="66"/>
    <w:bookmarkStart w:id="67" w:name="corrective-action"/>
    <w:p>
      <w:pPr>
        <w:pStyle w:val="Heading3"/>
      </w:pPr>
      <w:r>
        <w:t xml:space="preserve">12.2 Corrective Action</w:t>
      </w:r>
    </w:p>
    <w:p>
      <w:pPr>
        <w:pStyle w:val="FirstParagraph"/>
      </w:pPr>
      <w:r>
        <w:t xml:space="preserve">Corrective actions are classified by severity: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— regulatory breach, CRO-level breach of limit, material</w:t>
      </w:r>
      <w:r>
        <w:t xml:space="preserve"> </w:t>
      </w:r>
      <w:r>
        <w:t xml:space="preserve">compliance failure. Resolved within 30 days.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Significant</w:t>
      </w:r>
      <w:r>
        <w:t xml:space="preserve"> </w:t>
      </w:r>
      <w:r>
        <w:t xml:space="preserve">— approaching a limit, systemic process failure.</w:t>
      </w:r>
      <w:r>
        <w:t xml:space="preserve"> </w:t>
      </w:r>
      <w:r>
        <w:t xml:space="preserve">Resolved within 60 days.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Minor</w:t>
      </w:r>
      <w:r>
        <w:t xml:space="preserve"> </w:t>
      </w:r>
      <w:r>
        <w:t xml:space="preserve">— one-off procedural error. Resolved within 90 days.</w:t>
      </w:r>
    </w:p>
    <w:p>
      <w:pPr>
        <w:pStyle w:val="BodyText"/>
      </w:pPr>
      <w:r>
        <w:t xml:space="preserve">All corrective actions are tracked in the Institution’s GRC system.</w:t>
      </w:r>
    </w:p>
    <w:bookmarkEnd w:id="67"/>
    <w:bookmarkStart w:id="68" w:name="regulatory-notifications"/>
    <w:p>
      <w:pPr>
        <w:pStyle w:val="Heading3"/>
      </w:pPr>
      <w:r>
        <w:t xml:space="preserve">12.3 Regulatory Notifications</w:t>
      </w:r>
    </w:p>
    <w:p>
      <w:pPr>
        <w:pStyle w:val="FirstParagraph"/>
      </w:pPr>
      <w:r>
        <w:t xml:space="preserve">Breaches requiring OSFI notification are identified by Legal &amp; Compliance</w:t>
      </w:r>
      <w:r>
        <w:t xml:space="preserve"> </w:t>
      </w:r>
      <w:r>
        <w:t xml:space="preserve">and routed through the CRO. Standard notification categories include:</w:t>
      </w:r>
      <w:r>
        <w:t xml:space="preserve"> </w:t>
      </w:r>
      <w:r>
        <w:t xml:space="preserve">- Material capital adequacy concerns (§7.3)</w:t>
      </w:r>
      <w:r>
        <w:t xml:space="preserve"> </w:t>
      </w:r>
      <w:r>
        <w:t xml:space="preserve">- Systemic model validation failures (§8.2)</w:t>
      </w:r>
      <w:r>
        <w:t xml:space="preserve"> </w:t>
      </w:r>
      <w:r>
        <w:t xml:space="preserve">- Material fair-lending findings (§8.4)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review-and-approval"/>
    <w:p>
      <w:pPr>
        <w:pStyle w:val="Heading2"/>
      </w:pPr>
      <w:r>
        <w:t xml:space="preserve">13. Review and Approval</w:t>
      </w:r>
    </w:p>
    <w:p>
      <w:pPr>
        <w:pStyle w:val="FirstParagraph"/>
      </w:pPr>
      <w:r>
        <w:t xml:space="preserve">This Policy is reviewed annually by the Credit Risk Committee. Amendments</w:t>
      </w:r>
      <w:r>
        <w:t xml:space="preserve"> </w:t>
      </w:r>
      <w:r>
        <w:t xml:space="preserve">require CRO approval and Board Risk Committee ratification. Emergency</w:t>
      </w:r>
      <w:r>
        <w:t xml:space="preserve"> </w:t>
      </w:r>
      <w:r>
        <w:t xml:space="preserve">amendments (e.g., for regulatory changes) may be approved by the CRO with</w:t>
      </w:r>
      <w:r>
        <w:t xml:space="preserve"> </w:t>
      </w:r>
      <w:r>
        <w:t xml:space="preserve">Board notification at the next regular meeting.</w:t>
      </w:r>
    </w:p>
    <w:p>
      <w:r>
        <w:pict>
          <v:rect style="width:0;height:1.5pt" o:hralign="center" o:hrstd="t" o:hr="t"/>
        </w:pict>
      </w:r>
    </w:p>
    <w:bookmarkEnd w:id="70"/>
    <w:bookmarkStart w:id="71" w:name="document-revision-history"/>
    <w:p>
      <w:pPr>
        <w:pStyle w:val="Heading2"/>
      </w:pPr>
      <w:r>
        <w:t xml:space="preserve">14. Document 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74"/>
        <w:gridCol w:w="1205"/>
        <w:gridCol w:w="146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of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Policy. Unified PD model. 9-phase platform.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v1.1 segmented challenger model; disclosed</w:t>
            </w:r>
            <w:r>
              <w:t xml:space="preserve"> </w:t>
            </w:r>
            <w:r>
              <w:rPr>
                <w:rStyle w:val="VerbatimChar"/>
              </w:rPr>
              <w:t xml:space="preserve">loan_term_months</w:t>
            </w:r>
            <w:r>
              <w:t xml:space="preserve"> </w:t>
            </w:r>
            <w:r>
              <w:t xml:space="preserve">product proxy in §8.5.6; added HELOC term-standardisation note; corrected CAR methodology disclosure in §7.1.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related-documents"/>
    <w:p>
      <w:pPr>
        <w:pStyle w:val="Heading2"/>
      </w:pPr>
      <w:r>
        <w:t xml:space="preserve">15. Related Documents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MODEL_CARD.md</w:t>
      </w:r>
      <w:r>
        <w:t xml:space="preserve"> </w:t>
      </w:r>
      <w:r>
        <w:t xml:space="preserve">— OSFI E-23 Model Card for all approved models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PRODUCT_GUIDE.md</w:t>
      </w:r>
      <w:r>
        <w:t xml:space="preserve"> </w:t>
      </w:r>
      <w:r>
        <w:t xml:space="preserve">— Functional description of the Platform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README.md</w:t>
      </w:r>
      <w:r>
        <w:t xml:space="preserve"> </w:t>
      </w:r>
      <w:r>
        <w:t xml:space="preserve">— Public-facing project overview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QUICKSTART.md</w:t>
      </w:r>
      <w:r>
        <w:t xml:space="preserve"> </w:t>
      </w:r>
      <w:r>
        <w:t xml:space="preserve">— Platform installation and operation guide</w:t>
      </w:r>
    </w:p>
    <w:p>
      <w:r>
        <w:pict>
          <v:rect style="width:0;height:1.5pt" o:hralign="center" o:hrstd="t" o:hr="t"/>
        </w:pict>
      </w:r>
    </w:p>
    <w:bookmarkEnd w:id="72"/>
    <w:bookmarkStart w:id="73" w:name="signatures"/>
    <w:p>
      <w:pPr>
        <w:pStyle w:val="Heading2"/>
      </w:pPr>
      <w:r>
        <w:t xml:space="preserve">Signatures</w:t>
      </w:r>
    </w:p>
    <w:p>
      <w:pPr>
        <w:pStyle w:val="FirstParagraph"/>
      </w:pPr>
      <w:r>
        <w:rPr>
          <w:bCs/>
          <w:b/>
        </w:rPr>
        <w:t xml:space="preserve">Approved by: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Chief Risk Officer ·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Head of Credit Risk ·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Head of Model Risk Management · Date</w:t>
      </w:r>
    </w:p>
    <w:p>
      <w:pPr>
        <w:pStyle w:val="BodyText"/>
      </w:pPr>
      <w:r>
        <w:rPr>
          <w:bCs/>
          <w:b/>
        </w:rPr>
        <w:t xml:space="preserve">Ratified by: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Chair, Credit Risk Committee ·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Chair, Board Risk Committee ·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Policy Document · CRP-POL-001 v1.1 · Internal — Credit Risk Management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2026-04-22T20:41:57Z</dcterms:created>
  <dcterms:modified xsi:type="dcterms:W3CDTF">2026-04-22T20:41:57Z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