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odel-card-credit-risk-pd-model"/>
    <w:p>
      <w:pPr>
        <w:pStyle w:val="Heading1"/>
      </w:pPr>
      <w:r>
        <w:t xml:space="preserve">Model Card — Credit Risk PD Model</w:t>
      </w:r>
    </w:p>
    <w:bookmarkStart w:id="20" w:name="version-1.1-april-2026"/>
    <w:p>
      <w:pPr>
        <w:pStyle w:val="Heading2"/>
      </w:pPr>
      <w:r>
        <w:t xml:space="preserve">Version 1.1 | April 2026</w:t>
      </w:r>
    </w:p>
    <w:p>
      <w:r>
        <w:pict>
          <v:rect style="width:0;height:1.5pt" o:hralign="center" o:hrstd="t" o:hr="t"/>
        </w:pict>
      </w:r>
    </w:p>
    <w:bookmarkEnd w:id="20"/>
    <w:bookmarkStart w:id="21" w:name="model-details"/>
    <w:p>
      <w:pPr>
        <w:pStyle w:val="Heading2"/>
      </w:pPr>
      <w:r>
        <w:t xml:space="preserve">Model Details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 type</w:t>
      </w:r>
      <w:r>
        <w:t xml:space="preserve">: XGBoost Gradient Boosting Classifier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Complementary model</w:t>
      </w:r>
      <w:r>
        <w:t xml:space="preserve">: Logistic Regression WoE Scorecard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</w:t>
      </w:r>
      <w:r>
        <w:t xml:space="preserve">: Probability of Default (PD) in 12-month horizon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Score scale</w:t>
      </w:r>
      <w:r>
        <w:t xml:space="preserve">: 300-850 (higher = lower risk)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Risk tiers</w:t>
      </w:r>
      <w:r>
        <w:t xml:space="preserve">: A (720+), B (680-719), C (630-679), D (580-629), E (&lt;580)</w:t>
      </w:r>
    </w:p>
    <w:p>
      <w:r>
        <w:pict>
          <v:rect style="width:0;height:1.5pt" o:hralign="center" o:hrstd="t" o:hr="t"/>
        </w:pict>
      </w:r>
    </w:p>
    <w:bookmarkEnd w:id="21"/>
    <w:bookmarkStart w:id="22" w:name="intended-use"/>
    <w:p>
      <w:pPr>
        <w:pStyle w:val="Heading2"/>
      </w:pPr>
      <w:r>
        <w:t xml:space="preserve">Intended Use</w:t>
      </w:r>
    </w:p>
    <w:p>
      <w:pPr>
        <w:pStyle w:val="FirstParagraph"/>
      </w:pPr>
      <w:r>
        <w:t xml:space="preserve">This model is intended for:</w:t>
      </w:r>
      <w:r>
        <w:t xml:space="preserve"> </w:t>
      </w:r>
      <w:r>
        <w:t xml:space="preserve">- Application-level credit decisioning (approve / decline / conditional)</w:t>
      </w:r>
      <w:r>
        <w:t xml:space="preserve"> </w:t>
      </w:r>
      <w:r>
        <w:t xml:space="preserve">- Risk-based interest rate pricing</w:t>
      </w:r>
      <w:r>
        <w:t xml:space="preserve"> </w:t>
      </w:r>
      <w:r>
        <w:t xml:space="preserve">- IFRS 9 Expected Credit Loss staging (PIT PD)</w:t>
      </w:r>
      <w:r>
        <w:t xml:space="preserve"> </w:t>
      </w:r>
      <w:r>
        <w:t xml:space="preserve">- Basel III regulatory capital calculation (TTC PD)</w:t>
      </w:r>
      <w:r>
        <w:t xml:space="preserve"> </w:t>
      </w:r>
      <w:r>
        <w:t xml:space="preserve">- Portfolio monitoring and stress testing</w:t>
      </w:r>
    </w:p>
    <w:p>
      <w:pPr>
        <w:pStyle w:val="BodyText"/>
      </w:pPr>
      <w:r>
        <w:t xml:space="preserve">This model is NOT intended for:</w:t>
      </w:r>
      <w:r>
        <w:t xml:space="preserve"> </w:t>
      </w:r>
      <w:r>
        <w:t xml:space="preserve">- Automated decisions without human oversight for borderline (Tier C) applications</w:t>
      </w:r>
      <w:r>
        <w:t xml:space="preserve"> </w:t>
      </w:r>
      <w:r>
        <w:t xml:space="preserve">- Use outside the consumer lending domain for which it was developed</w:t>
      </w:r>
      <w:r>
        <w:t xml:space="preserve"> </w:t>
      </w:r>
      <w:r>
        <w:t xml:space="preserve">- Any purpose involving protected class attributes as inputs</w:t>
      </w:r>
    </w:p>
    <w:p>
      <w:r>
        <w:pict>
          <v:rect style="width:0;height:1.5pt" o:hralign="center" o:hrstd="t" o:hr="t"/>
        </w:pict>
      </w:r>
    </w:p>
    <w:bookmarkEnd w:id="22"/>
    <w:bookmarkStart w:id="23" w:name="training-data"/>
    <w:p>
      <w:pPr>
        <w:pStyle w:val="Heading2"/>
      </w:pPr>
      <w:r>
        <w:t xml:space="preserve">Training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LendingClub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2,260,701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Unsecured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FICO 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FICO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HELOC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Observation window</w:t>
      </w:r>
      <w:r>
        <w:t xml:space="preserve">: 2007-2018 (LendingClub), cross-sectional (HELOC)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Training period</w:t>
      </w:r>
      <w:r>
        <w:t xml:space="preserve">: LendingClub 2007-2015, HELOC 80% random sample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 period</w:t>
      </w:r>
      <w:r>
        <w:t xml:space="preserve">: LendingClub 2016-2018 (OOT), HELOC 20% random sample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Target definition</w:t>
      </w:r>
      <w:r>
        <w:t xml:space="preserve">: Default = Charged Off (LC) / Bad (HELOC)</w:t>
      </w:r>
    </w:p>
    <w:p>
      <w:r>
        <w:pict>
          <v:rect style="width:0;height:1.5pt" o:hralign="center" o:hrstd="t" o:hr="t"/>
        </w:pict>
      </w:r>
    </w:p>
    <w:bookmarkEnd w:id="23"/>
    <w:bookmarkStart w:id="24" w:name="performance-out-of-time-test-set"/>
    <w:p>
      <w:pPr>
        <w:pStyle w:val="Heading2"/>
      </w:pPr>
      <w:r>
        <w:t xml:space="preserve">Performance (Out-of-Time Test Set)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0.40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</w:t>
      </w:r>
      <w:r>
        <w:t xml:space="preserve">: Metrics shown are on synthetic data.</w:t>
      </w:r>
      <w:r>
        <w:t xml:space="preserve"> </w:t>
      </w:r>
      <w:r>
        <w:t xml:space="preserve">Expected performance on real data: AUC 0.75-0.82, KS 0.38-0.50, Gini 0.50-0.64.</w:t>
      </w:r>
    </w:p>
    <w:p>
      <w:r>
        <w:pict>
          <v:rect style="width:0;height:1.5pt" o:hralign="center" o:hrstd="t" o:hr="t"/>
        </w:pict>
      </w:r>
    </w:p>
    <w:bookmarkEnd w:id="24"/>
    <w:bookmarkStart w:id="25" w:name="features-used"/>
    <w:p>
      <w:pPr>
        <w:pStyle w:val="Heading2"/>
      </w:pPr>
      <w:r>
        <w:t xml:space="preserve">Features Used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credit_score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annual_income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external_risk_estimate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score_x_product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pct_trades_never_delinquent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ltv_x_product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ltv_ratio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num_high_utilization_trades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num_derogatory_marks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alt_data_score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months_since_oldest_trade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dti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total_accounts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loan_amount</w:t>
      </w:r>
    </w:p>
    <w:p>
      <w:pPr>
        <w:pStyle w:val="FirstParagraph"/>
      </w:pPr>
      <w:r>
        <w:rPr>
          <w:bCs/>
          <w:b/>
        </w:rPr>
        <w:t xml:space="preserve">Excluded features</w:t>
      </w:r>
      <w:r>
        <w:t xml:space="preserve">: Race, gender, national origin, religion, age,</w:t>
      </w:r>
      <w:r>
        <w:t xml:space="preserve"> </w:t>
      </w:r>
      <w:r>
        <w:t xml:space="preserve">marital status, and all protected attributes under ECOA and the</w:t>
      </w:r>
      <w:r>
        <w:t xml:space="preserve"> </w:t>
      </w:r>
      <w:r>
        <w:t xml:space="preserve">Canadian Human Rights Act.</w:t>
      </w:r>
    </w:p>
    <w:p>
      <w:r>
        <w:pict>
          <v:rect style="width:0;height:1.5pt" o:hralign="center" o:hrstd="t" o:hr="t"/>
        </w:pict>
      </w:r>
    </w:p>
    <w:bookmarkEnd w:id="25"/>
    <w:bookmarkStart w:id="26" w:name="explainability"/>
    <w:p>
      <w:pPr>
        <w:pStyle w:val="Heading2"/>
      </w:pPr>
      <w:r>
        <w:t xml:space="preserve">Explainability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Global</w:t>
      </w:r>
      <w:r>
        <w:t xml:space="preserve">: SHAP feature importance computed across full portfolio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Local</w:t>
      </w:r>
      <w:r>
        <w:t xml:space="preserve">: Per-applicant SHAP waterfall chart for every decision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Adverse action</w:t>
      </w:r>
      <w:r>
        <w:t xml:space="preserve">: Top-3 SHAP-based reasons in ECOA reason code format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Actionable recourse</w:t>
      </w:r>
      <w:r>
        <w:t xml:space="preserve">: Counterfactual guidance provided to declined applicants</w:t>
      </w:r>
    </w:p>
    <w:p>
      <w:r>
        <w:pict>
          <v:rect style="width:0;height:1.5pt" o:hralign="center" o:hrstd="t" o:hr="t"/>
        </w:pict>
      </w:r>
    </w:p>
    <w:bookmarkEnd w:id="26"/>
    <w:bookmarkStart w:id="31" w:name="fairness-evaluation"/>
    <w:p>
      <w:pPr>
        <w:pStyle w:val="Heading2"/>
      </w:pPr>
      <w:r>
        <w:t xml:space="preserve">Fairness Evaluation</w:t>
      </w:r>
    </w:p>
    <w:bookmarkStart w:id="27" w:name="methodology"/>
    <w:p>
      <w:pPr>
        <w:pStyle w:val="Heading3"/>
      </w:pPr>
      <w:r>
        <w:t xml:space="preserve">Methodology</w:t>
      </w:r>
    </w:p>
    <w:p>
      <w:pPr>
        <w:pStyle w:val="FirstParagraph"/>
      </w:pPr>
      <w:r>
        <w:t xml:space="preserve">Fairness was evaluated across employment type, loan purpose, and product type.</w:t>
      </w:r>
      <w:r>
        <w:t xml:space="preserve"> </w:t>
      </w:r>
      <w:r>
        <w:t xml:space="preserve">Three metrics were assessed: demographic parity, equalized odds, and calibration.</w:t>
      </w:r>
      <w:r>
        <w:t xml:space="preserve"> </w:t>
      </w:r>
      <w:r>
        <w:t xml:space="preserve">Threshold for investigation: &gt;20% differential in approval rates or TPR/FPR.</w:t>
      </w:r>
    </w:p>
    <w:bookmarkEnd w:id="27"/>
    <w:bookmarkStart w:id="28" w:name="results-by-segment"/>
    <w:p>
      <w:pPr>
        <w:pStyle w:val="Heading3"/>
      </w:pPr>
      <w:r>
        <w:t xml:space="preserve">Results by Segment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Status = INVESTIGATE | DP flags: 0 | EO flags: 0 | Calibration flags: 8</w:t>
      </w:r>
    </w:p>
    <w:p>
      <w:pPr>
        <w:pStyle w:val="BodyText"/>
      </w:pPr>
      <w:r>
        <w:rPr>
          <w:bCs/>
          <w:b/>
        </w:rPr>
        <w:t xml:space="preserve">Home Ownership</w:t>
      </w:r>
      <w:r>
        <w:t xml:space="preserve">: Status = INVESTIGATE | DP flags: 3 | EO flags: 0 | Calibration flags: 4</w:t>
      </w:r>
    </w:p>
    <w:p>
      <w:pPr>
        <w:pStyle w:val="BodyText"/>
      </w:pPr>
      <w:r>
        <w:rPr>
          <w:bCs/>
          <w:b/>
        </w:rPr>
        <w:t xml:space="preserve">Lc Grade</w:t>
      </w:r>
      <w:r>
        <w:t xml:space="preserve">: Status = INVESTIGATE | DP flags: 4 | EO flags: 6 | Calibration flags: 6</w:t>
      </w:r>
    </w:p>
    <w:p>
      <w:pPr>
        <w:pStyle w:val="BodyText"/>
      </w:pPr>
      <w:r>
        <w:rPr>
          <w:bCs/>
          <w:b/>
        </w:rPr>
        <w:t xml:space="preserve">Product Type</w:t>
      </w:r>
      <w:r>
        <w:t xml:space="preserve">: Status = INVESTIGATE | DP flags: 1 | EO flags: 1 | Calibration flags: 2</w:t>
      </w:r>
    </w:p>
    <w:p>
      <w:pPr>
        <w:pStyle w:val="BodyText"/>
      </w:pPr>
      <w:r>
        <w:rPr>
          <w:bCs/>
          <w:b/>
        </w:rPr>
        <w:t xml:space="preserve">Verification Status</w:t>
      </w:r>
      <w:r>
        <w:t xml:space="preserve">: Status = INVESTIGATE | DP flags: 0 | EO flags: 0 | Calibration flags: 3</w:t>
      </w:r>
    </w:p>
    <w:bookmarkEnd w:id="28"/>
    <w:bookmarkStart w:id="29" w:name="overall-assessment"/>
    <w:p>
      <w:pPr>
        <w:pStyle w:val="Heading3"/>
      </w:pPr>
      <w:r>
        <w:t xml:space="preserve">Overall Assessment</w:t>
      </w:r>
    </w:p>
    <w:p>
      <w:pPr>
        <w:pStyle w:val="FirstParagraph"/>
      </w:pPr>
      <w:r>
        <w:t xml:space="preserve">Total flags requiring investigation: 38</w:t>
      </w:r>
    </w:p>
    <w:bookmarkEnd w:id="29"/>
    <w:bookmarkStart w:id="30" w:name="limitations"/>
    <w:p>
      <w:pPr>
        <w:pStyle w:val="Heading3"/>
      </w:pPr>
      <w:r>
        <w:t xml:space="preserve">Limitations</w:t>
      </w:r>
    </w:p>
    <w:p>
      <w:pPr>
        <w:numPr>
          <w:ilvl w:val="0"/>
          <w:numId w:val="1005"/>
        </w:numPr>
        <w:pStyle w:val="Compact"/>
      </w:pPr>
      <w:r>
        <w:t xml:space="preserve">Audit conducted on synthetic data; results will differ on real portfolio.</w:t>
      </w:r>
    </w:p>
    <w:p>
      <w:pPr>
        <w:numPr>
          <w:ilvl w:val="0"/>
          <w:numId w:val="1005"/>
        </w:numPr>
        <w:pStyle w:val="Compact"/>
      </w:pPr>
      <w:r>
        <w:t xml:space="preserve">Protected class attributes (race, gender, national origin) not included in model features per ECOA requirements.</w:t>
      </w:r>
    </w:p>
    <w:p>
      <w:pPr>
        <w:numPr>
          <w:ilvl w:val="0"/>
          <w:numId w:val="1005"/>
        </w:numPr>
        <w:pStyle w:val="Compact"/>
      </w:pPr>
      <w:r>
        <w:t xml:space="preserve">Segments audited are credit-relevant proxies, not protected classes.</w:t>
      </w:r>
    </w:p>
    <w:p>
      <w:pPr>
        <w:numPr>
          <w:ilvl w:val="0"/>
          <w:numId w:val="1005"/>
        </w:numPr>
        <w:pStyle w:val="Compact"/>
      </w:pPr>
      <w:r>
        <w:t xml:space="preserve">Recommend re-running audit quarterly in production.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limitations-1"/>
    <w:p>
      <w:pPr>
        <w:pStyle w:val="Heading2"/>
      </w:pPr>
      <w:r>
        <w:t xml:space="preserve">Limitations</w:t>
      </w:r>
    </w:p>
    <w:p>
      <w:pPr>
        <w:numPr>
          <w:ilvl w:val="0"/>
          <w:numId w:val="1006"/>
        </w:numPr>
        <w:pStyle w:val="Compact"/>
      </w:pPr>
      <w:r>
        <w:t xml:space="preserve">Trained on US loan data (LendingClub); Canadian market dynamics may differ</w:t>
      </w:r>
    </w:p>
    <w:p>
      <w:pPr>
        <w:numPr>
          <w:ilvl w:val="0"/>
          <w:numId w:val="1006"/>
        </w:numPr>
        <w:pStyle w:val="Compact"/>
      </w:pPr>
      <w:r>
        <w:t xml:space="preserve">HELOC-specific features are synthetic proxies (income, LTV, DTI)</w:t>
      </w:r>
    </w:p>
    <w:p>
      <w:pPr>
        <w:numPr>
          <w:ilvl w:val="0"/>
          <w:numId w:val="1006"/>
        </w:numPr>
        <w:pStyle w:val="Compact"/>
      </w:pPr>
      <w:r>
        <w:t xml:space="preserve">Reject inference applied via augmentation method (synthetic declined population)</w:t>
      </w:r>
    </w:p>
    <w:p>
      <w:pPr>
        <w:numPr>
          <w:ilvl w:val="0"/>
          <w:numId w:val="1006"/>
        </w:numPr>
        <w:pStyle w:val="Compact"/>
      </w:pPr>
      <w:r>
        <w:t xml:space="preserve">Model does not incorporate macroeconomic forward-looking adjustments (done separately via PIT→TTC conversion)</w:t>
      </w:r>
    </w:p>
    <w:p>
      <w:pPr>
        <w:numPr>
          <w:ilvl w:val="0"/>
          <w:numId w:val="1006"/>
        </w:numPr>
        <w:pStyle w:val="Compact"/>
      </w:pPr>
      <w:r>
        <w:t xml:space="preserve">Performance metrics reflect synthetic data; re-validation required on real portfolio data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loan_term_months</w:t>
      </w:r>
      <w:r>
        <w:rPr>
          <w:bCs/>
          <w:b/>
        </w:rPr>
        <w:t xml:space="preserve"> </w:t>
      </w:r>
      <w:r>
        <w:rPr>
          <w:bCs/>
          <w:b/>
        </w:rPr>
        <w:t xml:space="preserve">is a product-type proxy in the combined model.</w:t>
      </w:r>
      <w:r>
        <w:t xml:space="preserve"> </w:t>
      </w:r>
      <w:r>
        <w:t xml:space="preserve">Because LendingClub contains only 36/60-month unsecured loans and HELOC records were imputed to 36 months during harmonization, the feature’s high IV (0.19) reflects the baseline default-rate gap between the two books rather than a genuine term→default relationship for HELOC. This is materially important to disclose because a reviewer looking at HELOC SHAP values would otherwise see loan term as a top driver, which is economically implausible for a secured home equity product. The issue is neutralized at scoring time by standardising HELOC</w:t>
      </w:r>
      <w:r>
        <w:t xml:space="preserve"> </w:t>
      </w:r>
      <w:r>
        <w:rPr>
          <w:rStyle w:val="VerbatimChar"/>
        </w:rPr>
        <w:t xml:space="preserve">loan_term_months</w:t>
      </w:r>
      <w:r>
        <w:t xml:space="preserve"> </w:t>
      </w:r>
      <w:r>
        <w:t xml:space="preserve">to the training imputation value before the model sees it (</w:t>
      </w:r>
      <w:r>
        <w:rPr>
          <w:rStyle w:val="VerbatimChar"/>
        </w:rPr>
        <w:t xml:space="preserve">src/app/utils.py:443-448</w:t>
      </w:r>
      <w:r>
        <w:t xml:space="preserve">). The structural fix — separate per-product PD models — is now implemented as the v1.1 challenger architecture (see §</w:t>
      </w:r>
      <w:r>
        <w:t xml:space="preserve">“</w:t>
      </w:r>
      <w:r>
        <w:t xml:space="preserve">v1.1 — Segmented Product Models</w:t>
      </w:r>
      <w:r>
        <w:t xml:space="preserve">”</w:t>
      </w:r>
      <w:r>
        <w:t xml:space="preserve"> </w:t>
      </w:r>
      <w:r>
        <w:t xml:space="preserve">below).</w:t>
      </w:r>
    </w:p>
    <w:p>
      <w:r>
        <w:pict>
          <v:rect style="width:0;height:1.5pt" o:hralign="center" o:hrstd="t" o:hr="t"/>
        </w:pict>
      </w:r>
    </w:p>
    <w:bookmarkEnd w:id="32"/>
    <w:bookmarkStart w:id="33" w:name="human-oversight-requirements"/>
    <w:p>
      <w:pPr>
        <w:pStyle w:val="Heading2"/>
      </w:pPr>
      <w:r>
        <w:t xml:space="preserve">Human Oversight Requirements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Tier A/B</w:t>
      </w:r>
      <w:r>
        <w:t xml:space="preserve"> </w:t>
      </w:r>
      <w:r>
        <w:t xml:space="preserve">(score 680+): Automated approval permitted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Tier C</w:t>
      </w:r>
      <w:r>
        <w:t xml:space="preserve"> </w:t>
      </w:r>
      <w:r>
        <w:t xml:space="preserve">(630-679): Human review recommended for amounts &gt; $15,000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Tier D/E</w:t>
      </w:r>
      <w:r>
        <w:t xml:space="preserve"> </w:t>
      </w:r>
      <w:r>
        <w:t xml:space="preserve">(score &lt; 630): Human review required for all exceptions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Model review trigger</w:t>
      </w:r>
      <w:r>
        <w:t xml:space="preserve">: PSI &gt; 0.25 on monthly monitoring (OSFI E-23)</w:t>
      </w:r>
    </w:p>
    <w:p>
      <w:r>
        <w:pict>
          <v:rect style="width:0;height:1.5pt" o:hralign="center" o:hrstd="t" o:hr="t"/>
        </w:pict>
      </w:r>
    </w:p>
    <w:bookmarkEnd w:id="33"/>
    <w:bookmarkStart w:id="34" w:name="governance"/>
    <w:p>
      <w:pPr>
        <w:pStyle w:val="Heading2"/>
      </w:pPr>
      <w:r>
        <w:t xml:space="preserve">Governance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Model owner</w:t>
      </w:r>
      <w:r>
        <w:t xml:space="preserve">: Credit Risk &amp; Strategy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Validation frequency</w:t>
      </w:r>
      <w:r>
        <w:t xml:space="preserve">: Annual full validation, quarterly monitoring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Next review date</w:t>
      </w:r>
      <w:r>
        <w:t xml:space="preserve">: April 2027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Regulatory alignment</w:t>
      </w:r>
      <w:r>
        <w:t xml:space="preserve">: OSFI E-23, Basel III IRB, IFRS 9, ECOA, Regulation B</w:t>
      </w:r>
    </w:p>
    <w:p>
      <w:r>
        <w:pict>
          <v:rect style="width:0;height:1.5pt" o:hralign="center" o:hrstd="t" o:hr="t"/>
        </w:pict>
      </w:r>
    </w:p>
    <w:bookmarkEnd w:id="34"/>
    <w:bookmarkStart w:id="35" w:name="v1.1-segmented-product-models-challenger"/>
    <w:p>
      <w:pPr>
        <w:pStyle w:val="Heading2"/>
      </w:pPr>
      <w:r>
        <w:t xml:space="preserve">v1.1 — Segmented Product Models (Challenger)</w:t>
      </w:r>
    </w:p>
    <w:p>
      <w:pPr>
        <w:pStyle w:val="FirstParagraph"/>
      </w:pPr>
      <w:r>
        <w:t xml:space="preserve">Alongside the v1.0 unified XGBoost, a v1.1 challenger architecture trains separate PD models</w:t>
      </w:r>
      <w:r>
        <w:t xml:space="preserve"> </w:t>
      </w:r>
      <w:r>
        <w:t xml:space="preserve">for each product segment: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Unsecured model</w:t>
      </w:r>
      <w:r>
        <w:t xml:space="preserve">: trained on LendingClub only (2.2M rows). Excludes product-interaction</w:t>
      </w:r>
      <w:r>
        <w:t xml:space="preserve"> </w:t>
      </w:r>
      <w:r>
        <w:t xml:space="preserve">features and</w:t>
      </w:r>
      <w:r>
        <w:t xml:space="preserve"> </w:t>
      </w:r>
      <w:r>
        <w:rPr>
          <w:rStyle w:val="VerbatimChar"/>
        </w:rPr>
        <w:t xml:space="preserve">loan_term_months</w:t>
      </w:r>
      <w:r>
        <w:t xml:space="preserve"> </w:t>
      </w:r>
      <w:r>
        <w:t xml:space="preserve">(product proxy).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Secured model</w:t>
      </w:r>
      <w:r>
        <w:t xml:space="preserve">: trained on FICO HELOC only (10K rows). Excludes the same proxy features.</w:t>
      </w:r>
    </w:p>
    <w:p>
      <w:pPr>
        <w:pStyle w:val="FirstParagraph"/>
      </w:pPr>
      <w:r>
        <w:rPr>
          <w:bCs/>
          <w:b/>
        </w:rPr>
        <w:t xml:space="preserve">Expected lift</w:t>
      </w:r>
      <w:r>
        <w:t xml:space="preserve"> </w:t>
      </w:r>
      <w:r>
        <w:t xml:space="preserve">(OOT test): Unsecured AUC ≈ 0.72, Secured AUC ≈ 0.76 — both above the v1.0</w:t>
      </w:r>
      <w:r>
        <w:t xml:space="preserve"> </w:t>
      </w:r>
      <w:r>
        <w:t xml:space="preserve">combined AUC of 0.68, primarily because product-proxy leakage is removed.</w:t>
      </w:r>
    </w:p>
    <w:p>
      <w:pPr>
        <w:pStyle w:val="BodyText"/>
      </w:pPr>
      <w:r>
        <w:rPr>
          <w:bCs/>
          <w:b/>
        </w:rPr>
        <w:t xml:space="preserve">Why v1.0 remains the champion for now:</w:t>
      </w:r>
      <w:r>
        <w:t xml:space="preserve"> </w:t>
      </w:r>
      <w:r>
        <w:t xml:space="preserve">1. HELOC thin-data overfitting risk (10K rows vs 2.2M unsecured).</w:t>
      </w:r>
      <w:r>
        <w:t xml:space="preserve"> </w:t>
      </w:r>
      <w:r>
        <w:t xml:space="preserve">2. 2× operational overhead (two model cards, monitoring pipelines, governance docs).</w:t>
      </w:r>
      <w:r>
        <w:t xml:space="preserve"> </w:t>
      </w:r>
      <w:r>
        <w:t xml:space="preserve">3. Cross-product score incomparability — important for portfolio-level capital allocation.</w:t>
      </w:r>
    </w:p>
    <w:p>
      <w:pPr>
        <w:pStyle w:val="BodyText"/>
      </w:pPr>
      <w:r>
        <w:rPr>
          <w:bCs/>
          <w:b/>
        </w:rPr>
        <w:t xml:space="preserve">Usage posture</w:t>
      </w:r>
      <w:r>
        <w:t xml:space="preserve">: v1.1 segmented models are used for per-product monitoring, challenger</w:t>
      </w:r>
      <w:r>
        <w:t xml:space="preserve"> </w:t>
      </w:r>
      <w:r>
        <w:t xml:space="preserve">validation, and thin-file segment performance analysis. The v1.0 unified model remains</w:t>
      </w:r>
      <w:r>
        <w:t xml:space="preserve"> </w:t>
      </w:r>
      <w:r>
        <w:t xml:space="preserve">the production decisioning model until a governance decision upgrades the champion.</w:t>
      </w:r>
    </w:p>
    <w:p>
      <w:pPr>
        <w:pStyle w:val="BodyText"/>
      </w:pPr>
      <w:r>
        <w:rPr>
          <w:bCs/>
          <w:b/>
        </w:rPr>
        <w:t xml:space="preserve">Artifacts</w:t>
      </w:r>
      <w:r>
        <w:t xml:space="preserve">:</w:t>
      </w:r>
      <w:r>
        <w:t xml:space="preserve"> </w:t>
      </w:r>
      <w:r>
        <w:t xml:space="preserve">- Code:</w:t>
      </w:r>
      <w:r>
        <w:t xml:space="preserve"> </w:t>
      </w:r>
      <w:r>
        <w:rPr>
          <w:rStyle w:val="VerbatimChar"/>
        </w:rPr>
        <w:t xml:space="preserve">src/models/pd_model_segmented.py</w:t>
      </w:r>
      <w:r>
        <w:t xml:space="preserve"> </w:t>
      </w:r>
      <w:r>
        <w:t xml:space="preserve">- Runner:</w:t>
      </w:r>
      <w:r>
        <w:t xml:space="preserve"> </w:t>
      </w:r>
      <w:r>
        <w:rPr>
          <w:rStyle w:val="VerbatimChar"/>
        </w:rPr>
        <w:t xml:space="preserve">notebooks/phase4b/04b_segmented_models.py</w:t>
      </w:r>
      <w:r>
        <w:t xml:space="preserve"> </w:t>
      </w:r>
      <w:r>
        <w:t xml:space="preserve">- Comparison:</w:t>
      </w:r>
      <w:r>
        <w:t xml:space="preserve"> </w:t>
      </w:r>
      <w:r>
        <w:rPr>
          <w:rStyle w:val="VerbatimChar"/>
        </w:rPr>
        <w:t xml:space="preserve">reports/phase4/model_comparison_segmented.csv</w:t>
      </w:r>
      <w:r>
        <w:t xml:space="preserve"> </w:t>
      </w:r>
      <w:r>
        <w:t xml:space="preserve">- Models (once trained):</w:t>
      </w:r>
      <w:r>
        <w:t xml:space="preserve"> </w:t>
      </w:r>
      <w:r>
        <w:rPr>
          <w:rStyle w:val="VerbatimChar"/>
        </w:rPr>
        <w:t xml:space="preserve">models/xgb_pd_unsecured.pkl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models/xgb_pd_secured.pkl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2026-04-22T20:41:57Z</dcterms:created>
  <dcterms:modified xsi:type="dcterms:W3CDTF">2026-04-22T20:41:57Z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