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Credit Risk &amp; Fraud Detection Platform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i/>
          <w:iCs/>
          <w:color w:val="555555"/>
        </w:rPr>
        <w:t xml:space="preserve">An end-to-end credit risk decisioning platform that integrates PD/LGD/EAD modelling, fraud detection, explainability, and regulatory analytics into a unified workflow. Trained on real-world LendingClub + FICO HELOC data.</w:t>
      </w:r>
    </w:p>
    <w:p>
      <w:pPr>
        <w:spacing w:after="120"/>
      </w:pPr>
      <w:r>
        <w:t xml:space="preserve"> 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What this is</w:t>
      </w:r>
    </w:p>
    <w:p>
      <w:pPr>
        <w:spacing w:after="120"/>
      </w:pPr>
      <w:r>
        <w:t xml:space="preserve">A credit risk </w:t>
      </w:r>
      <w:r>
        <w:rPr>
          <w:b/>
          <w:bCs/>
        </w:rPr>
        <w:t xml:space="preserve">decisioning system</w:t>
      </w:r>
      <w:r>
        <w:t xml:space="preserve"> — not a single model. The platform ingests a loan application, runs it through a hierarchical decision engine (fraud gate → hard policy → credit model → refer band → approve), and produces a fully explained decision with all the regulatory artifacts a Canadian non-bank lender would need to document it: SHAP-based adverse reasons, counterfactual recourse paths, IFRS 9 ECL provision, Basel III RWA, risk-based price, and an LLM-drafted credit memo.</w:t>
      </w:r>
    </w:p>
    <w:p>
      <w:pPr>
        <w:spacing w:after="120"/>
      </w:pPr>
      <w:r>
        <w:t xml:space="preserve">Most portfolio projects build a single XGBoost model and call it done. This project reproduces how real lenders actually decide — integrated credit + fraud + policy + explainability + compliance in one coherent system.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Quick demo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https://github.com/hammadmrza/credit-risk-platform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credit-risk-platform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Drop raw data into data/raw/ — see QUICKSTART.md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build.py              # ~15-25 min, builds all 9 phases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streamlit run src/app/streamlit_app.py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Opens at </w:t>
      </w:r>
      <w:r>
        <w:rPr>
          <w:rFonts w:ascii="Consolas" w:cs="Consolas" w:eastAsia="Consolas" w:hAnsi="Consolas"/>
          <w:shd w:fill="F3F3F3" w:val="clear"/>
        </w:rPr>
        <w:t xml:space="preserve">http://localhost:8501</w:t>
      </w:r>
      <w:r>
        <w:t xml:space="preserve"> with seven interactive tabs.</w:t>
      </w:r>
    </w:p>
    <w:p>
      <w:pPr>
        <w:spacing w:after="120"/>
      </w:pPr>
      <w:r>
        <w:rPr>
          <w:b/>
          <w:bCs/>
        </w:rPr>
        <w:t xml:space="preserve">See </w:t>
      </w:r>
      <w:r>
        <w:rPr>
          <w:b/>
          <w:bCs/>
          <w:color w:val="0563C1"/>
          <w:u w:val="single"/>
        </w:rPr>
        <w:t xml:space="preserve">QUICKSTART.md</w:t>
      </w:r>
      <w:r>
        <w:rPr>
          <w:b/>
          <w:bCs/>
        </w:rPr>
        <w:t xml:space="preserve"> for detailed installation and data download instructions.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What it does — seven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· Application Assessment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Single-applicant scoring. Decision banner, SHAP waterfall, adverse reasons, counterfactual recourse paths, IFRS 9 stage, RWA, and a Llama-3-drafted credit memo.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· Batch Portfolio Scoring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Score the 194K-loan OOT test portfolio or upload a CSV. Filter by product, tier, decision, Expected Loss. Product × tier concentration pivot.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· Model Performance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AUC / KS / Gini · ROC curve · KS separation · Calibration by decile with Brier score · Confusion matrix at adjustable threshold · Lift and gains · </w:t>
            </w:r>
            <w:r>
              <w:rPr>
                <w:b/>
                <w:bCs/>
                <w:sz w:val="20"/>
                <w:szCs w:val="20"/>
              </w:rPr>
              <w:t xml:space="preserve">v1.0 unified vs v1.1 per-product segmented comparison</w:t>
            </w:r>
            <w:r>
              <w:rPr>
                <w:sz w:val="20"/>
                <w:szCs w:val="20"/>
              </w:rPr>
              <w:t xml:space="preserve"> · SHAP global importance · PSI/CSI feature stability · Fairness disclosure.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 · Compliance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Basel III IRB capital with CAR properly computed as available-capital / RWA · IFRS 9 ECL by stage with industry coverage bands colour-coded · Macroeconomic stress test (Base / Adverse / Severe).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· Risk-Based Pricing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Rate decomposition calculator · Canadian market rate comparison (prime bank / credit union / fintech / subprime / B-lender HELOC) · </w:t>
            </w:r>
            <w:r>
              <w:rPr>
                <w:b/>
                <w:bCs/>
                <w:sz w:val="20"/>
                <w:szCs w:val="20"/>
              </w:rPr>
              <w:t xml:space="preserve">Profit curve with portfolio-derived profit-max approval threshold</w:t>
            </w:r>
            <w:r>
              <w:rPr>
                <w:sz w:val="20"/>
                <w:szCs w:val="20"/>
              </w:rPr>
              <w:t xml:space="preserve"> · Cost-of-funds sensitivity.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 · Fraud Monitoring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Alert tier distribution · Fraud type breakdown · FPD lift analysis · </w:t>
            </w:r>
            <w:r>
              <w:rPr>
                <w:b/>
                <w:bCs/>
                <w:sz w:val="20"/>
                <w:szCs w:val="20"/>
              </w:rPr>
              <w:t xml:space="preserve">Fraud trend over time with spike detection</w:t>
            </w:r>
            <w:r>
              <w:rPr>
                <w:sz w:val="20"/>
                <w:szCs w:val="20"/>
              </w:rPr>
              <w:t xml:space="preserve"> · Product × fraud-type drill-down · Investigation queue with column definitions.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 · Executive Dashboard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Three sub-views: Portfolio Health, Model Monitoring, Risk Concentration. Designed for CRO / Board Risk Committee.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Architecture in one picture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data/raw/                          ← LendingClub + HELOC CSVs (downloaded once)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lending_club_loans.csv         ← 2.2M rows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heloc_dataset_v1.csv           ← 10K rows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▼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src/data/        Phase 1           ← Clean · harmonize · OOT split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src/features/    Phase 3           ← Impute · engineer · WoE-bin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src/models/      Phase 4 + 6       ← Train PD / LGD / EAD · RWA · ECL · stress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src/explainability/ Phase 5        ← SHAP · counterfactuals · fairness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src/data/ (fraud)  Phase 9         ← Fraud labels + 14 fraud features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▼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models/                            ← 12 trained artifacts (.pkl)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▼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src/llm/         Phase 7           ← Ollama LLM for credit memos + adverse letters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src/api/         Phase 7           ← FastAPI real-time scoring endpoint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src/app/         Phase 8           ← 7-tab Streamlit application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Every phase feeds the next. Nothing is orphaned; nothing is duplicated.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Tech stack</w:t>
      </w:r>
    </w:p>
    <w:p>
      <w:pPr>
        <w:spacing w:after="120"/>
      </w:pPr>
      <w:r>
        <w:rPr>
          <w:b/>
          <w:bCs/>
        </w:rPr>
        <w:t xml:space="preserve">Modelling</w:t>
      </w:r>
      <w:r>
        <w:t xml:space="preserve"> · scikit-learn · XGBoost · OptBinning (WoE/IV) · SHAP · numpy / pandas </w:t>
      </w:r>
      <w:r>
        <w:rPr>
          <w:b/>
          <w:bCs/>
        </w:rPr>
        <w:t xml:space="preserve">App</w:t>
      </w:r>
      <w:r>
        <w:t xml:space="preserve"> · Streamlit · Plotly · FastAPI · Ollama (Llama 3 local) </w:t>
      </w:r>
      <w:r>
        <w:rPr>
          <w:b/>
          <w:bCs/>
        </w:rPr>
        <w:t xml:space="preserve">Data</w:t>
      </w:r>
      <w:r>
        <w:t xml:space="preserve"> · 2.2M LendingClub loans (2007–2018) · 10K FICO HELOC records </w:t>
      </w:r>
      <w:r>
        <w:rPr>
          <w:b/>
          <w:bCs/>
        </w:rPr>
        <w:t xml:space="preserve">Regulatory frameworks</w:t>
      </w:r>
      <w:r>
        <w:t xml:space="preserve"> · OSFI B-20 / E-23 · Basel III IRB · IFRS 9 ECL · Criminal Code s.347 · ECOA / Reg B adverse-action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The v1.1 story — why segmentation matters</w:t>
      </w:r>
    </w:p>
    <w:p>
      <w:pPr>
        <w:spacing w:after="120"/>
      </w:pPr>
      <w:r>
        <w:t xml:space="preserve">The v1.0 unified model reports combined OOT AUC of ~0.68, which at first glance looks weak. The underlying cause is architectural, not modelling: when two product books (unsecured LendingClub + secured HELOC) are trained into one XGBoost, </w:t>
      </w:r>
      <w:r>
        <w:rPr>
          <w:rFonts w:ascii="Consolas" w:cs="Consolas" w:eastAsia="Consolas" w:hAnsi="Consolas"/>
          <w:shd w:fill="F3F3F3" w:val="clear"/>
        </w:rPr>
        <w:t xml:space="preserve">loan_term_months</w:t>
      </w:r>
      <w:r>
        <w:t xml:space="preserve"> becomes a product-type proxy (36/60-month unsecured vs imputed-36 HELOC) and absorbs signal that belongs to real credit features.</w:t>
      </w:r>
    </w:p>
    <w:p>
      <w:pPr>
        <w:spacing w:after="120"/>
      </w:pPr>
      <w:r>
        <w:t xml:space="preserve">The v1.1 challenger architecture (</w:t>
      </w:r>
      <w:r>
        <w:rPr>
          <w:rFonts w:ascii="Consolas" w:cs="Consolas" w:eastAsia="Consolas" w:hAnsi="Consolas"/>
          <w:shd w:fill="F3F3F3" w:val="clear"/>
        </w:rPr>
        <w:t xml:space="preserve">src/models/pd_model_segmented.py</w:t>
      </w:r>
      <w:r>
        <w:t xml:space="preserve"> + </w:t>
      </w:r>
      <w:r>
        <w:rPr>
          <w:rFonts w:ascii="Consolas" w:cs="Consolas" w:eastAsia="Consolas" w:hAnsi="Consolas"/>
          <w:shd w:fill="F3F3F3" w:val="clear"/>
        </w:rPr>
        <w:t xml:space="preserve">notebooks/phase4b/</w:t>
      </w:r>
      <w:r>
        <w:t xml:space="preserve">) trains separate PD models per product and excludes the proxy features. Expected OOT lift: Unsecured ~0.72, Secured ~0.76 — both deployment-grade.</w:t>
      </w:r>
    </w:p>
    <w:p>
      <w:pPr>
        <w:spacing w:after="120"/>
      </w:pPr>
      <w:r>
        <w:t xml:space="preserve">The v1.0 unified model remains champion for </w:t>
      </w:r>
      <w:r>
        <w:rPr>
          <w:b/>
          <w:bCs/>
        </w:rPr>
        <w:t xml:space="preserve">cross-product decisioning</w:t>
      </w:r>
      <w:r>
        <w:t xml:space="preserve"> because: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HELOC thin-data overfitting risk (10K rows vs 2.2M unsecured)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2× operational overhead (two model cards, monitoring pipelines, OSFI governance documents)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Cross-product score incomparability — important for portfolio-level capital allocation and concentration limits</w:t>
      </w:r>
    </w:p>
    <w:p>
      <w:pPr>
        <w:spacing w:after="120"/>
      </w:pPr>
      <w:r>
        <w:t xml:space="preserve">The segmented models are used for </w:t>
      </w:r>
      <w:r>
        <w:rPr>
          <w:b/>
          <w:bCs/>
        </w:rPr>
        <w:t xml:space="preserve">per-product monitoring, challenger validation, and thin-file performance analysis</w:t>
      </w:r>
      <w:r>
        <w:t xml:space="preserve">. Both are shown side-by-side in Tab 3, Section 3.</w:t>
      </w:r>
    </w:p>
    <w:p>
      <w:pPr>
        <w:spacing w:after="120"/>
      </w:pPr>
      <w:r>
        <w:t xml:space="preserve">This is documented in </w:t>
      </w:r>
      <w:r>
        <w:rPr>
          <w:color w:val="0563C1"/>
          <w:u w:val="single"/>
        </w:rPr>
        <w:t xml:space="preserve">`MODEL_CARD.md`</w:t>
      </w:r>
      <w:r>
        <w:t xml:space="preserve"> and disclosed in the Streamlit app itself — in line with OSFI E-23 expectations for model risk management.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What makes this different from a typical portfolio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Hierarchical decision engine.</w:t>
      </w:r>
      <w:r>
        <w:t xml:space="preserve"> Fraud → policy → credit → refer → approve. Policy failures route to the right adverse-action letter reason (not SHAP), fraud declines never expose the fraud reason to the applicant (FCAC compliance).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Calibration-first validation.</w:t>
      </w:r>
      <w:r>
        <w:t xml:space="preserve"> Tab 3 leads with Brier score, calibration gap, and per-product segment calibration — because for IFRS 9 and Basel capital, well-calibrated 0.72 AUC beats miscalibrated 0.80 AUC.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Regulatory grounding.</w:t>
      </w:r>
      <w:r>
        <w:t xml:space="preserve"> Basel III IRB formula shown in full (not just the number), IFRS 9 origination-PD proxy explicitly disclosed, Criminal Code s.347 35% APR cap enforced visibly in pricing, Stage 1/2/3 coverage bands colour-coded against industry benchmarks.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Honest disclosure as a feature.</w:t>
      </w:r>
      <w:r>
        <w:t xml:space="preserve"> Every synthetic proxy, every simplifying assumption, every known limitation is surfaced in yellow callout boxes inside the app itself. A reviewer sees the limitations before they need to 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Product-proxy detection.</w:t>
      </w:r>
      <w:r>
        <w:t xml:space="preserve"> The </w:t>
      </w:r>
      <w:r>
        <w:rPr>
          <w:rFonts w:ascii="Consolas" w:cs="Consolas" w:eastAsia="Consolas" w:hAnsi="Consolas"/>
          <w:shd w:fill="F3F3F3" w:val="clear"/>
        </w:rPr>
        <w:t xml:space="preserve">loan_term_months</w:t>
      </w:r>
      <w:r>
        <w:t xml:space="preserve"> issue was found during validation and documented in MODEL_CARD §6. The v1.1 segmented models demonstrate the fix. This is the kind of finding OSFI E-23 validators look for.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563C1"/>
                <w:sz w:val="20"/>
                <w:szCs w:val="20"/>
                <w:u w:val="single"/>
              </w:rPr>
              <w:t xml:space="preserve">README.md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You are here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563C1"/>
                <w:sz w:val="20"/>
                <w:szCs w:val="20"/>
                <w:u w:val="single"/>
              </w:rPr>
              <w:t xml:space="preserve">QUICKSTART.md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Install, download data, run the pipeline, launch the app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563C1"/>
                <w:sz w:val="20"/>
                <w:szCs w:val="20"/>
                <w:u w:val="single"/>
              </w:rPr>
              <w:t xml:space="preserve">PRODUCT_GUIDE.md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What the platform does, tab-by-tab walkthrough, models, data sources, limitations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563C1"/>
                <w:sz w:val="20"/>
                <w:szCs w:val="20"/>
                <w:u w:val="single"/>
              </w:rPr>
              <w:t xml:space="preserve">CREDIT_POLICY.md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Formal credit policy in the voice a real lender's risk team and OSFI examiner would expect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563C1"/>
                <w:sz w:val="20"/>
                <w:szCs w:val="20"/>
                <w:u w:val="single"/>
              </w:rPr>
              <w:t xml:space="preserve">MODEL_CARD.md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OSFI E-23 model governance document — intended use, training data, metrics, v1.1 challenger, limitations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563C1"/>
                <w:sz w:val="20"/>
                <w:szCs w:val="20"/>
                <w:u w:val="single"/>
              </w:rPr>
              <w:t xml:space="preserve">CHANGELOG_v1.1.md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v1.1 release notes — 31 fixes plus the segmented pipeline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563C1"/>
                <w:sz w:val="20"/>
                <w:szCs w:val="20"/>
                <w:u w:val="single"/>
              </w:rPr>
              <w:t xml:space="preserve">INSTALLATION_GUIDE.md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Detailed file-placement map (generated with v1.1 release)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Data — not included in repo</w:t>
      </w:r>
    </w:p>
    <w:p>
      <w:pPr>
        <w:spacing w:after="120"/>
      </w:pPr>
      <w:r>
        <w:t xml:space="preserve">The repo does </w:t>
      </w:r>
      <w:r>
        <w:rPr>
          <w:b/>
          <w:bCs/>
        </w:rPr>
        <w:t xml:space="preserve">not</w:t>
      </w:r>
      <w:r>
        <w:t xml:space="preserve"> include raw loan data. Download both files and place in </w:t>
      </w:r>
      <w:r>
        <w:rPr>
          <w:rFonts w:ascii="Consolas" w:cs="Consolas" w:eastAsia="Consolas" w:hAnsi="Consolas"/>
          <w:shd w:fill="F3F3F3" w:val="clear"/>
        </w:rPr>
        <w:t xml:space="preserve">data/raw/</w:t>
      </w:r>
      <w:r>
        <w:t xml:space="preserve">:</w:t>
      </w:r>
    </w:p>
    <w:p>
      <w:pPr>
        <w:spacing w:after="120"/>
      </w:pPr>
      <w:r>
        <w:rPr>
          <w:b/>
          <w:bCs/>
        </w:rPr>
        <w:t xml:space="preserve">LendingClub Loan Data (2007–2018)</w:t>
      </w:r>
      <w:r>
        <w:t xml:space="preserve"> — Unsecured personal loans (2.2M rows) Source: </w:t>
      </w:r>
      <w:r>
        <w:rPr>
          <w:color w:val="0563C1"/>
          <w:u w:val="single"/>
        </w:rPr>
        <w:t xml:space="preserve">Kaggle — wordsforthewise/lending-club</w:t>
      </w:r>
      <w:r>
        <w:t xml:space="preserve"> Filename: </w:t>
      </w:r>
      <w:r>
        <w:rPr>
          <w:rFonts w:ascii="Consolas" w:cs="Consolas" w:eastAsia="Consolas" w:hAnsi="Consolas"/>
          <w:shd w:fill="F3F3F3" w:val="clear"/>
        </w:rPr>
        <w:t xml:space="preserve">lending_club_loans.csv</w:t>
      </w:r>
      <w:r>
        <w:t xml:space="preserve"> (~1.5 GB)</w:t>
      </w:r>
    </w:p>
    <w:p>
      <w:pPr>
        <w:spacing w:after="120"/>
      </w:pPr>
      <w:r>
        <w:rPr>
          <w:b/>
          <w:bCs/>
        </w:rPr>
        <w:t xml:space="preserve">FICO HELOC Dataset v1</w:t>
      </w:r>
      <w:r>
        <w:t xml:space="preserve"> — Secured home equity lines (10K rows) Source: </w:t>
      </w:r>
      <w:r>
        <w:rPr>
          <w:color w:val="0563C1"/>
          <w:u w:val="single"/>
        </w:rPr>
        <w:t xml:space="preserve">FICO Explainable ML Challenge</w:t>
      </w:r>
      <w:r>
        <w:t xml:space="preserve"> Filename: </w:t>
      </w:r>
      <w:r>
        <w:rPr>
          <w:rFonts w:ascii="Consolas" w:cs="Consolas" w:eastAsia="Consolas" w:hAnsi="Consolas"/>
          <w:shd w:fill="F3F3F3" w:val="clear"/>
        </w:rPr>
        <w:t xml:space="preserve">heloc_dataset_v1.csv</w:t>
      </w:r>
      <w:r>
        <w:t xml:space="preserve"> (~660 KB)</w:t>
      </w:r>
    </w:p>
    <w:p>
      <w:pPr>
        <w:spacing w:after="120"/>
      </w:pPr>
      <w:r>
        <w:t xml:space="preserve">See </w:t>
      </w:r>
      <w:r>
        <w:rPr>
          <w:color w:val="0563C1"/>
          <w:u w:val="single"/>
        </w:rPr>
        <w:t xml:space="preserve">QUICKSTART.md</w:t>
      </w:r>
      <w:r>
        <w:t xml:space="preserve"> for detailed download and placement steps.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Scope and what this platform is NOT</w:t>
      </w:r>
    </w:p>
    <w:p>
      <w:pPr>
        <w:spacing w:after="120"/>
      </w:pPr>
      <w:r>
        <w:t xml:space="preserve">This is a portfolio-quality demonstration of commercial credit-risk methodology. It is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production credit risk system (no LOS integration, no real-time credit bureau feed, no SOC 2 audit)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substitute for formal OSFI E-23 model validation (use the MODEL_CARD as a starting framework, not the endpoint)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compliance opinion on ECOA, Reg B, or FCAC requirements (consult counsel)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recommendation engine for actual lending decisions</w:t>
      </w:r>
    </w:p>
    <w:p>
      <w:pPr>
        <w:spacing w:after="120"/>
      </w:pPr>
      <w:r>
        <w:t xml:space="preserve">It </w:t>
      </w:r>
      <w:r>
        <w:rPr>
          <w:b/>
          <w:bCs/>
        </w:rPr>
        <w:t xml:space="preserve">is</w:t>
      </w:r>
      <w:r>
        <w:t xml:space="preserve"> a credible demonstration that I understand how a real credit risk decisioning system is architected, validated, disclosed, and governed.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Built by</w:t>
      </w:r>
    </w:p>
    <w:p>
      <w:pPr>
        <w:spacing w:after="120"/>
      </w:pPr>
      <w:r>
        <w:rPr>
          <w:b/>
          <w:bCs/>
        </w:rPr>
        <w:t xml:space="preserve">Hammad Mirza</w:t>
      </w:r>
      <w:r>
        <w:t xml:space="preserve"> </w:t>
      </w:r>
      <w:r>
        <w:rPr>
          <w:color w:val="0563C1"/>
          <w:u w:val="single"/>
        </w:rPr>
        <w:t xml:space="preserve">GitHub</w:t>
      </w:r>
    </w:p>
    <w:p>
      <w:pPr>
        <w:spacing w:after="120"/>
      </w:pPr>
      <w:r>
        <w:t xml:space="preserve">15+ years in financial services. MA in Information Systems &amp; Technology in progress at York University (expected December 2026).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License</w:t>
      </w:r>
    </w:p>
    <w:p>
      <w:pPr>
        <w:spacing w:after="120"/>
      </w:pPr>
      <w:r>
        <w:t xml:space="preserve">MIT — see </w:t>
      </w:r>
      <w:r>
        <w:rPr>
          <w:color w:val="0563C1"/>
          <w:u w:val="single"/>
        </w:rPr>
        <w:t xml:space="preserve">LICENSE</w:t>
      </w:r>
      <w:r>
        <w:t xml:space="preserve"> for full terms.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Credit Risk &amp; Fraud Detection Platform — 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5597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Risk &amp; Fraud Detection Platform — README</dc:title>
  <dc:creator>Hammad Mirza</dc:creator>
  <cp:lastModifiedBy>Un-named</cp:lastModifiedBy>
  <cp:revision>1</cp:revision>
  <dcterms:created xsi:type="dcterms:W3CDTF">2026-04-21T21:43:08.324Z</dcterms:created>
  <dcterms:modified xsi:type="dcterms:W3CDTF">2026-04-21T21:43:08.325Z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