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B9DD3" w14:textId="57164AA8" w:rsidR="0052347F" w:rsidRPr="00A51779" w:rsidRDefault="00000000" w:rsidP="00157712">
      <w:pPr>
        <w:spacing w:line="480" w:lineRule="auto"/>
        <w:jc w:val="center"/>
      </w:pPr>
      <w:r w:rsidRPr="00A51779">
        <w:rPr>
          <w:b/>
          <w:bCs/>
        </w:rPr>
        <w:t>When Does Model Complexity Pay Off? A Forecast-Horizon Crossover in Power-Sector CO</w:t>
      </w:r>
      <w:r w:rsidR="0074097A" w:rsidRPr="0074097A">
        <w:rPr>
          <w:b/>
          <w:bCs/>
          <w:vertAlign w:val="subscript"/>
        </w:rPr>
        <w:t>2</w:t>
      </w:r>
      <w:r w:rsidRPr="00A51779">
        <w:rPr>
          <w:b/>
          <w:bCs/>
        </w:rPr>
        <w:t xml:space="preserve"> Emissions</w:t>
      </w:r>
    </w:p>
    <w:p w14:paraId="03B25E47" w14:textId="1407EB36" w:rsidR="0052347F" w:rsidRPr="00A51779" w:rsidRDefault="00000000" w:rsidP="00157712">
      <w:pPr>
        <w:spacing w:line="480" w:lineRule="auto"/>
        <w:jc w:val="center"/>
      </w:pPr>
      <w:r w:rsidRPr="00A51779">
        <w:rPr>
          <w:i/>
          <w:iCs/>
        </w:rPr>
        <w:t>Ikram Moulay</w:t>
      </w:r>
      <w:r w:rsidRPr="00A51779">
        <w:rPr>
          <w:i/>
          <w:iCs/>
          <w:vertAlign w:val="superscript"/>
        </w:rPr>
        <w:t>1,†</w:t>
      </w:r>
      <w:r w:rsidRPr="00A51779">
        <w:rPr>
          <w:i/>
          <w:iCs/>
        </w:rPr>
        <w:t>, Moussa Redah</w:t>
      </w:r>
      <w:r w:rsidRPr="00A51779">
        <w:rPr>
          <w:i/>
          <w:iCs/>
          <w:vertAlign w:val="superscript"/>
        </w:rPr>
        <w:t>2</w:t>
      </w:r>
      <w:r w:rsidRPr="00A51779">
        <w:rPr>
          <w:i/>
          <w:iCs/>
        </w:rPr>
        <w:t>, Sahar Merrouche</w:t>
      </w:r>
      <w:r w:rsidRPr="00A51779">
        <w:rPr>
          <w:i/>
          <w:iCs/>
          <w:vertAlign w:val="superscript"/>
        </w:rPr>
        <w:t>3</w:t>
      </w:r>
      <w:r w:rsidRPr="00A51779">
        <w:rPr>
          <w:i/>
          <w:iCs/>
        </w:rPr>
        <w:t>, Yousef</w:t>
      </w:r>
      <w:r w:rsidR="00DF4A43" w:rsidRPr="00A51779">
        <w:rPr>
          <w:i/>
          <w:iCs/>
        </w:rPr>
        <w:t xml:space="preserve"> A.</w:t>
      </w:r>
      <w:r w:rsidRPr="00A51779">
        <w:rPr>
          <w:i/>
          <w:iCs/>
        </w:rPr>
        <w:t xml:space="preserve"> Alsunni</w:t>
      </w:r>
      <w:r w:rsidRPr="00A51779">
        <w:rPr>
          <w:i/>
          <w:iCs/>
          <w:vertAlign w:val="superscript"/>
        </w:rPr>
        <w:t>1</w:t>
      </w:r>
      <w:r w:rsidRPr="00A51779">
        <w:rPr>
          <w:i/>
          <w:iCs/>
        </w:rPr>
        <w:t>, Omar J. Hammad</w:t>
      </w:r>
      <w:r w:rsidR="004779CE" w:rsidRPr="00A51779">
        <w:rPr>
          <w:i/>
          <w:iCs/>
          <w:vertAlign w:val="superscript"/>
        </w:rPr>
        <w:t>2</w:t>
      </w:r>
    </w:p>
    <w:p w14:paraId="6CD78D3A" w14:textId="344CD578" w:rsidR="0052347F" w:rsidRPr="00A51779" w:rsidRDefault="00000000" w:rsidP="004779CE">
      <w:pPr>
        <w:spacing w:line="480" w:lineRule="auto"/>
        <w:jc w:val="both"/>
      </w:pPr>
      <w:r w:rsidRPr="00A51779">
        <w:rPr>
          <w:vertAlign w:val="superscript"/>
        </w:rPr>
        <w:t>1</w:t>
      </w:r>
      <w:r w:rsidRPr="00A51779">
        <w:t>Department of Chemical Engineering, King Fahd University of Petroleum &amp; Minerals, Dhahran 31261, Saudi Arabia</w:t>
      </w:r>
    </w:p>
    <w:p w14:paraId="2451D632" w14:textId="32990B22" w:rsidR="0052347F" w:rsidRPr="00A51779" w:rsidRDefault="00000000" w:rsidP="004779CE">
      <w:pPr>
        <w:spacing w:line="480" w:lineRule="auto"/>
        <w:jc w:val="both"/>
      </w:pPr>
      <w:r w:rsidRPr="00A51779">
        <w:rPr>
          <w:vertAlign w:val="superscript"/>
        </w:rPr>
        <w:t>2</w:t>
      </w:r>
      <w:r w:rsidRPr="00A51779">
        <w:t>Information and Computer Science Department, King Fahd University of Petroleum and Minerals, Dhahran, Saudi Arabia</w:t>
      </w:r>
    </w:p>
    <w:p w14:paraId="7292F3D5" w14:textId="5077876C" w:rsidR="0052347F" w:rsidRPr="00A51779" w:rsidRDefault="00000000" w:rsidP="004779CE">
      <w:pPr>
        <w:spacing w:line="480" w:lineRule="auto"/>
        <w:jc w:val="both"/>
      </w:pPr>
      <w:r w:rsidRPr="00A51779">
        <w:rPr>
          <w:vertAlign w:val="superscript"/>
        </w:rPr>
        <w:t>3</w:t>
      </w:r>
      <w:r w:rsidRPr="00A51779">
        <w:t>Department of Chemistry, King Fahd University of Petroleum &amp; Minerals, Dhahran 31261, Saudi Arabia</w:t>
      </w:r>
    </w:p>
    <w:p w14:paraId="0AA13103" w14:textId="10DDE3FC" w:rsidR="0052347F" w:rsidRPr="00A51779" w:rsidRDefault="00000000" w:rsidP="004779CE">
      <w:pPr>
        <w:spacing w:line="480" w:lineRule="auto"/>
        <w:jc w:val="center"/>
      </w:pPr>
      <w:r w:rsidRPr="00A51779">
        <w:rPr>
          <w:i/>
          <w:iCs/>
        </w:rPr>
        <w:t xml:space="preserve">† Corresponding Author Email: </w:t>
      </w:r>
      <w:hyperlink r:id="rId6" w:history="1">
        <w:r w:rsidR="004779CE" w:rsidRPr="009069EA">
          <w:rPr>
            <w:rStyle w:val="Hyperlink"/>
            <w:i/>
            <w:iCs/>
            <w:color w:val="215E99" w:themeColor="text2" w:themeTint="BF"/>
          </w:rPr>
          <w:t>kamymoulay@kaist.ac.kr</w:t>
        </w:r>
      </w:hyperlink>
    </w:p>
    <w:p w14:paraId="5F006DCB" w14:textId="77777777" w:rsidR="00157712" w:rsidRPr="00A51779" w:rsidRDefault="00157712" w:rsidP="00157712">
      <w:pPr>
        <w:pStyle w:val="Heading2"/>
        <w:spacing w:before="200" w:line="480" w:lineRule="auto"/>
        <w:jc w:val="both"/>
        <w:rPr>
          <w:b/>
          <w:bCs/>
          <w:i/>
          <w:iCs/>
          <w:color w:val="auto"/>
          <w:sz w:val="24"/>
          <w:szCs w:val="24"/>
        </w:rPr>
      </w:pPr>
    </w:p>
    <w:p w14:paraId="5ABDCCD8" w14:textId="77777777" w:rsidR="00A81B34" w:rsidRPr="00A51779" w:rsidRDefault="00A81B34" w:rsidP="00A81B34">
      <w:pPr>
        <w:pStyle w:val="Heading2"/>
        <w:spacing w:before="200" w:line="480" w:lineRule="auto"/>
        <w:rPr>
          <w:b/>
          <w:bCs/>
          <w:color w:val="auto"/>
          <w:sz w:val="24"/>
          <w:szCs w:val="24"/>
        </w:rPr>
      </w:pPr>
      <w:r w:rsidRPr="00A51779">
        <w:rPr>
          <w:b/>
          <w:bCs/>
          <w:color w:val="auto"/>
          <w:sz w:val="24"/>
          <w:szCs w:val="24"/>
        </w:rPr>
        <w:t>Highlights</w:t>
      </w:r>
    </w:p>
    <w:p w14:paraId="2496A958" w14:textId="77777777" w:rsidR="00F86A79" w:rsidRPr="00F86A79" w:rsidRDefault="00F86A79" w:rsidP="00F86A79">
      <w:pPr>
        <w:pStyle w:val="Heading2"/>
        <w:numPr>
          <w:ilvl w:val="0"/>
          <w:numId w:val="3"/>
        </w:numPr>
        <w:spacing w:line="480" w:lineRule="auto"/>
        <w:jc w:val="both"/>
        <w:rPr>
          <w:color w:val="auto"/>
          <w:sz w:val="24"/>
          <w:szCs w:val="24"/>
        </w:rPr>
      </w:pPr>
      <w:r w:rsidRPr="00F86A79">
        <w:rPr>
          <w:color w:val="auto"/>
          <w:sz w:val="24"/>
          <w:szCs w:val="24"/>
        </w:rPr>
        <w:t>Model rankings reverse smoothly as forecast horizon increases.</w:t>
      </w:r>
    </w:p>
    <w:p w14:paraId="42EB6059" w14:textId="1A1DAD42" w:rsidR="00F86A79" w:rsidRPr="00F86A79" w:rsidRDefault="00F86A79" w:rsidP="00F86A79">
      <w:pPr>
        <w:pStyle w:val="Heading2"/>
        <w:numPr>
          <w:ilvl w:val="0"/>
          <w:numId w:val="3"/>
        </w:numPr>
        <w:spacing w:line="480" w:lineRule="auto"/>
        <w:jc w:val="both"/>
        <w:rPr>
          <w:color w:val="auto"/>
          <w:sz w:val="24"/>
          <w:szCs w:val="24"/>
        </w:rPr>
      </w:pPr>
      <w:r w:rsidRPr="00F86A79">
        <w:rPr>
          <w:color w:val="auto"/>
          <w:sz w:val="24"/>
          <w:szCs w:val="24"/>
        </w:rPr>
        <w:t xml:space="preserve">Ridge leads at 1 day; HGB reaches a </w:t>
      </w:r>
      <w:r>
        <w:rPr>
          <w:color w:val="auto"/>
          <w:sz w:val="24"/>
          <w:szCs w:val="24"/>
        </w:rPr>
        <w:t>+</w:t>
      </w:r>
      <w:r w:rsidRPr="00F86A79">
        <w:rPr>
          <w:color w:val="auto"/>
          <w:sz w:val="24"/>
          <w:szCs w:val="24"/>
        </w:rPr>
        <w:t>0.108 R</w:t>
      </w:r>
      <w:r w:rsidRPr="00F86A79">
        <w:rPr>
          <w:color w:val="auto"/>
          <w:sz w:val="24"/>
          <w:szCs w:val="24"/>
          <w:vertAlign w:val="superscript"/>
        </w:rPr>
        <w:t>2</w:t>
      </w:r>
      <w:r w:rsidRPr="00F86A79">
        <w:rPr>
          <w:color w:val="auto"/>
          <w:sz w:val="24"/>
          <w:szCs w:val="24"/>
        </w:rPr>
        <w:t xml:space="preserve"> advantage at 14 days.</w:t>
      </w:r>
    </w:p>
    <w:p w14:paraId="5ADC05D4" w14:textId="31BC91BE" w:rsidR="00F86A79" w:rsidRPr="00F86A79" w:rsidRDefault="00F86A79" w:rsidP="00F86A79">
      <w:pPr>
        <w:pStyle w:val="Heading2"/>
        <w:numPr>
          <w:ilvl w:val="0"/>
          <w:numId w:val="3"/>
        </w:numPr>
        <w:spacing w:line="480" w:lineRule="auto"/>
        <w:jc w:val="both"/>
        <w:rPr>
          <w:color w:val="auto"/>
          <w:sz w:val="24"/>
          <w:szCs w:val="24"/>
        </w:rPr>
      </w:pPr>
      <w:r w:rsidRPr="00F86A79">
        <w:rPr>
          <w:color w:val="auto"/>
          <w:sz w:val="24"/>
          <w:szCs w:val="24"/>
        </w:rPr>
        <w:t>Persistence decay tracks the HGB</w:t>
      </w:r>
      <w:r>
        <w:rPr>
          <w:color w:val="auto"/>
          <w:sz w:val="24"/>
          <w:szCs w:val="24"/>
        </w:rPr>
        <w:t>-</w:t>
      </w:r>
      <w:r w:rsidRPr="00F86A79">
        <w:rPr>
          <w:color w:val="auto"/>
          <w:sz w:val="24"/>
          <w:szCs w:val="24"/>
        </w:rPr>
        <w:t>ridge crossover across 315 comparisons.</w:t>
      </w:r>
    </w:p>
    <w:p w14:paraId="45D88B81" w14:textId="77777777" w:rsidR="00F86A79" w:rsidRPr="00F86A79" w:rsidRDefault="00F86A79" w:rsidP="00F86A79">
      <w:pPr>
        <w:pStyle w:val="Heading2"/>
        <w:numPr>
          <w:ilvl w:val="0"/>
          <w:numId w:val="3"/>
        </w:numPr>
        <w:spacing w:line="480" w:lineRule="auto"/>
        <w:jc w:val="both"/>
        <w:rPr>
          <w:color w:val="auto"/>
          <w:sz w:val="24"/>
          <w:szCs w:val="24"/>
        </w:rPr>
      </w:pPr>
      <w:r w:rsidRPr="00F86A79">
        <w:rPr>
          <w:color w:val="auto"/>
          <w:sz w:val="24"/>
          <w:szCs w:val="24"/>
        </w:rPr>
        <w:t>GAM recovers most long-horizon gains without higher-order interactions.</w:t>
      </w:r>
    </w:p>
    <w:p w14:paraId="16F231E6" w14:textId="1F6CA683" w:rsidR="00F86A79" w:rsidRPr="00A51779" w:rsidRDefault="00F86A79" w:rsidP="00F86A79">
      <w:pPr>
        <w:pStyle w:val="Heading2"/>
        <w:numPr>
          <w:ilvl w:val="0"/>
          <w:numId w:val="3"/>
        </w:numPr>
        <w:spacing w:line="480" w:lineRule="auto"/>
        <w:jc w:val="both"/>
        <w:rPr>
          <w:color w:val="auto"/>
          <w:sz w:val="24"/>
          <w:szCs w:val="24"/>
        </w:rPr>
      </w:pPr>
      <w:r w:rsidRPr="00F86A79">
        <w:rPr>
          <w:color w:val="auto"/>
          <w:sz w:val="24"/>
          <w:szCs w:val="24"/>
        </w:rPr>
        <w:t>The crossover persists under prospective rolling-origin evaluation and wider tuning.</w:t>
      </w:r>
    </w:p>
    <w:p w14:paraId="6A65955A" w14:textId="77777777" w:rsidR="00A81B34" w:rsidRPr="00A51779" w:rsidRDefault="00A81B34" w:rsidP="00A81B34">
      <w:pPr>
        <w:pStyle w:val="Heading2"/>
        <w:spacing w:before="200" w:line="480" w:lineRule="auto"/>
        <w:jc w:val="both"/>
        <w:rPr>
          <w:b/>
          <w:bCs/>
          <w:i/>
          <w:iCs/>
          <w:color w:val="auto"/>
          <w:sz w:val="24"/>
          <w:szCs w:val="24"/>
        </w:rPr>
      </w:pPr>
    </w:p>
    <w:p w14:paraId="20083974" w14:textId="77777777" w:rsidR="00A81B34" w:rsidRDefault="00A81B34" w:rsidP="00A81B34">
      <w:pPr>
        <w:pStyle w:val="Heading2"/>
        <w:spacing w:before="200" w:line="480" w:lineRule="auto"/>
        <w:jc w:val="both"/>
        <w:rPr>
          <w:b/>
          <w:bCs/>
          <w:i/>
          <w:iCs/>
          <w:color w:val="auto"/>
          <w:sz w:val="24"/>
          <w:szCs w:val="24"/>
        </w:rPr>
      </w:pPr>
    </w:p>
    <w:p w14:paraId="47597D42" w14:textId="77777777" w:rsidR="00F86A79" w:rsidRDefault="00F86A79" w:rsidP="00A81B34">
      <w:pPr>
        <w:pStyle w:val="Heading2"/>
        <w:spacing w:before="200" w:line="480" w:lineRule="auto"/>
        <w:jc w:val="both"/>
        <w:rPr>
          <w:b/>
          <w:bCs/>
          <w:i/>
          <w:iCs/>
          <w:color w:val="auto"/>
          <w:sz w:val="24"/>
          <w:szCs w:val="24"/>
        </w:rPr>
      </w:pPr>
    </w:p>
    <w:p w14:paraId="769D594B" w14:textId="77777777" w:rsidR="00A81B34" w:rsidRDefault="00A81B34" w:rsidP="00A81B34">
      <w:pPr>
        <w:spacing w:line="480" w:lineRule="auto"/>
        <w:jc w:val="both"/>
      </w:pPr>
    </w:p>
    <w:p w14:paraId="3D599E5F" w14:textId="77777777" w:rsidR="00F86A79" w:rsidRPr="00A51779" w:rsidRDefault="00F86A79" w:rsidP="00A81B34">
      <w:pPr>
        <w:spacing w:line="480" w:lineRule="auto"/>
        <w:jc w:val="both"/>
      </w:pPr>
    </w:p>
    <w:p w14:paraId="3BDE9E1E" w14:textId="1AEE4CAF" w:rsidR="00A81B34" w:rsidRPr="00A51779" w:rsidRDefault="00A81B34" w:rsidP="00A81B34">
      <w:pPr>
        <w:spacing w:line="480" w:lineRule="auto"/>
        <w:jc w:val="center"/>
        <w:rPr>
          <w:b/>
          <w:bCs/>
        </w:rPr>
      </w:pPr>
      <w:r w:rsidRPr="00A51779">
        <w:rPr>
          <w:b/>
          <w:bCs/>
        </w:rPr>
        <w:lastRenderedPageBreak/>
        <w:t>Abstract</w:t>
      </w:r>
    </w:p>
    <w:p w14:paraId="59A02E6E" w14:textId="57778446" w:rsidR="00CE0966" w:rsidRDefault="00CE0966" w:rsidP="00A81B34">
      <w:pPr>
        <w:spacing w:line="480" w:lineRule="auto"/>
        <w:jc w:val="both"/>
      </w:pPr>
      <w:r w:rsidRPr="00CE0966">
        <w:t>Does the value of nonlinear model flexibility in power-sector CO</w:t>
      </w:r>
      <w:r w:rsidRPr="00CE0966">
        <w:rPr>
          <w:vertAlign w:val="subscript"/>
        </w:rPr>
        <w:t>2</w:t>
      </w:r>
      <w:r w:rsidRPr="00CE0966">
        <w:t xml:space="preserve"> forecasting depend on forecast horizon? We evaluate persistence, ridge regression, histogram gradient boosting (HGB), and a generalized additive model (GAM) using seven complete years (2019</w:t>
      </w:r>
      <w:r>
        <w:t>-</w:t>
      </w:r>
      <w:r w:rsidRPr="00CE0966">
        <w:t>2025) of daily U.S. Environmental Protection Agency Clean Air Markets Program Data for 45 states across seven horizons from 1 to 14 days (315 state</w:t>
      </w:r>
      <w:r>
        <w:t>-</w:t>
      </w:r>
      <w:r w:rsidRPr="00CE0966">
        <w:t>horizon comparisons). Models use identical 27-feature information within a prospective expanding-window rolling-origin framework, with dependence-aware inference, multiplicity control, regional checks, and hyperparameter-search sensitivity. Relative performance changes smoothly with horizon. The mean R</w:t>
      </w:r>
      <w:r w:rsidRPr="00CE0966">
        <w:rPr>
          <w:vertAlign w:val="superscript"/>
        </w:rPr>
        <w:t>2</w:t>
      </w:r>
      <w:r w:rsidRPr="00CE0966">
        <w:t xml:space="preserve"> difference, HGB minus ridge, is </w:t>
      </w:r>
      <w:r>
        <w:t>-</w:t>
      </w:r>
      <w:r w:rsidRPr="00CE0966">
        <w:t xml:space="preserve">0.0065 at one day, approaches zero at two to three days, and reaches </w:t>
      </w:r>
      <w:r>
        <w:t>+</w:t>
      </w:r>
      <w:r w:rsidRPr="00CE0966">
        <w:t>0.1084 at fourteen days; from five days onward, the national mean advantage favors HGB. The horizon effect is significant with state-clustered inference (slope = 0.00945 R</w:t>
      </w:r>
      <w:r w:rsidRPr="00CE0966">
        <w:rPr>
          <w:vertAlign w:val="superscript"/>
        </w:rPr>
        <w:t>2</w:t>
      </w:r>
      <w:r w:rsidRPr="00CE0966">
        <w:t xml:space="preserve"> per day, p &lt; 10</w:t>
      </w:r>
      <w:r>
        <w:rPr>
          <w:vertAlign w:val="superscript"/>
        </w:rPr>
        <w:t>-6</w:t>
      </w:r>
      <w:r w:rsidRPr="00CE0966">
        <w:t>). Median persistence R</w:t>
      </w:r>
      <w:r w:rsidRPr="00CE0966">
        <w:rPr>
          <w:vertAlign w:val="superscript"/>
        </w:rPr>
        <w:t>2</w:t>
      </w:r>
      <w:r w:rsidRPr="00CE0966">
        <w:t xml:space="preserve"> declines from 0.81 at one day to below 0.04 at ten and fourteen days, and persistence is negatively associated with the HGB</w:t>
      </w:r>
      <w:r>
        <w:t>-</w:t>
      </w:r>
      <w:r w:rsidRPr="00CE0966">
        <w:t xml:space="preserve">ridge gap (r = </w:t>
      </w:r>
      <w:r>
        <w:t>-</w:t>
      </w:r>
      <w:r w:rsidRPr="00CE0966">
        <w:t>0.68). GAM reproduces most of the long-horizon gain: at fourteen days, GAM–ridge is +0.1006 while HGB</w:t>
      </w:r>
      <w:r>
        <w:t>-</w:t>
      </w:r>
      <w:r w:rsidRPr="00CE0966">
        <w:t>GAM is +0.0078. The crossover is essentially unchanged under a substantially expanded hyperparameter search. These results show that model ranking is horizon-dependent and that smooth additive nonlinearities become increasingly valuable as autoregressive persistence decays, with limited average benefit from higher-order interactions.</w:t>
      </w:r>
    </w:p>
    <w:p w14:paraId="66383EF7" w14:textId="41C8E602" w:rsidR="00157712" w:rsidRPr="00A51779" w:rsidRDefault="00A81B34" w:rsidP="00A81B34">
      <w:pPr>
        <w:spacing w:line="480" w:lineRule="auto"/>
        <w:jc w:val="both"/>
      </w:pPr>
      <w:r w:rsidRPr="00A51779">
        <w:rPr>
          <w:b/>
          <w:bCs/>
          <w:i/>
          <w:iCs/>
        </w:rPr>
        <w:t>Keywords:</w:t>
      </w:r>
      <w:r w:rsidRPr="00A51779">
        <w:t xml:space="preserve"> CO</w:t>
      </w:r>
      <w:r w:rsidR="00CE0966">
        <w:rPr>
          <w:vertAlign w:val="subscript"/>
        </w:rPr>
        <w:t>2</w:t>
      </w:r>
      <w:r w:rsidRPr="00A51779">
        <w:t xml:space="preserve"> emissions</w:t>
      </w:r>
      <w:r w:rsidR="00CE0966">
        <w:t>;</w:t>
      </w:r>
      <w:r w:rsidRPr="00A51779">
        <w:t xml:space="preserve"> </w:t>
      </w:r>
      <w:r w:rsidR="00CE0966">
        <w:t>F</w:t>
      </w:r>
      <w:r w:rsidRPr="00A51779">
        <w:t xml:space="preserve">orecasting; </w:t>
      </w:r>
      <w:r w:rsidR="00CE0966">
        <w:t>F</w:t>
      </w:r>
      <w:r w:rsidRPr="00A51779">
        <w:t xml:space="preserve">orecast horizon; </w:t>
      </w:r>
      <w:r w:rsidR="00CE0966">
        <w:t>G</w:t>
      </w:r>
      <w:r w:rsidRPr="00A51779">
        <w:t xml:space="preserve">radient boosting; </w:t>
      </w:r>
      <w:r w:rsidR="00CE0966">
        <w:t xml:space="preserve">Ridge </w:t>
      </w:r>
      <w:r w:rsidRPr="00A51779">
        <w:t xml:space="preserve">regression; </w:t>
      </w:r>
      <w:r w:rsidR="00CE0966">
        <w:t>A</w:t>
      </w:r>
      <w:r w:rsidRPr="00A51779">
        <w:t>dditive model</w:t>
      </w:r>
      <w:r w:rsidR="00CE0966">
        <w:t>ling</w:t>
      </w:r>
      <w:r w:rsidRPr="00A51779">
        <w:t xml:space="preserve">; </w:t>
      </w:r>
      <w:r w:rsidR="00CE0966">
        <w:t>Persistance</w:t>
      </w:r>
    </w:p>
    <w:p w14:paraId="4292B220" w14:textId="77777777" w:rsidR="00E332FE" w:rsidRDefault="00E332FE" w:rsidP="00157712">
      <w:pPr>
        <w:spacing w:line="480" w:lineRule="auto"/>
        <w:jc w:val="both"/>
      </w:pPr>
    </w:p>
    <w:p w14:paraId="21B6D705" w14:textId="77777777" w:rsidR="00F86A79" w:rsidRDefault="00F86A79" w:rsidP="00157712">
      <w:pPr>
        <w:spacing w:line="480" w:lineRule="auto"/>
        <w:jc w:val="both"/>
      </w:pPr>
    </w:p>
    <w:p w14:paraId="52E34816" w14:textId="06D748C2" w:rsidR="00CD26DB" w:rsidRPr="00A51779" w:rsidRDefault="00000000" w:rsidP="00CD26DB">
      <w:pPr>
        <w:pStyle w:val="Heading1"/>
        <w:spacing w:before="260" w:line="480" w:lineRule="auto"/>
        <w:jc w:val="both"/>
        <w:rPr>
          <w:color w:val="auto"/>
          <w:sz w:val="24"/>
          <w:szCs w:val="24"/>
        </w:rPr>
      </w:pPr>
      <w:r w:rsidRPr="00A51779">
        <w:rPr>
          <w:b/>
          <w:bCs/>
          <w:color w:val="auto"/>
          <w:sz w:val="24"/>
          <w:szCs w:val="24"/>
        </w:rPr>
        <w:lastRenderedPageBreak/>
        <w:t>1. Introduction</w:t>
      </w:r>
    </w:p>
    <w:p w14:paraId="2153433A" w14:textId="5D69B2FA" w:rsidR="00E35D5F" w:rsidRPr="00A51779" w:rsidRDefault="00E35D5F" w:rsidP="00703316">
      <w:pPr>
        <w:spacing w:line="480" w:lineRule="auto"/>
        <w:jc w:val="both"/>
      </w:pPr>
      <w:r w:rsidRPr="00A51779">
        <w:t>Power-sector CO</w:t>
      </w:r>
      <w:r w:rsidR="00EA3C48" w:rsidRPr="00A51779">
        <w:rPr>
          <w:vertAlign w:val="subscript"/>
        </w:rPr>
        <w:t>2</w:t>
      </w:r>
      <w:r w:rsidRPr="00A51779">
        <w:t xml:space="preserve"> emissions vary substantially over short timescales as electricity demand, renewable generation, fuel use, generator availability, and dispatch conditions change. Forecasting these variations is increasingly relevant to emissions-aware electricity operation, flexible-load scheduling, and carbon-aware computing </w:t>
      </w:r>
      <w:r w:rsidR="00E50756" w:rsidRPr="005C671A">
        <w:rPr>
          <w:color w:val="EE0000"/>
        </w:rPr>
        <w:fldChar w:fldCharType="begin" w:fldLock="1"/>
      </w:r>
      <w:r w:rsidR="005C671A">
        <w:rPr>
          <w:color w:val="EE0000"/>
        </w:rPr>
        <w:instrText>ADDIN CSL_CITATION {"citationItems":[{"id":"ITEM-1","itemData":{"DOI":"10.1016/j.apenergy.2020.116061","ISSN":"0306-2619","abstract":"The world is facing major challenges related to global warming and emissions of greenhouse gases is a major causing factor. In 2017, energy industries accounted for 46% of all CO2 emissions globally, which shows a large potential for reduction. This paper proposes a novel short-term CO2 emissions forecast to enable intelligent scheduling of flexible electricity consumption to minimize the resulting CO2 emissions. Two proposed time series decomposition methods are developed for short-term forecasting of the CO2 emissions of electricity. These are in turn bench-marked against a set of state-of-the-art models. The result is a new forecasting method with a 48-hour horizon targeted the day-ahead electricity market. Forecasting benchmarks for France show that the new method has a mean absolute percentage error that is 25% lower than the best performing state-of-the-art model. Further, application of the forecast for scheduling flexible electricity consumption is studied for five European countries. Scheduling a flexible block of 4 h of electricity consumption in a 24 h interval can on average reduce the resulting CO2 emissions by 25% in France, 17% in Germany, 69% in Norway, 20% in Denmark, and just 3% in Poland when compared to consuming at random intervals during the day.","author":[{"dropping-particle":"","family":"Bokde","given":"Neeraj Dhanraj","non-dropping-particle":"","parse-names":false,"suffix":""},{"dropping-particle":"","family":"Tranberg","given":"Bo","non-dropping-particle":"","parse-names":false,"suffix":""},{"dropping-particle":"","family":"Andresen","given":"Gorm Bruun","non-dropping-particle":"","parse-names":false,"suffix":""}],"container-title":"Applied Energy","id":"ITEM-1","issued":{"date-parts":[["2021"]]},"page":"116061","title":"Short-term CO2 emissions forecasting based on decomposition approaches and its impact on electricity market scheduling","type":"article-journal","volume":"281"},"uris":["http://www.mendeley.com/documents/?uuid=be404a05-8124-49a5-b7e7-31d8009488b9"]},{"id":"ITEM-2","itemData":{"DOI":"10.1109/TPWRS.2022.3173250","ISSN":"1558-0679 VO  - 38","author":[{"dropping-particle":"","family":"Radovanović","given":"A","non-dropping-particle":"","parse-names":false,"suffix":""},{"dropping-particle":"","family":"Koningstein","given":"R","non-dropping-particle":"","parse-names":false,"suffix":""},{"dropping-particle":"","family":"Schneider","given":"I","non-dropping-particle":"","parse-names":false,"suffix":""},{"dropping-particle":"","family":"Chen","given":"B","non-dropping-particle":"","parse-names":false,"suffix":""},{"dropping-particle":"","family":"Duarte","given":"A","non-dropping-particle":"","parse-names":false,"suffix":""},{"dropping-particle":"","family":"Roy","given":"B","non-dropping-particle":"","parse-names":false,"suffix":""},{"dropping-particle":"","family":"Xiao","given":"D","non-dropping-particle":"","parse-names":false,"suffix":""},{"dropping-particle":"","family":"Haridasan","given":"M","non-dropping-particle":"","parse-names":false,"suffix":""},{"dropping-particle":"","family":"Hung","given":"P","non-dropping-particle":"","parse-names":false,"suffix":""},{"dropping-particle":"","family":"Care","given":"N","non-dropping-particle":"","parse-names":false,"suffix":""},{"dropping-particle":"","family":"Talukdar","given":"S","non-dropping-particle":"","parse-names":false,"suffix":""},{"dropping-particle":"","family":"Mullen","given":"E","non-dropping-particle":"","parse-names":false,"suffix":""},{"dropping-particle":"","family":"Smith","given":"K","non-dropping-particle":"","parse-names":false,"suffix":""},{"dropping-particle":"","family":"Cottman","given":"M","non-dropping-particle":"","parse-names":false,"suffix":""},{"dropping-particle":"","family":"Cirne","given":"W","non-dropping-particle":"","parse-names":false,"suffix":""}],"container-title":"IEEE Transactions on Power Systems","id":"ITEM-2","issue":"2","issued":{"date-parts":[["2023"]]},"page":"1270-1280","title":"Carbon-Aware Computing for Datacenters","type":"article-journal","volume":"38"},"uris":["http://www.mendeley.com/documents/?uuid=e2456fbd-e9fd-46ac-82fe-d7b469759f8c"]}],"mendeley":{"formattedCitation":"[1,2]","plainTextFormattedCitation":"[1,2]","previouslyFormattedCitation":"[1,2]"},"properties":{"noteIndex":0},"schema":"https://github.com/citation-style-language/schema/raw/master/csl-citation.json"}</w:instrText>
      </w:r>
      <w:r w:rsidR="00E50756" w:rsidRPr="005C671A">
        <w:rPr>
          <w:color w:val="EE0000"/>
        </w:rPr>
        <w:fldChar w:fldCharType="separate"/>
      </w:r>
      <w:r w:rsidR="00E50756" w:rsidRPr="005C671A">
        <w:rPr>
          <w:noProof/>
          <w:color w:val="EE0000"/>
        </w:rPr>
        <w:t>[1,2]</w:t>
      </w:r>
      <w:r w:rsidR="00E50756" w:rsidRPr="005C671A">
        <w:rPr>
          <w:color w:val="EE0000"/>
        </w:rPr>
        <w:fldChar w:fldCharType="end"/>
      </w:r>
      <w:r w:rsidRPr="00A51779">
        <w:t>. The electricity sector remains a major source of global CO</w:t>
      </w:r>
      <w:r w:rsidR="00EA3C48" w:rsidRPr="00A51779">
        <w:rPr>
          <w:vertAlign w:val="subscript"/>
        </w:rPr>
        <w:t>2</w:t>
      </w:r>
      <w:r w:rsidRPr="00A51779">
        <w:t xml:space="preserve"> emissions and a central component of decarbonization because electrification can displace fossil-fuel use in transportation, buildings, and industry </w:t>
      </w:r>
      <w:r w:rsidR="005C671A" w:rsidRPr="00F7502C">
        <w:rPr>
          <w:color w:val="EE0000"/>
          <w:highlight w:val="green"/>
        </w:rPr>
        <w:fldChar w:fldCharType="begin" w:fldLock="1"/>
      </w:r>
      <w:r w:rsidR="003E6666" w:rsidRPr="00F7502C">
        <w:rPr>
          <w:color w:val="EE0000"/>
          <w:highlight w:val="green"/>
        </w:rPr>
        <w:instrText>ADDIN CSL_CITATION {"citationItems":[{"id":"ITEM-1","itemData":{"DOI":"10.59327/IPCC/AR6-9789291691647","author":[{"dropping-particle":"","family":"Core Writing Team","given":"H. Lee and J. Romero (Eds","non-dropping-particle":"","parse-names":false,"suffix":""}],"id":"ITEM-1","issued":{"date-parts":[["2023"]]},"publisher-place":"Geneva, Switzerland","title":"IPCC. (2023): Climate Change 2023: Synthesis Report. Contribution of Working Groups I, II and III to the Sixth Assessment Report of the Intergovernmental Panel on Climate Change","type":"book"},"uris":["http://www.mendeley.com/documents/?uuid=7e373782-7c4a-4f42-b242-629f934a90a6"]},{"id":"ITEM-2","itemData":{"URL":"https://www.iea.org/reports/electricity-2025","author":[{"dropping-particle":"","family":"IEA","given":"","non-dropping-particle":"","parse-names":false,"suffix":""}],"id":"ITEM-2","issued":{"date-parts":[["2025"]]},"title":"Electricity 2025: Analysis and Forecast to 2027","type":"webpage"},"uris":["http://www.mendeley.com/documents/?uuid=adaf0c92-2e1e-4f6b-9d6d-b3f3e3fab1ad"]}],"mendeley":{"formattedCitation":"[3,4]","plainTextFormattedCitation":"[3,4]","previouslyFormattedCitation":"[3,4]"},"properties":{"noteIndex":0},"schema":"https://github.com/citation-style-language/schema/raw/master/csl-citation.json"}</w:instrText>
      </w:r>
      <w:r w:rsidR="005C671A" w:rsidRPr="00F7502C">
        <w:rPr>
          <w:color w:val="EE0000"/>
          <w:highlight w:val="green"/>
        </w:rPr>
        <w:fldChar w:fldCharType="separate"/>
      </w:r>
      <w:r w:rsidR="005C671A" w:rsidRPr="00F7502C">
        <w:rPr>
          <w:noProof/>
          <w:color w:val="EE0000"/>
          <w:highlight w:val="green"/>
        </w:rPr>
        <w:t>[3,4]</w:t>
      </w:r>
      <w:r w:rsidR="005C671A" w:rsidRPr="00F7502C">
        <w:rPr>
          <w:color w:val="EE0000"/>
          <w:highlight w:val="green"/>
        </w:rPr>
        <w:fldChar w:fldCharType="end"/>
      </w:r>
      <w:r w:rsidRPr="00F7502C">
        <w:rPr>
          <w:highlight w:val="green"/>
        </w:rPr>
        <w:t>.</w:t>
      </w:r>
      <w:r w:rsidRPr="00A51779">
        <w:t xml:space="preserve"> Consequently, improving the ability to anticipate near-term changes in electricity-sector emissions has both operational and environmental value.</w:t>
      </w:r>
    </w:p>
    <w:p w14:paraId="1246BB40" w14:textId="28A25FBA" w:rsidR="00E35D5F" w:rsidRPr="00A51779" w:rsidRDefault="00E35D5F" w:rsidP="00703316">
      <w:pPr>
        <w:spacing w:line="480" w:lineRule="auto"/>
        <w:jc w:val="both"/>
      </w:pPr>
      <w:r w:rsidRPr="00A51779">
        <w:t xml:space="preserve">Growing interest in these applications has encouraged a transition from conventional regression and autoregressive approaches toward increasingly flexible machine-learning models. Recent carbon- and energy-forecasting studies have applied artificial neural networks, recurrent architectures, support-vector methods, decomposition-assisted approaches, and boosted decision trees </w:t>
      </w:r>
      <w:r w:rsidR="003E6666" w:rsidRPr="003E6666">
        <w:rPr>
          <w:color w:val="EE0000"/>
        </w:rPr>
        <w:fldChar w:fldCharType="begin" w:fldLock="1"/>
      </w:r>
      <w:r w:rsidR="003E6666">
        <w:rPr>
          <w:color w:val="EE0000"/>
        </w:rPr>
        <w:instrText>ADDIN CSL_CITATION {"citationItems":[{"id":"ITEM-1","itemData":{"DOI":"10.1109/ACCESS.2025.3630867","ISSN":"2169-3536 VO  - 13","author":[{"dropping-particle":"","family":"Ali","given":"M","non-dropping-particle":"","parse-names":false,"suffix":""},{"dropping-particle":"","family":"Khan","given":"D M","non-dropping-particle":"","parse-names":false,"suffix":""},{"dropping-particle":"","family":"Alshanbari","given":"H M","non-dropping-particle":"","parse-names":false,"suffix":""},{"dropping-particle":"","family":"Odhah","given":"O H","non-dropping-particle":"","parse-names":false,"suffix":""}],"container-title":"IEEE Access","id":"ITEM-1","issued":{"date-parts":[["2025"]]},"page":"212942-212958","title":"Forecasting Carbon Dioxide Emission Using Hybrid Machine Learning and Nonlinear Data Decomposition Methods","type":"article-journal","volume":"13"},"uris":["http://www.mendeley.com/documents/?uuid=7364ddbf-7dff-45d3-a523-6c78fb4f4088"]},{"id":"ITEM-2","itemData":{"DOI":"10.1016/j.apenergy.2020.116061","ISSN":"0306-2619","abstract":"The world is facing major challenges related to global warming and emissions of greenhouse gases is a major causing factor. In 2017, energy industries accounted for 46% of all CO2 emissions globally, which shows a large potential for reduction. This paper proposes a novel short-term CO2 emissions forecast to enable intelligent scheduling of flexible electricity consumption to minimize the resulting CO2 emissions. Two proposed time series decomposition methods are developed for short-term forecasting of the CO2 emissions of electricity. These are in turn bench-marked against a set of state-of-the-art models. The result is a new forecasting method with a 48-hour horizon targeted the day-ahead electricity market. Forecasting benchmarks for France show that the new method has a mean absolute percentage error that is 25% lower than the best performing state-of-the-art model. Further, application of the forecast for scheduling flexible electricity consumption is studied for five European countries. Scheduling a flexible block of 4 h of electricity consumption in a 24 h interval can on average reduce the resulting CO2 emissions by 25% in France, 17% in Germany, 69% in Norway, 20% in Denmark, and just 3% in Poland when compared to consuming at random intervals during the day.","author":[{"dropping-particle":"","family":"Bokde","given":"Neeraj Dhanraj","non-dropping-particle":"","parse-names":false,"suffix":""},{"dropping-particle":"","family":"Tranberg","given":"Bo","non-dropping-particle":"","parse-names":false,"suffix":""},{"dropping-particle":"","family":"Andresen","given":"Gorm Bruun","non-dropping-particle":"","parse-names":false,"suffix":""}],"container-title":"Applied Energy","id":"ITEM-2","issued":{"date-parts":[["2021"]]},"page":"116061","title":"Short-term CO2 emissions forecasting based on decomposition approaches and its impact on electricity market scheduling","type":"article-journal","volume":"281"},"uris":["http://www.mendeley.com/documents/?uuid=be404a05-8124-49a5-b7e7-31d8009488b9"]},{"id":"ITEM-3","itemData":{"ISSN":"0048-9697","author":[{"dropping-particle":"","family":"Jin","given":"Yukai","non-dropping-particle":"","parse-names":false,"suffix":""},{"dropping-particle":"","family":"Sharifi","given":"Ayyoob","non-dropping-particle":"","parse-names":false,"suffix":""},{"dropping-particle":"","family":"Li","given":"Zhisheng","non-dropping-particle":"","parse-names":false,"suffix":""},{"dropping-particle":"","family":"Chen","given":"Sirui","non-dropping-particle":"","parse-names":false,"suffix":""},{"dropping-particle":"","family":"Zeng","given":"Suzhen","non-dropping-particle":"","parse-names":false,"suffix":""},{"dropping-particle":"","family":"Zhao","given":"Shanlun","non-dropping-particle":"","parse-names":false,"suffix":""}],"container-title":"Science of the Total Environment","id":"ITEM-3","issued":{"date-parts":[["2024"]]},"page":"172319","publisher":"Elsevier","title":"Carbon emission prediction models: A review","type":"article-journal","volume":"927"},"uris":["http://www.mendeley.com/documents/?uuid=0728d7b0-05dc-41c8-b859-3f25d82bc333"]},{"id":"ITEM-4","itemData":{"DOI":"10.1007/s11356-024-32083-w","ISSN":"1614-7499","abstract":"Accurately predicting future carbon emissions is of great significance for the government to scientifically promote carbon emission reduction policies. Among the current technologies for forecasting carbon emissions, the most prominent ones are econometric models and deep learning, but few works have systematically compared and analyzed the forecasting performance of the methods. Therefore, the paper makes a comparison for deep learning model, machine learning model, and the econometric model to demonstrate whether deep learning is an efficient method for carbon emission prediction research. In model mechanism, neural network for deep learning refers to an information processing model established by simulating biological neural system, and the model can be further extended through bionic characteristics. So the paper further optimizes the model from the perspective of bionics and proposes an innovative deep learning model based on the memory behavior mechanism of group creatures. Comparison results show that the prediction accuracy of the heuristic neural network is higher than that of the econometric model. Through in-depth analysis, the heuristic neural network is more suitable for predicting future carbon emissions, while the econometric model is more suitable for clarifying the impact of influencing factors on carbon emissions.","author":[{"dropping-particle":"","family":"Yao","given":"Xiao","non-dropping-particle":"","parse-names":false,"suffix":""},{"dropping-particle":"","family":"Zhang","given":"Hong","non-dropping-particle":"","parse-names":false,"suffix":""},{"dropping-particle":"","family":"Wang","given":"Xiyue","non-dropping-particle":"","parse-names":false,"suffix":""},{"dropping-particle":"","family":"Jiang","given":"Yadong","non-dropping-particle":"","parse-names":false,"suffix":""},{"dropping-particle":"","family":"Zhang","given":"Yuxi","non-dropping-particle":"","parse-names":false,"suffix":""},{"dropping-particle":"","family":"Na","given":"Xiaohong","non-dropping-particle":"","parse-names":false,"suffix":""}],"container-title":"Environmental Science and Pollution Research","id":"ITEM-4","issue":"13","issued":{"date-parts":[["2024"]]},"page":"19500-19515","title":"Which model is more efficient in carbon emission prediction research? A comparative study of deep learning models, machine learning models, and econometric models","type":"article-journal","volume":"31"},"uris":["http://www.mendeley.com/documents/?uuid=07ef998a-4ccd-4dc0-896d-c67cf9e9f7dd"]}],"mendeley":{"formattedCitation":"[1,5–7]","plainTextFormattedCitation":"[1,5–7]","previouslyFormattedCitation":"[1,5–7]"},"properties":{"noteIndex":0},"schema":"https://github.com/citation-style-language/schema/raw/master/csl-citation.json"}</w:instrText>
      </w:r>
      <w:r w:rsidR="003E6666" w:rsidRPr="003E6666">
        <w:rPr>
          <w:color w:val="EE0000"/>
        </w:rPr>
        <w:fldChar w:fldCharType="separate"/>
      </w:r>
      <w:r w:rsidR="003E6666" w:rsidRPr="003E6666">
        <w:rPr>
          <w:noProof/>
          <w:color w:val="EE0000"/>
        </w:rPr>
        <w:t>[1,5–7]</w:t>
      </w:r>
      <w:r w:rsidR="003E6666" w:rsidRPr="003E6666">
        <w:rPr>
          <w:color w:val="EE0000"/>
        </w:rPr>
        <w:fldChar w:fldCharType="end"/>
      </w:r>
      <w:r w:rsidRPr="003E6666">
        <w:rPr>
          <w:color w:val="EE0000"/>
        </w:rPr>
        <w:t xml:space="preserve">, </w:t>
      </w:r>
      <w:r w:rsidRPr="00A51779">
        <w:t xml:space="preserve">while gradient-boosting methods have also shown strong predictive performance in related electricity-load forecasting problems </w:t>
      </w:r>
      <w:r w:rsidR="003E6666" w:rsidRPr="003E6666">
        <w:rPr>
          <w:color w:val="EE0000"/>
        </w:rPr>
        <w:fldChar w:fldCharType="begin" w:fldLock="1"/>
      </w:r>
      <w:r w:rsidR="003E6666">
        <w:rPr>
          <w:color w:val="EE0000"/>
        </w:rPr>
        <w:instrText>ADDIN CSL_CITATION {"citationItems":[{"id":"ITEM-1","itemData":{"DOI":"10.1038/s41598-022-22024-3","ISSN":"2045-2322","abstract":"Load forecast provides effective and reliable guidance for power construction and grid operation. It is essential for the power utility to forecast the exact in-future coming energy demand. Advanced machine learning methods can support competently for load forecasting, and extreme gradient boosting is an algorithm with great research potential. But there is less research about the energy time series itself as only an internal variable, especially for feature engineering of time univariate. And the machine learning tuning is another issue to applicate boosting method in energy demand, which has more significant effects than improving the core of the model. We take the extreme gradient boosting algorithm as the original model and combine the Tree-structured Parzen Estimator method to design the TPE-XGBoost model for completing the high-performance single-lag power load forecasting task. We resample the power load data of the Île-de-France Region Grid provided by Réseau de Transport d’Électricité in the day, train and optimise the TPE-XGBoost model by samples from 2016 to 2018, and test and evaluate in samples of 2019. The optimal window width of the time series data is determined in this study through Discrete Fourier Transform and Pearson Correlation Coefficient Methods, and five additional date features are introduced to complete feature engineering. By 500 iterations, TPE optimisation ensures nine hyperparameters’ values of XGBoost and improves the models obviously. In the dataset of 2019, the TPE-XGBoost model we designed has an excellent performance of MAE = 166.020 and MAPE = 2.61%. Compared with the original model, the two metrics are respectively improved by 14.23 and 14.14%; compared with the other eight machine learning algorithms, the model performs with the best metrics as well.","author":[{"dropping-particle":"","family":"Qinghe","given":"Zhao","non-dropping-particle":"","parse-names":false,"suffix":""},{"dropping-particle":"","family":"Wen","given":"Xiang","non-dropping-particle":"","parse-names":false,"suffix":""},{"dropping-particle":"","family":"Boyan","given":"Huang","non-dropping-particle":"","parse-names":false,"suffix":""},{"dropping-particle":"","family":"Jong","given":"Wang","non-dropping-particle":"","parse-names":false,"suffix":""},{"dropping-particle":"","family":"Junlong","given":"Fang","non-dropping-particle":"","parse-names":false,"suffix":""}],"container-title":"Scientific Reports","id":"ITEM-1","issue":"1","issued":{"date-parts":[["2022"]]},"page":"19282","title":"Optimised extreme gradient boosting model for short term electric load demand forecasting of regional grid system","type":"article-journal","volume":"12"},"uris":["http://www.mendeley.com/documents/?uuid=b9feb973-3e92-435d-b1f8-25c6a04e57eb"]}],"mendeley":{"formattedCitation":"[8]","plainTextFormattedCitation":"[8]","previouslyFormattedCitation":"[8]"},"properties":{"noteIndex":0},"schema":"https://github.com/citation-style-language/schema/raw/master/csl-citation.json"}</w:instrText>
      </w:r>
      <w:r w:rsidR="003E6666" w:rsidRPr="003E6666">
        <w:rPr>
          <w:color w:val="EE0000"/>
        </w:rPr>
        <w:fldChar w:fldCharType="separate"/>
      </w:r>
      <w:r w:rsidR="003E6666" w:rsidRPr="003E6666">
        <w:rPr>
          <w:noProof/>
          <w:color w:val="EE0000"/>
        </w:rPr>
        <w:t>[8]</w:t>
      </w:r>
      <w:r w:rsidR="003E6666" w:rsidRPr="003E6666">
        <w:rPr>
          <w:color w:val="EE0000"/>
        </w:rPr>
        <w:fldChar w:fldCharType="end"/>
      </w:r>
      <w:r w:rsidRPr="00A51779">
        <w:t>. These approaches are typically motivated by their ability to represent nonlinear relationships among historical emissions, electricity demand, generation conditions, weather, and system operation. However, evidence that a nonlinear model performs well at a particular forecast horizon does not establish that its advantage is constant across horizons.</w:t>
      </w:r>
    </w:p>
    <w:p w14:paraId="3E8A3C0D" w14:textId="77777777" w:rsidR="00E35D5F" w:rsidRPr="00A51779" w:rsidRDefault="00E35D5F" w:rsidP="00703316">
      <w:pPr>
        <w:spacing w:line="480" w:lineRule="auto"/>
        <w:jc w:val="both"/>
      </w:pPr>
      <w:r w:rsidRPr="00A51779">
        <w:t xml:space="preserve">Forecast horizon may itself alter the type of predictive structure available to a forecasting model. At very short horizons, power-sector emissions can exhibit strong autoregressive persistence because current operating conditions remain informative about the immediate future. Under such conditions, a relatively simple linear model can exploit the dominant temporal signal efficiently, </w:t>
      </w:r>
      <w:r w:rsidRPr="00A51779">
        <w:lastRenderedPageBreak/>
        <w:t>while additional nonlinear flexibility may provide little incremental benefit and can increase estimation variance. As the forecast horizon lengthens, however, persistence should weaken and the remaining forecastable structure may depend increasingly on nonlinear relationships among historical emissions, operational variables, and temporal characteristics. The relative advantage of nonlinear over linear models may therefore be horizon-dependent rather than fixed.</w:t>
      </w:r>
    </w:p>
    <w:p w14:paraId="582E823B" w14:textId="3E890042" w:rsidR="00E35D5F" w:rsidRPr="00A51779" w:rsidRDefault="00E35D5F" w:rsidP="00703316">
      <w:pPr>
        <w:spacing w:line="480" w:lineRule="auto"/>
        <w:jc w:val="both"/>
      </w:pPr>
      <w:r w:rsidRPr="00A51779">
        <w:t xml:space="preserve">Existing studies provide evidence that forecast accuracy changes with horizon but do not fully resolve this model-complexity question. Bokde et al. </w:t>
      </w:r>
      <w:r w:rsidR="003E6666" w:rsidRPr="003E6666">
        <w:rPr>
          <w:color w:val="EE0000"/>
        </w:rPr>
        <w:fldChar w:fldCharType="begin" w:fldLock="1"/>
      </w:r>
      <w:r w:rsidR="003E6666">
        <w:rPr>
          <w:color w:val="EE0000"/>
        </w:rPr>
        <w:instrText>ADDIN CSL_CITATION {"citationItems":[{"id":"ITEM-1","itemData":{"DOI":"10.1016/j.apenergy.2020.116061","ISSN":"0306-2619","abstract":"The world is facing major challenges related to global warming and emissions of greenhouse gases is a major causing factor. In 2017, energy industries accounted for 46% of all CO2 emissions globally, which shows a large potential for reduction. This paper proposes a novel short-term CO2 emissions forecast to enable intelligent scheduling of flexible electricity consumption to minimize the resulting CO2 emissions. Two proposed time series decomposition methods are developed for short-term forecasting of the CO2 emissions of electricity. These are in turn bench-marked against a set of state-of-the-art models. The result is a new forecasting method with a 48-hour horizon targeted the day-ahead electricity market. Forecasting benchmarks for France show that the new method has a mean absolute percentage error that is 25% lower than the best performing state-of-the-art model. Further, application of the forecast for scheduling flexible electricity consumption is studied for five European countries. Scheduling a flexible block of 4 h of electricity consumption in a 24 h interval can on average reduce the resulting CO2 emissions by 25% in France, 17% in Germany, 69% in Norway, 20% in Denmark, and just 3% in Poland when compared to consuming at random intervals during the day.","author":[{"dropping-particle":"","family":"Bokde","given":"Neeraj Dhanraj","non-dropping-particle":"","parse-names":false,"suffix":""},{"dropping-particle":"","family":"Tranberg","given":"Bo","non-dropping-particle":"","parse-names":false,"suffix":""},{"dropping-particle":"","family":"Andresen","given":"Gorm Bruun","non-dropping-particle":"","parse-names":false,"suffix":""}],"container-title":"Applied Energy","id":"ITEM-1","issued":{"date-parts":[["2021"]]},"page":"116061","title":"Short-term CO2 emissions forecasting based on decomposition approaches and its impact on electricity market scheduling","type":"article-journal","volume":"281"},"uris":["http://www.mendeley.com/documents/?uuid=be404a05-8124-49a5-b7e7-31d8009488b9"]}],"mendeley":{"formattedCitation":"[1]","plainTextFormattedCitation":"[1]","previouslyFormattedCitation":"[1]"},"properties":{"noteIndex":0},"schema":"https://github.com/citation-style-language/schema/raw/master/csl-citation.json"}</w:instrText>
      </w:r>
      <w:r w:rsidR="003E6666" w:rsidRPr="003E6666">
        <w:rPr>
          <w:color w:val="EE0000"/>
        </w:rPr>
        <w:fldChar w:fldCharType="separate"/>
      </w:r>
      <w:r w:rsidR="003E6666" w:rsidRPr="003E6666">
        <w:rPr>
          <w:noProof/>
          <w:color w:val="EE0000"/>
        </w:rPr>
        <w:t>[1]</w:t>
      </w:r>
      <w:r w:rsidR="003E6666" w:rsidRPr="003E6666">
        <w:rPr>
          <w:color w:val="EE0000"/>
        </w:rPr>
        <w:fldChar w:fldCharType="end"/>
      </w:r>
      <w:r w:rsidRPr="00A51779">
        <w:t xml:space="preserve"> demonstrated the relevance of short-term CO</w:t>
      </w:r>
      <w:r w:rsidR="00EA3C48" w:rsidRPr="00A51779">
        <w:rPr>
          <w:vertAlign w:val="subscript"/>
        </w:rPr>
        <w:t>2</w:t>
      </w:r>
      <w:r w:rsidRPr="00A51779">
        <w:t xml:space="preserve"> forecasting to electricity-market scheduling. Leerbeck et al. </w:t>
      </w:r>
      <w:r w:rsidR="003E6666" w:rsidRPr="003E6666">
        <w:rPr>
          <w:color w:val="EE0000"/>
        </w:rPr>
        <w:fldChar w:fldCharType="begin" w:fldLock="1"/>
      </w:r>
      <w:r w:rsidR="003E6666">
        <w:rPr>
          <w:color w:val="EE0000"/>
        </w:rPr>
        <w:instrText>ADDIN CSL_CITATION {"citationItems":[{"id":"ITEM-1","itemData":{"DOI":"https://doi.org/10.1016/j.apenergy.2020.115527","ISSN":"0306-2619","abstract":"With the aim of enabling effective flexible electricity demand, a machine learning algorithm is developed to forecast the CO2 emission intensities in European electrical power grids distinguishing between average and marginal emissions. The analysis focuses on Danish bidding zone DK2 and was done on a data set comprised of a large number (473) of explanatory variables such as power production, demand, import, weather conditions etc., collected from selected neighboring zones. The number of variables was reduced to less than 30 using both LASSO (a penalized linear regression analysis) and a forward feature selection algorithm. Three linear regression models that capture different aspects of the data (non-linearities and coupling of variables etc.), were created and combined into a final model using Softmax weighted average. Cross-validation is performed for debiasing and an autoregressive moving average model (ARIMA) implemented to correct the residuals, making the final model an ARIMA with exogenous inputs (ARIMAX). Forecast errors vary between 0.095 and 0.183 (NRMSE) for the average emissions and 0.029–0.160 for the marginals depending on the forecast horizon (1–24 h). The forecasts with the corresponding uncertainties are analyzed and performance on very short (below six hours) and longer horizons are discussed –. One interesting result is that the marginal emissions were shown to be highly independent of any variables in the DK2 zone, suggesting that the marginal generators are located in the neighboring zones. The developed methodology can be applied to any bidding zone in the European electricity network without requiring detailed knowledge about the zone and with very few manual interactions.","author":[{"dropping-particle":"","family":"Leerbeck","given":"Kenneth","non-dropping-particle":"","parse-names":false,"suffix":""},{"dropping-particle":"","family":"Bacher","given":"Peder","non-dropping-particle":"","parse-names":false,"suffix":""},{"dropping-particle":"","family":"Junker","given":"Rune Grønborg","non-dropping-particle":"","parse-names":false,"suffix":""},{"dropping-particle":"","family":"Goranović","given":"Goran","non-dropping-particle":"","parse-names":false,"suffix":""},{"dropping-particle":"","family":"Corradi","given":"Olivier","non-dropping-particle":"","parse-names":false,"suffix":""},{"dropping-particle":"","family":"Ebrahimy","given":"Razgar","non-dropping-particle":"","parse-names":false,"suffix":""},{"dropping-particle":"","family":"Tveit","given":"Anna","non-dropping-particle":"","parse-names":false,"suffix":""},{"dropping-particle":"","family":"Madsen","given":"Henrik","non-dropping-particle":"","parse-names":false,"suffix":""}],"container-title":"Applied Energy","id":"ITEM-1","issued":{"date-parts":[["2020"]]},"page":"115527","title":"Short-term forecasting of CO2 emission intensity in power grids by machine learning","type":"article-journal","volume":"277"},"uris":["http://www.mendeley.com/documents/?uuid=218ac434-458a-4a3a-bbe0-156da585ee89"]}],"mendeley":{"formattedCitation":"[9]","plainTextFormattedCitation":"[9]","previouslyFormattedCitation":"[9]"},"properties":{"noteIndex":0},"schema":"https://github.com/citation-style-language/schema/raw/master/csl-citation.json"}</w:instrText>
      </w:r>
      <w:r w:rsidR="003E6666" w:rsidRPr="003E6666">
        <w:rPr>
          <w:color w:val="EE0000"/>
        </w:rPr>
        <w:fldChar w:fldCharType="separate"/>
      </w:r>
      <w:r w:rsidR="003E6666" w:rsidRPr="003E6666">
        <w:rPr>
          <w:noProof/>
          <w:color w:val="EE0000"/>
        </w:rPr>
        <w:t>[9]</w:t>
      </w:r>
      <w:r w:rsidR="003E6666" w:rsidRPr="003E6666">
        <w:rPr>
          <w:color w:val="EE0000"/>
        </w:rPr>
        <w:fldChar w:fldCharType="end"/>
      </w:r>
      <w:r w:rsidRPr="00A51779">
        <w:t xml:space="preserve"> examined power-grid CO</w:t>
      </w:r>
      <w:r w:rsidR="00EA3C48" w:rsidRPr="00A51779">
        <w:rPr>
          <w:vertAlign w:val="subscript"/>
        </w:rPr>
        <w:t>2</w:t>
      </w:r>
      <w:r w:rsidRPr="00A51779">
        <w:t xml:space="preserve"> emission-intensity forecasts across horizons from 1 to 24 h and showed that forecast error changes systematically with horizon, but did not test whether the relative ranking of linear and nonlinear model families changes with horizon. CarbonCast </w:t>
      </w:r>
      <w:r w:rsidR="003E6666" w:rsidRPr="003E6666">
        <w:rPr>
          <w:color w:val="EE0000"/>
        </w:rPr>
        <w:fldChar w:fldCharType="begin" w:fldLock="1"/>
      </w:r>
      <w:r w:rsidR="003E6666">
        <w:rPr>
          <w:color w:val="EE0000"/>
        </w:rPr>
        <w:instrText>ADDIN CSL_CITATION {"citationItems":[{"id":"ITEM-1","itemData":{"DOI":"10.1145/3563357.3564079","ISBN":"9781450398909","abstract":"The ever-increasing demand for energy is resulting in considerable carbon emissions from the electricity grid. In recent years, there has been growing attention on demand-side optimizations to reduce carbon emissions from electricity usage. A vital component of these optimizations is short-term forecasting of the carbon intensity of the grid-supplied electricity. Many recent forecasting techniques focus on day-ahead forecasts, but obtaining such forecasts for longer periods, such as multiple days, while useful, has not gotten much attention. In this paper, we present CarbonCast, a machine-learning-based hierarchical approach that provides multi-day forecasts of the grid's carbon intensity. CarbonCast uses neural networks to first generate production forecasts for all the electricity-generating sources. It then uses a hybrid CNN-LSTM approach to combine these first-tier forecasts with historical carbon intensity data and weather forecasts to generate a carbon intensity forecast for up to four days. Our results show that such a hierarchical design improves the robustness of the predictions against the uncertainty associated with a longer multi-day forecasting period. We also analyze which factors most influence the carbon intensity forecasts of any region with a specific mixture of electricity-generating sources. We show that CarbonCast's 4-day forecasts have a MAPE of 4.80--13.93\\% across six geographically distributed regions while outperforming state-of-the-art methods. Importantly, CarbonCast is the first open-sourced tool for multi-day carbon intensity forecasts where the code and data are freely available to the research community.","author":[{"dropping-particle":"","family":"Maji","given":"Diptyaroop","non-dropping-particle":"","parse-names":false,"suffix":""},{"dropping-particle":"","family":"Shenoy","given":"Prashant","non-dropping-particle":"","parse-names":false,"suffix":""},{"dropping-particle":"","family":"Sitaraman","given":"Ramesh K","non-dropping-particle":"","parse-names":false,"suffix":""}],"collection-title":"BuildSys '22","container-title":"Proceedings of the 9th ACM International Conference on Systems for Energy-Efficient Buildings, Cities, and Transportation","id":"ITEM-1","issued":{"date-parts":[["2022"]]},"page":"198–207","publisher":"Association for Computing Machinery","publisher-place":"New York, NY, USA","title":"CarbonCast: multi-day forecasting of grid carbon intensity","type":"paper-conference"},"uris":["http://www.mendeley.com/documents/?uuid=55ac8399-cd16-4ce9-9f90-37640810af29"]}],"mendeley":{"formattedCitation":"[10]","plainTextFormattedCitation":"[10]","previouslyFormattedCitation":"[10]"},"properties":{"noteIndex":0},"schema":"https://github.com/citation-style-language/schema/raw/master/csl-citation.json"}</w:instrText>
      </w:r>
      <w:r w:rsidR="003E6666" w:rsidRPr="003E6666">
        <w:rPr>
          <w:color w:val="EE0000"/>
        </w:rPr>
        <w:fldChar w:fldCharType="separate"/>
      </w:r>
      <w:r w:rsidR="003E6666" w:rsidRPr="003E6666">
        <w:rPr>
          <w:noProof/>
          <w:color w:val="EE0000"/>
        </w:rPr>
        <w:t>[10]</w:t>
      </w:r>
      <w:r w:rsidR="003E6666" w:rsidRPr="003E6666">
        <w:rPr>
          <w:color w:val="EE0000"/>
        </w:rPr>
        <w:fldChar w:fldCharType="end"/>
      </w:r>
      <w:r w:rsidRPr="00A51779">
        <w:t xml:space="preserve"> extended carbon-intensity prediction from day-ahead to multi-day forecasting using a hierarchical machine-learning architecture, but was not designed as a controlled model-family-by-horizon comparison. Reviews of carbon-emission forecasting similarly report substantial heterogeneity in the apparent gains obtained from nonlinear methods </w:t>
      </w:r>
      <w:r w:rsidR="003E6666" w:rsidRPr="003E6666">
        <w:rPr>
          <w:color w:val="EE0000"/>
        </w:rPr>
        <w:fldChar w:fldCharType="begin" w:fldLock="1"/>
      </w:r>
      <w:r w:rsidR="003E6666">
        <w:rPr>
          <w:color w:val="EE0000"/>
        </w:rPr>
        <w:instrText>ADDIN CSL_CITATION {"citationItems":[{"id":"ITEM-1","itemData":{"DOI":"https://doi.org/10.1016/j.scitotenv.2024.172319","ISSN":"0048-9697","abstract":"Amidst growing concerns over the greenhouse effect, especially its consequential impacts, establishing effective Carbon Emission Prediction Models (CEPMs) to comprehend and predict CO2 emission trends is imperative for climate change mitigation. A review of 147 Carbon Emission Prediction Model (CEPM) studies revealed three predominant functions—prediction, optimization, and prediction factor selection. Statistical models, comprising 75 instances, were the most prevalent among prediction models, followed by neural network models at 21.8 %. The consistent rise in neural network model usage, particularly feedforward architectures, was observed from 2019 to 2022. A majority of CEPMs incorporated optimized approaches, with 94.4 % utilizing metaheuristic models. Parameter optimization was the primary focus, followed by structure optimization. Prediction factor selection models, employing Grey Relational Analysis (GRA) and Principal Component Analysis (PCA) for statistical and machine learning models, respectively, filtered factors effectively. Scrutinizing accuracy, pre-optimized CEPMs exhibited varied performance, Root Mean Square Error (RMSE) values spanned from 0.112 to 1635 Mt, while post-optimization led to a notable improvement, the minimum RMSE reached 0.0003 Mt, and the maximum was 95.14 Mt. Finally, we summarized the pros and cons of existing models, classified and counted the factors that influence carbon emissions, clarified the research objectives in CEPM and assessed the applied model evaluation methods and the spatial and temporal scales of existing research.","author":[{"dropping-particle":"","family":"Jin","given":"Yukai","non-dropping-particle":"","parse-names":false,"suffix":""},{"dropping-particle":"","family":"Sharifi","given":"Ayyoob","non-dropping-particle":"","parse-names":false,"suffix":""},{"dropping-particle":"","family":"Li","given":"Zhisheng","non-dropping-particle":"","parse-names":false,"suffix":""},{"dropping-particle":"","family":"Chen","given":"Sirui","non-dropping-particle":"","parse-names":false,"suffix":""},{"dropping-particle":"","family":"Zeng","given":"Suzhen","non-dropping-particle":"","parse-names":false,"suffix":""},{"dropping-particle":"","family":"Zhao","given":"Shanlun","non-dropping-particle":"","parse-names":false,"suffix":""}],"container-title":"Science of The Total Environment","id":"ITEM-1","issued":{"date-parts":[["2024"]]},"page":"172319","title":"Carbon emission prediction models: A review","type":"article-journal","volume":"927"},"uris":["http://www.mendeley.com/documents/?uuid=03406d79-c5d4-495a-8244-e02b615e53ba"]},{"id":"ITEM-2","itemData":{"DOI":"10.1007/s11356-024-32083-w","ISSN":"1614-7499","abstract":"Accurately predicting future carbon emissions is of great significance for the government to scientifically promote carbon emission reduction policies. Among the current technologies for forecasting carbon emissions, the most prominent ones are econometric models and deep learning, but few works have systematically compared and analyzed the forecasting performance of the methods. Therefore, the paper makes a comparison for deep learning model, machine learning model, and the econometric model to demonstrate whether deep learning is an efficient method for carbon emission prediction research. In model mechanism, neural network for deep learning refers to an information processing model established by simulating biological neural system, and the model can be further extended through bionic characteristics. So the paper further optimizes the model from the perspective of bionics and proposes an innovative deep learning model based on the memory behavior mechanism of group creatures. Comparison results show that the prediction accuracy of the heuristic neural network is higher than that of the econometric model. Through in-depth analysis, the heuristic neural network is more suitable for predicting future carbon emissions, while the econometric model is more suitable for clarifying the impact of influencing factors on carbon emissions.","author":[{"dropping-particle":"","family":"Yao","given":"Xiao","non-dropping-particle":"","parse-names":false,"suffix":""},{"dropping-particle":"","family":"Zhang","given":"Hong","non-dropping-particle":"","parse-names":false,"suffix":""},{"dropping-particle":"","family":"Wang","given":"Xiyue","non-dropping-particle":"","parse-names":false,"suffix":""},{"dropping-particle":"","family":"Jiang","given":"Yadong","non-dropping-particle":"","parse-names":false,"suffix":""},{"dropping-particle":"","family":"Zhang","given":"Yuxi","non-dropping-particle":"","parse-names":false,"suffix":""},{"dropping-particle":"","family":"Na","given":"Xiaohong","non-dropping-particle":"","parse-names":false,"suffix":""}],"container-title":"Environmental Science and Pollution Research","id":"ITEM-2","issue":"13","issued":{"date-parts":[["2024"]]},"page":"19500-19515","title":"Which model is more efficient in carbon emission prediction research? A comparative study of deep learning models, machine learning models, and econometric models","type":"article-journal","volume":"31"},"uris":["http://www.mendeley.com/documents/?uuid=07ef998a-4ccd-4dc0-896d-c67cf9e9f7dd"]}],"mendeley":{"formattedCitation":"[7,11]","plainTextFormattedCitation":"[7,11]","previouslyFormattedCitation":"[7,11]"},"properties":{"noteIndex":0},"schema":"https://github.com/citation-style-language/schema/raw/master/csl-citation.json"}</w:instrText>
      </w:r>
      <w:r w:rsidR="003E6666" w:rsidRPr="003E6666">
        <w:rPr>
          <w:color w:val="EE0000"/>
        </w:rPr>
        <w:fldChar w:fldCharType="separate"/>
      </w:r>
      <w:r w:rsidR="003E6666" w:rsidRPr="003E6666">
        <w:rPr>
          <w:noProof/>
          <w:color w:val="EE0000"/>
        </w:rPr>
        <w:t>[7,11]</w:t>
      </w:r>
      <w:r w:rsidR="003E6666" w:rsidRPr="003E6666">
        <w:rPr>
          <w:color w:val="EE0000"/>
        </w:rPr>
        <w:fldChar w:fldCharType="end"/>
      </w:r>
      <w:r w:rsidRPr="00A51779">
        <w:t>. Thus, the literature reviewed here establishes that horizon affects forecast difficulty, but does not establish whether the value of additional model flexibility itself follows a systematic trajectory as horizon increases.</w:t>
      </w:r>
    </w:p>
    <w:p w14:paraId="0B470487" w14:textId="77777777" w:rsidR="00E35D5F" w:rsidRPr="00A51779" w:rsidRDefault="00E35D5F" w:rsidP="00703316">
      <w:pPr>
        <w:spacing w:line="480" w:lineRule="auto"/>
        <w:jc w:val="both"/>
      </w:pPr>
      <w:r w:rsidRPr="00A51779">
        <w:t xml:space="preserve">The unresolved question is therefore not simply whether nonlinear models can outperform linear models, but when additional nonlinear flexibility becomes valuable and why. Three related issues follow. First, does relative linear-versus-nonlinear performance undergo a reproducible crossover as forecast horizon increases rather than merely differ between isolated horizons? Second, does such a crossover coincide with the decay of autoregressive persistence, providing a statistical explanation for why model rankings change? Third, if nonlinear flexibility becomes advantageous </w:t>
      </w:r>
      <w:r w:rsidRPr="00A51779">
        <w:lastRenderedPageBreak/>
        <w:t>at longer horizons, does that advantage require complex interactions among predictors, or can it be reproduced by smooth nonlinear effects of individual predictors? The present study addresses these questions jointly across multiple forecast horizons and a broad U.S. state panel.</w:t>
      </w:r>
    </w:p>
    <w:p w14:paraId="3E856285" w14:textId="74D33651" w:rsidR="00E35D5F" w:rsidRPr="00A51779" w:rsidRDefault="00E35D5F" w:rsidP="00703316">
      <w:pPr>
        <w:spacing w:line="480" w:lineRule="auto"/>
        <w:jc w:val="both"/>
      </w:pPr>
      <w:r w:rsidRPr="00A51779">
        <w:t xml:space="preserve">The third question is especially important because superior performance of a tree ensemble does not, by itself, identify the source of its advantage. Histogram gradient boosting (HGB) can represent both nonlinear marginal responses and higher-order interactions among predictors. A generalized additive model (GAM) provides an informative intermediate level of flexibility: each predictor is allowed to have a smooth nonlinear relationship with the response, but cross-feature interaction terms are excluded by construction </w:t>
      </w:r>
      <w:r w:rsidR="003E6666" w:rsidRPr="00E332FE">
        <w:rPr>
          <w:color w:val="EE0000"/>
        </w:rPr>
        <w:fldChar w:fldCharType="begin" w:fldLock="1"/>
      </w:r>
      <w:r w:rsidR="003E6666" w:rsidRPr="00E332FE">
        <w:rPr>
          <w:color w:val="EE0000"/>
        </w:rPr>
        <w:instrText xml:space="preserve">ADDIN CSL_CITATION {"citationItems":[{"id":"ITEM-1","itemData":{"ISSN":"08834237, 21688745","abstract":"[Likelihood-based regression models such as the normal linear regression model and the linear logistic model, assume a linear (or some other parametric) form for the covariates X&lt;sub&gt;1&lt;/sub&gt;, X&lt;sub&gt;2&lt;/sub&gt;, </w:instrText>
      </w:r>
      <w:r w:rsidR="003E6666" w:rsidRPr="00E332FE">
        <w:rPr>
          <w:rFonts w:ascii="Cambria Math" w:hAnsi="Cambria Math" w:cs="Cambria Math"/>
          <w:color w:val="EE0000"/>
        </w:rPr>
        <w:instrText>⋯</w:instrText>
      </w:r>
      <w:r w:rsidR="003E6666" w:rsidRPr="00E332FE">
        <w:rPr>
          <w:color w:val="EE0000"/>
        </w:rPr>
        <w:instrText>, X&lt;sub&gt;p&lt;/sub&gt;. We introduce the class of generalized additive models which replaces the linear form ∑ β&lt;sub&gt;jX&lt;/sub&gt;&lt;sub&gt;j&lt;/sub&gt; by a sum of smooth functions ∑ s&lt;sub&gt;j&lt;/sub&gt;(X&lt;sub&gt;j&lt;/sub&gt;). The s&lt;sub&gt;j&lt;/sub&gt;(·)'s are unspecified functions that are estimated using a scatterplot smoother, in an iterative procedure we call the local scoring algorithm. The technique is applicable to any likelihood-based regression model: the class of generalized linear models contains many of these. In this class the linear predictor η = Σ β&lt;sub&gt;jX&lt;/sub&gt;&lt;sub&gt;j&lt;/sub&gt; is replaced by the additive predictor Σ s&lt;sub&gt;j&lt;/sub&gt;(X&lt;sub&gt;j&lt;/sub&gt;); hence, the name generalized additive models. We illustrate the technique with binary response and survival data. In both cases, the method proves to be useful in uncovering nonlinear covariate effects. It has the advantage of being completely automatic, i.e., no \"detective work\" is needed on the part of the statistician. As a theoretical underpinning, the technique is viewed as an empirical method of maximizing the expected log likelihood, or equivalently, of minimizing the Kullback-Leibler distance to the true model.]","author":[{"dropping-particle":"","family":"Hastie","given":"Trevor","non-dropping-particle":"","parse-names":false,"suffix":""},{"dropping-particle":"","family":"Tibshirani","given":"Robert","non-dropping-particle":"","parse-names":false,"suffix":""}],"container-title":"Statistical Science","id":"ITEM-1","issue":"3","issued":{"date-parts":[["1986","9","5"]]},"page":"297-310","publisher":"Institute of Mathematical Statistics","title":"Generalized Additive Models","type":"article-journal","volume":"1"},"uris":["http://www.mendeley.com/documents/?uuid=2018f074-4872-47d2-9511-6dc3d9fae8e0"]}],"mendeley":{"formattedCitation":"[12]","plainTextFormattedCitation":"[12]","previouslyFormattedCitation":"[12]"},"properties":{"noteIndex":0},"schema":"https://github.com/citation-style-language/schema/raw/master/csl-citation.json"}</w:instrText>
      </w:r>
      <w:r w:rsidR="003E6666" w:rsidRPr="00E332FE">
        <w:rPr>
          <w:color w:val="EE0000"/>
        </w:rPr>
        <w:fldChar w:fldCharType="separate"/>
      </w:r>
      <w:r w:rsidR="003E6666" w:rsidRPr="00E332FE">
        <w:rPr>
          <w:noProof/>
          <w:color w:val="EE0000"/>
        </w:rPr>
        <w:t>[12]</w:t>
      </w:r>
      <w:r w:rsidR="003E6666" w:rsidRPr="00E332FE">
        <w:rPr>
          <w:color w:val="EE0000"/>
        </w:rPr>
        <w:fldChar w:fldCharType="end"/>
      </w:r>
      <w:r w:rsidRPr="003E6666">
        <w:rPr>
          <w:color w:val="9999FF"/>
        </w:rPr>
        <w:t>.</w:t>
      </w:r>
      <w:r w:rsidRPr="00A51779">
        <w:t xml:space="preserve"> The resulting structural complexity ladder is:</w:t>
      </w:r>
    </w:p>
    <w:p w14:paraId="1E2159FE" w14:textId="0FF50F89" w:rsidR="00E35D5F" w:rsidRPr="00A51779" w:rsidRDefault="00E35D5F" w:rsidP="00703316">
      <w:pPr>
        <w:spacing w:line="480" w:lineRule="auto"/>
        <w:jc w:val="both"/>
      </w:pPr>
      <m:oMathPara>
        <m:oMath>
          <m:r>
            <m:rPr>
              <m:nor/>
            </m:rPr>
            <m:t>ridge  </m:t>
          </m:r>
          <m:r>
            <w:rPr>
              <w:rFonts w:ascii="Cambria Math" w:hAnsi="Cambria Math"/>
            </w:rPr>
            <m:t>⟶</m:t>
          </m:r>
          <m:r>
            <m:rPr>
              <m:nor/>
            </m:rPr>
            <m:t>  GAM  </m:t>
          </m:r>
          <m:r>
            <w:rPr>
              <w:rFonts w:ascii="Cambria Math" w:hAnsi="Cambria Math"/>
            </w:rPr>
            <m:t>⟶</m:t>
          </m:r>
          <m:r>
            <m:rPr>
              <m:nor/>
            </m:rPr>
            <m:t>  HGB</m:t>
          </m:r>
          <m:r>
            <w:rPr>
              <w:rFonts w:ascii="Cambria Math" w:hAnsi="Cambria Math"/>
            </w:rPr>
            <m:t>.</m:t>
          </m:r>
        </m:oMath>
      </m:oMathPara>
    </w:p>
    <w:p w14:paraId="0086184E" w14:textId="77777777" w:rsidR="00E35D5F" w:rsidRPr="00A51779" w:rsidRDefault="00E35D5F" w:rsidP="00703316">
      <w:pPr>
        <w:spacing w:line="480" w:lineRule="auto"/>
        <w:jc w:val="both"/>
      </w:pPr>
      <w:r w:rsidRPr="00A51779">
        <w:t>Ridge represents linear additive effects, the GAM represents smooth nonlinear additive effects, and HGB additionally permits interaction structure. If a GAM closes most of the ridge-to-HGB performance gap, higher-order interactions are not required to reproduce most of the nonlinear advantage. Conversely, if the GAM remains close to ridge while HGB performs substantially better, interactions become a more plausible explanation.</w:t>
      </w:r>
    </w:p>
    <w:p w14:paraId="199BD474" w14:textId="02AD4365" w:rsidR="00A952BA" w:rsidRPr="00A51779" w:rsidRDefault="00A952BA" w:rsidP="00A952BA">
      <w:pPr>
        <w:keepNext/>
        <w:spacing w:line="480" w:lineRule="auto"/>
        <w:jc w:val="both"/>
      </w:pPr>
      <w:r w:rsidRPr="00A51779">
        <w:rPr>
          <w:noProof/>
        </w:rPr>
        <w:lastRenderedPageBreak/>
        <w:drawing>
          <wp:inline distT="0" distB="0" distL="0" distR="0" wp14:anchorId="4BFF27B2" wp14:editId="59D0A95B">
            <wp:extent cx="5943600" cy="3341370"/>
            <wp:effectExtent l="0" t="0" r="0" b="0"/>
            <wp:docPr id="5718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67666" name=""/>
                    <pic:cNvPicPr/>
                  </pic:nvPicPr>
                  <pic:blipFill>
                    <a:blip r:embed="rId7"/>
                    <a:stretch>
                      <a:fillRect/>
                    </a:stretch>
                  </pic:blipFill>
                  <pic:spPr>
                    <a:xfrm>
                      <a:off x="0" y="0"/>
                      <a:ext cx="5943600" cy="3341370"/>
                    </a:xfrm>
                    <a:prstGeom prst="rect">
                      <a:avLst/>
                    </a:prstGeom>
                  </pic:spPr>
                </pic:pic>
              </a:graphicData>
            </a:graphic>
          </wp:inline>
        </w:drawing>
      </w:r>
    </w:p>
    <w:p w14:paraId="685B821F" w14:textId="0C109634" w:rsidR="00A952BA" w:rsidRPr="00A51779" w:rsidRDefault="00A952BA" w:rsidP="00A952BA">
      <w:pPr>
        <w:keepLines/>
        <w:spacing w:line="480" w:lineRule="auto"/>
        <w:jc w:val="both"/>
      </w:pPr>
      <w:r w:rsidRPr="00A51779">
        <w:t>Fig. 1. Structural comparison of ridge, GAM, and HGB. Each model is fit on the identical 27-feature vector x(t); the models differ in functional flexibility, not predictor information.</w:t>
      </w:r>
    </w:p>
    <w:p w14:paraId="335F1033" w14:textId="31B99FD4" w:rsidR="00E35D5F" w:rsidRPr="00A51779" w:rsidRDefault="00E35D5F" w:rsidP="00703316">
      <w:pPr>
        <w:spacing w:line="480" w:lineRule="auto"/>
        <w:jc w:val="both"/>
      </w:pPr>
      <w:r w:rsidRPr="00A51779">
        <w:t xml:space="preserve">Establishing a horizon-dependent model effect also requires careful comparative evaluation. Apparent differences between linear and nonlinear models can arise from feature construction, model-selection procedures, and evaluation design rather than from genuine differences in predictive structure. In particular, predictors that algebraically contain the forecasting target can create a representational asymmetry: a nonlinear learner may reconstruct information through multiplicative relationships that a linear model cannot form without explicit interaction terms. Hyperparameters selected using observations that occur after an earlier forecast origin can similarly introduce non-prospective information at the model-selection stage. Forecast-error sequences are also serially dependent, while comparisons repeated across states and horizons create a multiple-testing problem. A single chronological split may therefore support a different </w:t>
      </w:r>
      <w:r w:rsidRPr="00A51779">
        <w:lastRenderedPageBreak/>
        <w:t>con</w:t>
      </w:r>
      <w:r w:rsidR="00176F23" w:rsidRPr="00A922C5">
        <w:rPr>
          <w:lang w:val="en-US"/>
        </w:rPr>
        <w:t>r</w:t>
      </w:r>
      <w:r w:rsidRPr="00A51779">
        <w:t>clusion from a repeated rolling-origin evaluation even when nominal accuracy differences appear similar.</w:t>
      </w:r>
    </w:p>
    <w:p w14:paraId="60FD4048" w14:textId="531DB947" w:rsidR="00E35D5F" w:rsidRPr="00A51779" w:rsidRDefault="00E35D5F" w:rsidP="00703316">
      <w:pPr>
        <w:spacing w:line="480" w:lineRule="auto"/>
        <w:jc w:val="both"/>
      </w:pPr>
      <w:r w:rsidRPr="00A51779">
        <w:t xml:space="preserve">These concerns do not imply that conventional machine-learning forecasting studies are invalid; rather, they distinguish two different objectives. One objective is to obtain the lowest forecast error for a particular dataset and evaluation split. A more demanding objective is to claim that one model architecture is systematically superior to another across systems or forecast horizons. The latter requires greater control over feature representation, prospective model selection, temporal evaluation, dependent forecast errors, and multiplicity. Time-series cross-validation and rolling-origin evaluation provide appropriate frameworks for temporally ordered data </w:t>
      </w:r>
      <w:r w:rsidR="003E6666" w:rsidRPr="003E6666">
        <w:rPr>
          <w:color w:val="EE0000"/>
        </w:rPr>
        <w:fldChar w:fldCharType="begin" w:fldLock="1"/>
      </w:r>
      <w:r w:rsidR="003E6666">
        <w:rPr>
          <w:color w:val="EE0000"/>
        </w:rPr>
        <w:instrText>ADDIN CSL_CITATION {"citationItems":[{"id":"ITEM-1","itemData":{"DOI":"10.1016/j.ins.2011.12.028","ISSN":"0020-0255","abstract":"In time series predictor evaluation, we observe that with respect to the model selection procedure there is a gap between evaluation of traditional forecasting procedures, on the one hand, and evaluation of machine learning techniques on the other hand. In traditional forecasting, it is common practice to reserve a part from the end of each time series for testing, and to use the rest of the series for training. Thus it is not made full use of the data, but theoretical problems with respect to temporal evolutionary effects and dependencies within the data as well as practical problems regarding missing values are eliminated. On the other hand, when evaluating machine learning and other regression methods used for time series forecasting, often cross-validation is used for evaluation, paying little attention to the fact that those theoretical problems invalidate the fundamental assumptions of cross-validation. To close this gap and examine the consequences of different model selection procedures in practice, we have developed a rigorous and extensive empirical study. Six different model selection procedures, based on (i) cross-validation and (ii) evaluation using the series’ last part, are used to assess the performance of four machine learning and other regression techniques on synthetic and real-world time series. No practical consequences of the theoretical flaws were found during our study, but the use of cross-validation techniques led to a more robust model selection. To make use of the “best of both worlds”, we suggest that the use of a blocked form of cross-validation for time series evaluation became the standard procedure, thus using all available information and circumventing the theoretical problems.","author":[{"dropping-particle":"","family":"Bergmeir","given":"Christoph","non-dropping-particle":"","parse-names":false,"suffix":""},{"dropping-particle":"","family":"Benítez","given":"José M","non-dropping-particle":"","parse-names":false,"suffix":""}],"container-title":"Information Sciences","id":"ITEM-1","issued":{"date-parts":[["2012"]]},"page":"192-213","title":"On the use of cross-validation for time series predictor evaluation","type":"article-journal","volume":"191"},"uris":["http://www.mendeley.com/documents/?uuid=0f7ca15f-6f8e-48f5-9992-96b51190dc82"]}],"mendeley":{"formattedCitation":"[13]","plainTextFormattedCitation":"[13]","previouslyFormattedCitation":"[13]"},"properties":{"noteIndex":0},"schema":"https://github.com/citation-style-language/schema/raw/master/csl-citation.json"}</w:instrText>
      </w:r>
      <w:r w:rsidR="003E6666" w:rsidRPr="003E6666">
        <w:rPr>
          <w:color w:val="EE0000"/>
        </w:rPr>
        <w:fldChar w:fldCharType="separate"/>
      </w:r>
      <w:r w:rsidR="003E6666" w:rsidRPr="003E6666">
        <w:rPr>
          <w:noProof/>
          <w:color w:val="EE0000"/>
        </w:rPr>
        <w:t>[13]</w:t>
      </w:r>
      <w:r w:rsidR="003E6666" w:rsidRPr="003E6666">
        <w:rPr>
          <w:color w:val="EE0000"/>
        </w:rPr>
        <w:fldChar w:fldCharType="end"/>
      </w:r>
      <w:r w:rsidRPr="00A51779">
        <w:t>, while the Diebold</w:t>
      </w:r>
      <w:r w:rsidR="00EA3C48" w:rsidRPr="00A51779">
        <w:t>-</w:t>
      </w:r>
      <w:r w:rsidRPr="00A51779">
        <w:t xml:space="preserve">Mariano framework </w:t>
      </w:r>
      <w:r w:rsidR="003E6666" w:rsidRPr="003E6666">
        <w:rPr>
          <w:color w:val="EE0000"/>
        </w:rPr>
        <w:fldChar w:fldCharType="begin" w:fldLock="1"/>
      </w:r>
      <w:r w:rsidR="003E6666">
        <w:rPr>
          <w:color w:val="EE0000"/>
        </w:rPr>
        <w:instrText>ADDIN CSL_CITATION {"citationItems":[{"id":"ITEM-1","itemData":{"DOI":"10.2307/1392185","ISSN":"07350015","abstract":"[We propose and evaluate explicit tests of the null hypothesis of no difference in the accuracy of two competing forecasts. In contrast to previously developed tests, a wide variety of accuracy measures can be used (in particular, the loss function need not be quadratic and need not even be symmetric), and forecast errors can be non-Gaussian, nonzero mean, serially correlated, and contemporaneously correlated. Asymptotic and exact finite-sample tests are proposed, evaluated, and illustrated.]","author":[{"dropping-particle":"","family":"Diebold","given":"Francis X","non-dropping-particle":"","parse-names":false,"suffix":""},{"dropping-particle":"","family":"Mariano","given":"Roberto S","non-dropping-particle":"","parse-names":false,"suffix":""}],"container-title":"Journal of Business &amp; Economic Statistics","id":"ITEM-1","issue":"3","issued":{"date-parts":[["1995","9","5"]]},"page":"253-263","publisher":"[American Statistical Association, Taylor &amp; Francis, Ltd.]","title":"Comparing Predictive Accuracy","type":"article-journal","volume":"13"},"uris":["http://www.mendeley.com/documents/?uuid=350c58b5-5db9-4cd4-a517-b810de78d435"]}],"mendeley":{"formattedCitation":"[14]","plainTextFormattedCitation":"[14]","previouslyFormattedCitation":"[14]"},"properties":{"noteIndex":0},"schema":"https://github.com/citation-style-language/schema/raw/master/csl-citation.json"}</w:instrText>
      </w:r>
      <w:r w:rsidR="003E6666" w:rsidRPr="003E6666">
        <w:rPr>
          <w:color w:val="EE0000"/>
        </w:rPr>
        <w:fldChar w:fldCharType="separate"/>
      </w:r>
      <w:r w:rsidR="003E6666" w:rsidRPr="003E6666">
        <w:rPr>
          <w:noProof/>
          <w:color w:val="EE0000"/>
        </w:rPr>
        <w:t>[14]</w:t>
      </w:r>
      <w:r w:rsidR="003E6666" w:rsidRPr="003E6666">
        <w:rPr>
          <w:color w:val="EE0000"/>
        </w:rPr>
        <w:fldChar w:fldCharType="end"/>
      </w:r>
      <w:r w:rsidRPr="00A51779">
        <w:t xml:space="preserve">, heteroskedasticity- and autocorrelation-consistent variance estimation </w:t>
      </w:r>
      <w:r w:rsidR="003E6666" w:rsidRPr="003E6666">
        <w:rPr>
          <w:color w:val="EE0000"/>
        </w:rPr>
        <w:fldChar w:fldCharType="begin" w:fldLock="1"/>
      </w:r>
      <w:r w:rsidR="003E6666">
        <w:rPr>
          <w:color w:val="EE0000"/>
        </w:rPr>
        <w:instrText>ADDIN CSL_CITATION {"citationItems":[{"id":"ITEM-1","itemData":{"DOI":"10.2307/1913610","ISSN":"00129682, 14680262","author":[{"dropping-particle":"","family":"Newey","given":"Whitney K","non-dropping-particle":"","parse-names":false,"suffix":""},{"dropping-particle":"","family":"West","given":"Kenneth D","non-dropping-particle":"","parse-names":false,"suffix":""}],"container-title":"Econometrica","id":"ITEM-1","issue":"3","issued":{"date-parts":[["1987","9","5"]]},"page":"703-708","publisher":"[Wiley, Econometric Society]","title":"A Simple, Positive Semi-Definite, Heteroskedasticity and Autocorrelation Consistent Covariance Matrix","type":"article-journal","volume":"55"},"uris":["http://www.mendeley.com/documents/?uuid=30bdc23f-d929-46d1-abe0-ca0b39e85149"]}],"mendeley":{"formattedCitation":"[15]","plainTextFormattedCitation":"[15]","previouslyFormattedCitation":"[15]"},"properties":{"noteIndex":0},"schema":"https://github.com/citation-style-language/schema/raw/master/csl-citation.json"}</w:instrText>
      </w:r>
      <w:r w:rsidR="003E6666" w:rsidRPr="003E6666">
        <w:rPr>
          <w:color w:val="EE0000"/>
        </w:rPr>
        <w:fldChar w:fldCharType="separate"/>
      </w:r>
      <w:r w:rsidR="003E6666" w:rsidRPr="003E6666">
        <w:rPr>
          <w:noProof/>
          <w:color w:val="EE0000"/>
        </w:rPr>
        <w:t>[15]</w:t>
      </w:r>
      <w:r w:rsidR="003E6666" w:rsidRPr="003E6666">
        <w:rPr>
          <w:color w:val="EE0000"/>
        </w:rPr>
        <w:fldChar w:fldCharType="end"/>
      </w:r>
      <w:r w:rsidRPr="00A51779">
        <w:t xml:space="preserve">, small-sample correction </w:t>
      </w:r>
      <w:r w:rsidR="003E6666" w:rsidRPr="003E6666">
        <w:rPr>
          <w:color w:val="EE0000"/>
        </w:rPr>
        <w:fldChar w:fldCharType="begin" w:fldLock="1"/>
      </w:r>
      <w:r w:rsidR="003E6666">
        <w:rPr>
          <w:color w:val="EE0000"/>
        </w:rPr>
        <w:instrText>ADDIN CSL_CITATION {"citationItems":[{"id":"ITEM-1","itemData":{"DOI":"https://doi.org/10.1016/S0169-2070(96)00719-4","ISSN":"0169-2070","abstract":"Given two sources of forecasts of the same quantity, it is possible to compare prediction records. In particular, it can be useful to test the hypothesis of equal accuracy in forecast performance. We analyse the behaviour of two possible tests, and of modifications of these tests designed to circumvent shortcomings in the original formulations. As a result of this analysis, a recommendation for one particular testing approach is made for practical applications.","author":[{"dropping-particle":"","family":"Harvey","given":"David","non-dropping-particle":"","parse-names":false,"suffix":""},{"dropping-particle":"","family":"Leybourne","given":"Stephen","non-dropping-particle":"","parse-names":false,"suffix":""},{"dropping-particle":"","family":"Newbold","given":"Paul","non-dropping-particle":"","parse-names":false,"suffix":""}],"container-title":"International Journal of Forecasting","id":"ITEM-1","issue":"2","issued":{"date-parts":[["1997"]]},"page":"281-291","title":"Testing the equality of prediction mean squared errors","type":"article-journal","volume":"13"},"uris":["http://www.mendeley.com/documents/?uuid=4790a6e3-f7a0-48f0-bd88-b337f371b38e"]}],"mendeley":{"formattedCitation":"[16]","plainTextFormattedCitation":"[16]","previouslyFormattedCitation":"[16]"},"properties":{"noteIndex":0},"schema":"https://github.com/citation-style-language/schema/raw/master/csl-citation.json"}</w:instrText>
      </w:r>
      <w:r w:rsidR="003E6666" w:rsidRPr="003E6666">
        <w:rPr>
          <w:color w:val="EE0000"/>
        </w:rPr>
        <w:fldChar w:fldCharType="separate"/>
      </w:r>
      <w:r w:rsidR="003E6666" w:rsidRPr="003E6666">
        <w:rPr>
          <w:noProof/>
          <w:color w:val="EE0000"/>
        </w:rPr>
        <w:t>[16]</w:t>
      </w:r>
      <w:r w:rsidR="003E6666" w:rsidRPr="003E6666">
        <w:rPr>
          <w:color w:val="EE0000"/>
        </w:rPr>
        <w:fldChar w:fldCharType="end"/>
      </w:r>
      <w:r w:rsidRPr="00A51779">
        <w:t xml:space="preserve">, and multiple-comparison procedures </w:t>
      </w:r>
      <w:r w:rsidR="003E6666" w:rsidRPr="003E6666">
        <w:rPr>
          <w:color w:val="EE0000"/>
        </w:rPr>
        <w:fldChar w:fldCharType="begin" w:fldLock="1"/>
      </w:r>
      <w:r w:rsidR="00D44B61">
        <w:rPr>
          <w:color w:val="EE0000"/>
        </w:rPr>
        <w:instrText>ADDIN CSL_CITATION {"citationItems":[{"id":"ITEM-1","itemData":{"ISSN":"03036898, 14679469","abstract":"[This paper presents a simple and widely applicable multiple test procedure of the sequentially rejective type, i.e. hypotheses are rejected one at a time until no further rejections can be done. It is shown that the test has a prescribed level of significance protection against error of the first kind for any combination of true hypotheses. The power properties of the test and a number of possible applications are also discussed.]","author":[{"dropping-particle":"","family":"Holm","given":"Sture","non-dropping-particle":"","parse-names":false,"suffix":""}],"container-title":"Scandinavian Journal of Statistics","id":"ITEM-1","issue":"2","issued":{"date-parts":[["1979","9","5"]]},"page":"65-70","publisher":"[Board of the Foundation of the Scandinavian Journal of Statistics, Wiley]","title":"A Simple Sequentially Rejective Multiple Test Procedure","type":"article-journal","volume":"6"},"uris":["http://www.mendeley.com/documents/?uuid=b21a67c2-7911-482e-ba5b-37f3046a6ab7"]}],"mendeley":{"formattedCitation":"[17]","plainTextFormattedCitation":"[17]","previouslyFormattedCitation":"[17]"},"properties":{"noteIndex":0},"schema":"https://github.com/citation-style-language/schema/raw/master/csl-citation.json"}</w:instrText>
      </w:r>
      <w:r w:rsidR="003E6666" w:rsidRPr="003E6666">
        <w:rPr>
          <w:color w:val="EE0000"/>
        </w:rPr>
        <w:fldChar w:fldCharType="separate"/>
      </w:r>
      <w:r w:rsidR="003E6666" w:rsidRPr="003E6666">
        <w:rPr>
          <w:noProof/>
          <w:color w:val="EE0000"/>
        </w:rPr>
        <w:t>[17]</w:t>
      </w:r>
      <w:r w:rsidR="003E6666" w:rsidRPr="003E6666">
        <w:rPr>
          <w:color w:val="EE0000"/>
        </w:rPr>
        <w:fldChar w:fldCharType="end"/>
      </w:r>
      <w:r w:rsidRPr="00A51779">
        <w:t xml:space="preserve"> provide established tools for inference on predictive differences. In this study, these safeguards are not treated as the primary contribution themselves; they provide the inferential foundation needed to determine whether an observed model-by-horizon pattern represents a reproducible forecasting phenomenon rather than an artifact of feature construction, tuning, or evaluation design.</w:t>
      </w:r>
    </w:p>
    <w:p w14:paraId="6E97E1A2" w14:textId="1045AE1B" w:rsidR="00E35D5F" w:rsidRPr="00A51779" w:rsidRDefault="00E35D5F" w:rsidP="00703316">
      <w:pPr>
        <w:spacing w:line="480" w:lineRule="auto"/>
        <w:jc w:val="both"/>
      </w:pPr>
      <w:r w:rsidRPr="00A51779">
        <w:t xml:space="preserve">Against this background, the present study evaluates short-term power-sector </w:t>
      </w:r>
      <w:r w:rsidR="00D44B61" w:rsidRPr="00D44B61">
        <w:rPr>
          <w:lang w:val="en-US"/>
        </w:rPr>
        <w:t>C</w:t>
      </w:r>
      <w:r w:rsidR="00D44B61">
        <w:rPr>
          <w:lang w:val="en-US"/>
        </w:rPr>
        <w:t>O</w:t>
      </w:r>
      <w:r w:rsidR="00D44B61" w:rsidRPr="00D44B61">
        <w:rPr>
          <w:vertAlign w:val="subscript"/>
          <w:lang w:val="en-US"/>
        </w:rPr>
        <w:t>2</w:t>
      </w:r>
      <w:r w:rsidRPr="00A51779">
        <w:t xml:space="preserve"> forecasting using daily U.S. Environmental Protection Agency Clean Air Markets Program Data (CAMPD) </w:t>
      </w:r>
      <w:r w:rsidR="00D44B61" w:rsidRPr="00D44B61">
        <w:rPr>
          <w:color w:val="EE0000"/>
        </w:rPr>
        <w:fldChar w:fldCharType="begin" w:fldLock="1"/>
      </w:r>
      <w:r w:rsidR="00D44B61">
        <w:rPr>
          <w:color w:val="EE0000"/>
        </w:rPr>
        <w:instrText>ADDIN CSL_CITATION {"citationItems":[{"id":"ITEM-1","itemData":{"URL":"https://campd.epa.gov/","author":[{"dropping-particle":"","family":"U.S. Environmental Protection Agency","given":"","non-dropping-particle":"","parse-names":false,"suffix":""}],"id":"ITEM-1","issued":{"date-parts":[["2026"]]},"title":"Clean Air Markets Program Data (CAMPD)","type":"webpage"},"uris":["http://www.mendeley.com/documents/?uuid=20fe0f88-222a-40b9-a7d8-e6e2b278d0e1"]}],"mendeley":{"formattedCitation":"[18]","plainTextFormattedCitation":"[18]","previouslyFormattedCitation":"[18]"},"properties":{"noteIndex":0},"schema":"https://github.com/citation-style-language/schema/raw/master/csl-citation.json"}</w:instrText>
      </w:r>
      <w:r w:rsidR="00D44B61" w:rsidRPr="00D44B61">
        <w:rPr>
          <w:color w:val="EE0000"/>
        </w:rPr>
        <w:fldChar w:fldCharType="separate"/>
      </w:r>
      <w:r w:rsidR="00D44B61" w:rsidRPr="00D44B61">
        <w:rPr>
          <w:noProof/>
          <w:color w:val="EE0000"/>
        </w:rPr>
        <w:t>[18]</w:t>
      </w:r>
      <w:r w:rsidR="00D44B61" w:rsidRPr="00D44B61">
        <w:rPr>
          <w:color w:val="EE0000"/>
        </w:rPr>
        <w:fldChar w:fldCharType="end"/>
      </w:r>
      <w:r w:rsidRPr="00A51779">
        <w:t>. The principal analysis covers seven complete years, 2019</w:t>
      </w:r>
      <w:r w:rsidR="00EA3C48" w:rsidRPr="00A51779">
        <w:t>-</w:t>
      </w:r>
      <w:r w:rsidRPr="00A51779">
        <w:t>2025, for 45 U.S. states meeting predefined data-quality criteria and considers seven forecast horizons of 1, 2, 3, 5, 7, 10, and 14 days. Ridge regression and HGB are used as deliberately contrasting model families, with persistence retained as the essential time-series baseline. A GAM is introduced as an intermediate complexity level to distinguish smooth additive nonlinearity from interaction-driven effects. A complementary detailed analysis of Texas, Pennsylvania, and California over 2023</w:t>
      </w:r>
      <w:r w:rsidR="00EA3C48" w:rsidRPr="00A51779">
        <w:t>-</w:t>
      </w:r>
      <w:r w:rsidRPr="00A51779">
        <w:t xml:space="preserve">2025 is used </w:t>
      </w:r>
      <w:r w:rsidRPr="00A51779">
        <w:lastRenderedPageBreak/>
        <w:t>to diagnose sensitivity to feature representation, evaluation protocol, prospective hyperparameter selection, reporting-facility composition, and hyperparameter-search budget before the resulting framework is evaluated at nationwide scale.</w:t>
      </w:r>
    </w:p>
    <w:p w14:paraId="53B7F36B" w14:textId="1496DEA2" w:rsidR="00E35D5F" w:rsidRPr="00A51779" w:rsidRDefault="00E35D5F" w:rsidP="00703316">
      <w:pPr>
        <w:spacing w:line="480" w:lineRule="auto"/>
        <w:jc w:val="both"/>
      </w:pPr>
      <w:r w:rsidRPr="00A51779">
        <w:t>The study makes four principal contributions. First, it reframes comparative power-sector CO</w:t>
      </w:r>
      <w:r w:rsidR="00D44B61" w:rsidRPr="00D44B61">
        <w:rPr>
          <w:vertAlign w:val="subscript"/>
          <w:lang w:val="en-US"/>
        </w:rPr>
        <w:t>2</w:t>
      </w:r>
      <w:r w:rsidRPr="00A51779">
        <w:t xml:space="preserve"> forecasting as a horizon-dependent problem and tests for a systematic model-performance crossover across seven forecast horizons rather than drawing conclusions from a single day-ahead or multi-day comparison. Second, it evaluates the generality of this behavior across 45 heterogeneous U.S. state power systems rather than inferring a general model ranking from a small number of individual systems. Third, it tests a specific explanation for the crossover by relating relative model performance to the decay of autoregressive persistence and by using a nationwide GAM decomposition to determine whether the emerging nonlinear advantage can be reproduced predominantly through smooth additive nonlinearities without requiring higher-order interactions. Fourth, it evaluates the resulting pattern within a leakage-aware, fully prospective, rolling-origin framework incorporating dependent-error inference, multiplicity control, regional dependence checks, and a substantially expanded hyperparameter-search robustness analysis.</w:t>
      </w:r>
    </w:p>
    <w:p w14:paraId="53023B8B" w14:textId="77777777" w:rsidR="00E35D5F" w:rsidRPr="00A51779" w:rsidRDefault="00E35D5F" w:rsidP="00703316">
      <w:pPr>
        <w:spacing w:line="480" w:lineRule="auto"/>
        <w:jc w:val="both"/>
      </w:pPr>
      <w:r w:rsidRPr="00A51779">
        <w:t>The resulting objective is not to identify a universally superior forecasting architecture. Instead, it is to determine whether the relative value of model flexibility changes systematically as the forecasting problem becomes less dominated by short-term persistence, and to characterize the type of nonlinear structure associated with that transition.</w:t>
      </w:r>
    </w:p>
    <w:p w14:paraId="06F9EF8F" w14:textId="77777777" w:rsidR="00E35D5F" w:rsidRPr="00A51779" w:rsidRDefault="00E35D5F" w:rsidP="00703316">
      <w:pPr>
        <w:spacing w:line="480" w:lineRule="auto"/>
        <w:jc w:val="both"/>
      </w:pPr>
    </w:p>
    <w:p w14:paraId="48E16169" w14:textId="77777777" w:rsidR="00A952BA" w:rsidRPr="00A51779" w:rsidRDefault="00A952BA" w:rsidP="00703316">
      <w:pPr>
        <w:spacing w:line="480" w:lineRule="auto"/>
        <w:jc w:val="both"/>
      </w:pPr>
    </w:p>
    <w:p w14:paraId="2D36D6E3" w14:textId="77777777" w:rsidR="00A952BA" w:rsidRPr="00A51779" w:rsidRDefault="00A952BA" w:rsidP="00703316">
      <w:pPr>
        <w:spacing w:line="480" w:lineRule="auto"/>
        <w:jc w:val="both"/>
      </w:pPr>
    </w:p>
    <w:p w14:paraId="581E8B02" w14:textId="77777777" w:rsidR="00E35D5F" w:rsidRPr="00A51779" w:rsidRDefault="00E35D5F" w:rsidP="00703316">
      <w:pPr>
        <w:spacing w:line="480" w:lineRule="auto"/>
        <w:jc w:val="both"/>
      </w:pPr>
    </w:p>
    <w:p w14:paraId="17B31E03" w14:textId="77777777" w:rsidR="00E35D5F" w:rsidRPr="00A51779" w:rsidRDefault="00E35D5F" w:rsidP="00703316">
      <w:pPr>
        <w:spacing w:line="480" w:lineRule="auto"/>
        <w:jc w:val="both"/>
        <w:outlineLvl w:val="1"/>
        <w:rPr>
          <w:b/>
          <w:bCs/>
        </w:rPr>
      </w:pPr>
      <w:r w:rsidRPr="00A51779">
        <w:rPr>
          <w:b/>
          <w:bCs/>
        </w:rPr>
        <w:lastRenderedPageBreak/>
        <w:t>1.1 Research questions</w:t>
      </w:r>
    </w:p>
    <w:p w14:paraId="43E34C99" w14:textId="77777777" w:rsidR="00C65888" w:rsidRPr="007878CB" w:rsidRDefault="00C65888" w:rsidP="00C65888">
      <w:pPr>
        <w:spacing w:line="480" w:lineRule="auto"/>
        <w:jc w:val="both"/>
      </w:pPr>
      <w:r w:rsidRPr="007878CB">
        <w:t>The analysis is organized around four research questions addressing the horizon dependence, statistical mechanism, structural source, and robustness of relative model performance:</w:t>
      </w:r>
    </w:p>
    <w:p w14:paraId="01FE66DF" w14:textId="77777777" w:rsidR="00C65888" w:rsidRPr="007878CB" w:rsidRDefault="00C65888" w:rsidP="00C65888">
      <w:pPr>
        <w:spacing w:line="480" w:lineRule="auto"/>
        <w:jc w:val="both"/>
      </w:pPr>
      <w:r w:rsidRPr="007878CB">
        <w:rPr>
          <w:b/>
          <w:bCs/>
        </w:rPr>
        <w:t xml:space="preserve">RQ1. </w:t>
      </w:r>
      <w:r w:rsidRPr="007878CB">
        <w:t>Does the relative predictive performance of linear and nonlinear models change systematically with forecast horizon?</w:t>
      </w:r>
    </w:p>
    <w:p w14:paraId="17BD31F6" w14:textId="77777777" w:rsidR="00C65888" w:rsidRPr="007878CB" w:rsidRDefault="00C65888" w:rsidP="00C65888">
      <w:pPr>
        <w:spacing w:line="480" w:lineRule="auto"/>
        <w:jc w:val="both"/>
      </w:pPr>
      <w:r w:rsidRPr="007878CB">
        <w:rPr>
          <w:b/>
          <w:bCs/>
        </w:rPr>
        <w:t xml:space="preserve">RQ2. </w:t>
      </w:r>
      <w:r w:rsidRPr="007878CB">
        <w:t>Is the crossover in relative model performance associated with the decay of autoregressive persistence as forecast horizon increases?</w:t>
      </w:r>
    </w:p>
    <w:p w14:paraId="50325FA5" w14:textId="77777777" w:rsidR="00C65888" w:rsidRPr="007878CB" w:rsidRDefault="00C65888" w:rsidP="00C65888">
      <w:pPr>
        <w:spacing w:line="480" w:lineRule="auto"/>
        <w:jc w:val="both"/>
      </w:pPr>
      <w:r w:rsidRPr="007878CB">
        <w:rPr>
          <w:b/>
          <w:bCs/>
        </w:rPr>
        <w:t xml:space="preserve">RQ3. </w:t>
      </w:r>
      <w:r w:rsidRPr="007878CB">
        <w:t>Can smooth additive nonlinearities reproduce most of the long-horizon advantage of an interaction-capable boosting model?</w:t>
      </w:r>
    </w:p>
    <w:p w14:paraId="378C0D0A" w14:textId="77777777" w:rsidR="00C65888" w:rsidRPr="007878CB" w:rsidRDefault="00C65888" w:rsidP="00C65888">
      <w:pPr>
        <w:spacing w:line="480" w:lineRule="auto"/>
        <w:jc w:val="both"/>
      </w:pPr>
      <w:r w:rsidRPr="007878CB">
        <w:rPr>
          <w:b/>
          <w:bCs/>
        </w:rPr>
        <w:t xml:space="preserve">RQ4. </w:t>
      </w:r>
      <w:r w:rsidRPr="007878CB">
        <w:t>Are the horizon-dependent performance patterns robust to feature representation, data composition, evaluation protocol, and model-selection and tuning procedures?</w:t>
      </w:r>
    </w:p>
    <w:p w14:paraId="12DD1925" w14:textId="74B71B49" w:rsidR="00C65888" w:rsidRPr="007878CB" w:rsidRDefault="00C65888" w:rsidP="00C65888">
      <w:pPr>
        <w:spacing w:line="480" w:lineRule="auto"/>
        <w:jc w:val="both"/>
      </w:pPr>
      <w:r w:rsidRPr="007878CB">
        <w:t>Together, RQ1</w:t>
      </w:r>
      <w:r w:rsidRPr="007878CB">
        <w:t>-</w:t>
      </w:r>
      <w:r w:rsidRPr="007878CB">
        <w:t>RQ3 address the central scientific question of whether the value and source of nonlinear model flexibility change systematically with forecast horizon. RQ4 establishes whether the resulting pattern is robust to methodological choices</w:t>
      </w:r>
      <w:r w:rsidRPr="007878CB">
        <w:t>,</w:t>
      </w:r>
      <w:r w:rsidRPr="007878CB">
        <w:t xml:space="preserve"> including feature representation, facility-reporting composition, evaluation protocol, hyperparameter-selection chronology, and search budget</w:t>
      </w:r>
      <w:r w:rsidRPr="007878CB">
        <w:t xml:space="preserve"> </w:t>
      </w:r>
      <w:r w:rsidRPr="007878CB">
        <w:t>that could otherwise influence comparative model performance.</w:t>
      </w:r>
    </w:p>
    <w:p w14:paraId="6E53DDDB" w14:textId="77777777" w:rsidR="005C671A" w:rsidRPr="005C671A" w:rsidRDefault="005C671A" w:rsidP="00703316">
      <w:pPr>
        <w:spacing w:line="480" w:lineRule="auto"/>
        <w:jc w:val="both"/>
        <w:rPr>
          <w:lang w:val="en-US"/>
        </w:rPr>
      </w:pPr>
    </w:p>
    <w:p w14:paraId="55FA404A" w14:textId="77777777" w:rsidR="00E35D5F" w:rsidRDefault="00E35D5F" w:rsidP="00703316">
      <w:pPr>
        <w:spacing w:line="480" w:lineRule="auto"/>
        <w:jc w:val="both"/>
      </w:pPr>
    </w:p>
    <w:p w14:paraId="6ED09C44" w14:textId="77777777" w:rsidR="00E332FE" w:rsidRDefault="00E332FE" w:rsidP="00703316">
      <w:pPr>
        <w:spacing w:line="480" w:lineRule="auto"/>
        <w:jc w:val="both"/>
      </w:pPr>
    </w:p>
    <w:p w14:paraId="3ED5368F" w14:textId="77777777" w:rsidR="00C65888" w:rsidRDefault="00C65888" w:rsidP="00703316">
      <w:pPr>
        <w:spacing w:line="480" w:lineRule="auto"/>
        <w:jc w:val="both"/>
      </w:pPr>
    </w:p>
    <w:p w14:paraId="4B28B3AC" w14:textId="77777777" w:rsidR="00E332FE" w:rsidRDefault="00E332FE" w:rsidP="00703316">
      <w:pPr>
        <w:spacing w:line="480" w:lineRule="auto"/>
        <w:jc w:val="both"/>
      </w:pPr>
    </w:p>
    <w:p w14:paraId="4E4AE05A" w14:textId="77777777" w:rsidR="00E332FE" w:rsidRDefault="00E332FE" w:rsidP="00703316">
      <w:pPr>
        <w:spacing w:line="480" w:lineRule="auto"/>
        <w:jc w:val="both"/>
      </w:pPr>
    </w:p>
    <w:p w14:paraId="3DD6E97A" w14:textId="77777777" w:rsidR="00E332FE" w:rsidRDefault="00E332FE" w:rsidP="00703316">
      <w:pPr>
        <w:spacing w:line="480" w:lineRule="auto"/>
        <w:jc w:val="both"/>
      </w:pPr>
    </w:p>
    <w:p w14:paraId="6B905E0D" w14:textId="5ABC1E1E" w:rsidR="0052347F" w:rsidRPr="00A51779" w:rsidRDefault="00000000" w:rsidP="00703316">
      <w:pPr>
        <w:pStyle w:val="Heading1"/>
        <w:spacing w:line="480" w:lineRule="auto"/>
        <w:jc w:val="both"/>
        <w:rPr>
          <w:color w:val="auto"/>
          <w:sz w:val="24"/>
          <w:szCs w:val="24"/>
        </w:rPr>
      </w:pPr>
      <w:r w:rsidRPr="00A51779">
        <w:rPr>
          <w:b/>
          <w:bCs/>
          <w:color w:val="auto"/>
          <w:sz w:val="24"/>
          <w:szCs w:val="24"/>
        </w:rPr>
        <w:lastRenderedPageBreak/>
        <w:t>2. Materials and Methods</w:t>
      </w:r>
    </w:p>
    <w:p w14:paraId="1C7517BB" w14:textId="77777777" w:rsidR="0052347F" w:rsidRPr="00A51779" w:rsidRDefault="00000000" w:rsidP="00703316">
      <w:pPr>
        <w:pStyle w:val="Heading2"/>
        <w:spacing w:line="480" w:lineRule="auto"/>
        <w:jc w:val="both"/>
        <w:rPr>
          <w:color w:val="auto"/>
          <w:sz w:val="24"/>
          <w:szCs w:val="24"/>
        </w:rPr>
      </w:pPr>
      <w:r w:rsidRPr="00A51779">
        <w:rPr>
          <w:b/>
          <w:bCs/>
          <w:color w:val="auto"/>
          <w:sz w:val="24"/>
          <w:szCs w:val="24"/>
        </w:rPr>
        <w:t>2.1 Study design</w:t>
      </w:r>
    </w:p>
    <w:p w14:paraId="5A902B27" w14:textId="28347994" w:rsidR="001E1FFE" w:rsidRPr="00A51779" w:rsidRDefault="001E1FFE" w:rsidP="00703316">
      <w:pPr>
        <w:spacing w:line="480" w:lineRule="auto"/>
        <w:jc w:val="both"/>
      </w:pPr>
      <w:r w:rsidRPr="00A51779">
        <w:t>The study evaluates whether the relative benefit of nonlinear model flexibility in short-term power-sector CO</w:t>
      </w:r>
      <w:r w:rsidRPr="00A51779">
        <w:rPr>
          <w:vertAlign w:val="subscript"/>
        </w:rPr>
        <w:t>2</w:t>
      </w:r>
      <w:r w:rsidRPr="00A51779">
        <w:t xml:space="preserve"> forecasting changes with forecast horizon. The primary analysis uses seven years of EPA Clean Air Markets Program Data (2019-2025) from 45 U.S. states meeting predefined eligibility criteria and considers seven forecast horizons ranging from 1 to 14 days. A complementary three-state analysis of Texas, Pennsylvania, and California, using data from 2023</w:t>
      </w:r>
      <w:r w:rsidR="00D44B61" w:rsidRPr="00D44B61">
        <w:rPr>
          <w:lang w:val="en-US"/>
        </w:rPr>
        <w:t>-</w:t>
      </w:r>
      <w:r w:rsidRPr="00A51779">
        <w:t xml:space="preserve">2025, is used to examine methodological sensitivities in greater detail, including redundant target encoding, prospective hyperparameter selection, feature representation, evaluation protocol, and retuning under an expanded search. The resulting evaluation framework is then applied consistently across the nationwide multihorizon analysis to determine whether the patterns observed in the case studies generalize across states and forecast horizons. All model comparisons use a common evaluation and statistical-testing framework to ensure that differences in predictive performance reflect model behavior rather than inconsistencies in experimental design. The overall analytical workflow is summarized in Fig. </w:t>
      </w:r>
      <w:r w:rsidR="00A952BA" w:rsidRPr="00A51779">
        <w:t>2</w:t>
      </w:r>
      <w:r w:rsidRPr="00A51779">
        <w:t>.</w:t>
      </w:r>
    </w:p>
    <w:p w14:paraId="769B5993" w14:textId="58209B48" w:rsidR="0052347F" w:rsidRPr="00A51779" w:rsidRDefault="00B06310" w:rsidP="00B06310">
      <w:pPr>
        <w:spacing w:before="160" w:line="480" w:lineRule="auto"/>
        <w:jc w:val="both"/>
      </w:pPr>
      <w:r w:rsidRPr="00B06310">
        <w:rPr>
          <w:noProof/>
        </w:rPr>
        <w:lastRenderedPageBreak/>
        <w:drawing>
          <wp:inline distT="0" distB="0" distL="0" distR="0" wp14:anchorId="75F1EF8C" wp14:editId="5530837B">
            <wp:extent cx="5943600" cy="3214370"/>
            <wp:effectExtent l="0" t="0" r="0" b="0"/>
            <wp:docPr id="59" name="Picture 58">
              <a:extLst xmlns:a="http://schemas.openxmlformats.org/drawingml/2006/main">
                <a:ext uri="{FF2B5EF4-FFF2-40B4-BE49-F238E27FC236}">
                  <a16:creationId xmlns:a16="http://schemas.microsoft.com/office/drawing/2014/main" id="{360242D8-4693-E5D4-6325-979EF344E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a:extLst>
                        <a:ext uri="{FF2B5EF4-FFF2-40B4-BE49-F238E27FC236}">
                          <a16:creationId xmlns:a16="http://schemas.microsoft.com/office/drawing/2014/main" id="{360242D8-4693-E5D4-6325-979EF344E6A1}"/>
                        </a:ext>
                      </a:extLst>
                    </pic:cNvPr>
                    <pic:cNvPicPr>
                      <a:picLocks noChangeAspect="1"/>
                    </pic:cNvPicPr>
                  </pic:nvPicPr>
                  <pic:blipFill>
                    <a:blip r:embed="rId8"/>
                    <a:stretch>
                      <a:fillRect/>
                    </a:stretch>
                  </pic:blipFill>
                  <pic:spPr>
                    <a:xfrm>
                      <a:off x="0" y="0"/>
                      <a:ext cx="5943600" cy="3214370"/>
                    </a:xfrm>
                    <a:prstGeom prst="rect">
                      <a:avLst/>
                    </a:prstGeom>
                  </pic:spPr>
                </pic:pic>
              </a:graphicData>
            </a:graphic>
          </wp:inline>
        </w:drawing>
      </w:r>
    </w:p>
    <w:p w14:paraId="40C846E0" w14:textId="3859CEB9" w:rsidR="0052347F" w:rsidRPr="00A51779" w:rsidRDefault="001E1FFE" w:rsidP="00703316">
      <w:pPr>
        <w:spacing w:line="480" w:lineRule="auto"/>
        <w:jc w:val="both"/>
      </w:pPr>
      <w:r w:rsidRPr="00A51779">
        <w:t xml:space="preserve">Fig. </w:t>
      </w:r>
      <w:r w:rsidR="00A952BA" w:rsidRPr="00A51779">
        <w:t>2</w:t>
      </w:r>
      <w:r w:rsidRPr="00A51779">
        <w:t xml:space="preserve">. Forecasting pipeline: primary nationwide benchmark </w:t>
      </w:r>
    </w:p>
    <w:p w14:paraId="73FF6267" w14:textId="77777777" w:rsidR="00E332FE" w:rsidRDefault="00E332FE" w:rsidP="00703316">
      <w:pPr>
        <w:pStyle w:val="Heading2"/>
        <w:spacing w:line="480" w:lineRule="auto"/>
        <w:jc w:val="both"/>
        <w:rPr>
          <w:b/>
          <w:bCs/>
          <w:color w:val="auto"/>
          <w:sz w:val="24"/>
          <w:szCs w:val="24"/>
        </w:rPr>
      </w:pPr>
    </w:p>
    <w:p w14:paraId="61A01F57" w14:textId="46BDA212" w:rsidR="00DA2807" w:rsidRPr="00A51779" w:rsidRDefault="00DA2807" w:rsidP="00703316">
      <w:pPr>
        <w:pStyle w:val="Heading2"/>
        <w:spacing w:line="480" w:lineRule="auto"/>
        <w:jc w:val="both"/>
        <w:rPr>
          <w:b/>
          <w:bCs/>
          <w:color w:val="auto"/>
          <w:sz w:val="24"/>
          <w:szCs w:val="24"/>
        </w:rPr>
      </w:pPr>
      <w:r w:rsidRPr="00A51779">
        <w:rPr>
          <w:b/>
          <w:bCs/>
          <w:color w:val="auto"/>
          <w:sz w:val="24"/>
          <w:szCs w:val="24"/>
        </w:rPr>
        <w:t>2.2 Data provision and state-level aggregation</w:t>
      </w:r>
    </w:p>
    <w:p w14:paraId="42C98E9C" w14:textId="02FF9999" w:rsidR="00DA2807" w:rsidRPr="00A51779" w:rsidRDefault="00DA2807" w:rsidP="00E332FE">
      <w:pPr>
        <w:pStyle w:val="NormalWeb"/>
        <w:spacing w:before="0" w:beforeAutospacing="0" w:after="0" w:afterAutospacing="0" w:line="480" w:lineRule="auto"/>
        <w:jc w:val="both"/>
      </w:pPr>
      <w:r w:rsidRPr="00A51779">
        <w:t xml:space="preserve">Daily facility-level data were obtained from the U.S. Environmental Protection Agency Clean Air Markets Program Data (CAMPD) website </w:t>
      </w:r>
      <w:r w:rsidR="00D44B61" w:rsidRPr="00D44B61">
        <w:rPr>
          <w:color w:val="EE0000"/>
        </w:rPr>
        <w:fldChar w:fldCharType="begin" w:fldLock="1"/>
      </w:r>
      <w:r w:rsidR="00D44B61">
        <w:rPr>
          <w:color w:val="EE0000"/>
        </w:rPr>
        <w:instrText>ADDIN CSL_CITATION {"citationItems":[{"id":"ITEM-1","itemData":{"URL":"https://campd.epa.gov/","author":[{"dropping-particle":"","family":"U.S. Environmental Protection Agency","given":"","non-dropping-particle":"","parse-names":false,"suffix":""}],"id":"ITEM-1","issued":{"date-parts":[["2026"]]},"title":"Clean Air Markets Program Data (CAMPD)","type":"webpage"},"uris":["http://www.mendeley.com/documents/?uuid=20fe0f88-222a-40b9-a7d8-e6e2b278d0e1"]}],"mendeley":{"formattedCitation":"[18]","plainTextFormattedCitation":"[18]","previouslyFormattedCitation":"[18]"},"properties":{"noteIndex":0},"schema":"https://github.com/citation-style-language/schema/raw/master/csl-citation.json"}</w:instrText>
      </w:r>
      <w:r w:rsidR="00D44B61" w:rsidRPr="00D44B61">
        <w:rPr>
          <w:color w:val="EE0000"/>
        </w:rPr>
        <w:fldChar w:fldCharType="separate"/>
      </w:r>
      <w:r w:rsidR="00D44B61" w:rsidRPr="00D44B61">
        <w:rPr>
          <w:noProof/>
          <w:color w:val="EE0000"/>
        </w:rPr>
        <w:t>[18]</w:t>
      </w:r>
      <w:r w:rsidR="00D44B61" w:rsidRPr="00D44B61">
        <w:rPr>
          <w:color w:val="EE0000"/>
        </w:rPr>
        <w:fldChar w:fldCharType="end"/>
      </w:r>
      <w:r w:rsidRPr="00A51779">
        <w:t>. The 2023-2025 exports contained facility identifier, state, gross load, steam load, SO</w:t>
      </w:r>
      <w:r w:rsidRPr="00A51779">
        <w:rPr>
          <w:vertAlign w:val="subscript"/>
        </w:rPr>
        <w:t>2</w:t>
      </w:r>
      <w:r w:rsidRPr="00A51779">
        <w:t xml:space="preserve"> mass, CO</w:t>
      </w:r>
      <w:r w:rsidRPr="00A51779">
        <w:rPr>
          <w:vertAlign w:val="subscript"/>
        </w:rPr>
        <w:t>2</w:t>
      </w:r>
      <w:r w:rsidRPr="00A51779">
        <w:t xml:space="preserve"> mass, NO</w:t>
      </w:r>
      <w:r w:rsidRPr="00A51779">
        <w:rPr>
          <w:vertAlign w:val="subscript"/>
        </w:rPr>
        <w:t>x</w:t>
      </w:r>
      <w:r w:rsidRPr="00A51779">
        <w:t xml:space="preserve"> mass, and heat input. After removing 2,519 duplicate state-facility-date records occurring at annual-export boundaries, the dataset contained 1,416,164 facility-day observations from 1,353 facilities across 51 state or district codes. State-level daily series were constructed by summing available facility observations for CO</w:t>
      </w:r>
      <w:r w:rsidRPr="00A51779">
        <w:rPr>
          <w:vertAlign w:val="subscript"/>
        </w:rPr>
        <w:t>2</w:t>
      </w:r>
      <w:r w:rsidRPr="00A51779">
        <w:t>, SO</w:t>
      </w:r>
      <w:r w:rsidRPr="00A51779">
        <w:rPr>
          <w:vertAlign w:val="subscript"/>
        </w:rPr>
        <w:t>2</w:t>
      </w:r>
      <w:r w:rsidRPr="00A51779">
        <w:t>, NO</w:t>
      </w:r>
      <w:r w:rsidRPr="00A51779">
        <w:rPr>
          <w:vertAlign w:val="subscript"/>
        </w:rPr>
        <w:t>x</w:t>
      </w:r>
      <w:r w:rsidRPr="00A51779">
        <w:t>, gross load, and heat input; days with no reporting facilities were retained as missing rather than assigned zero. Steam load was excluded because 94.95% of observations were missing.</w:t>
      </w:r>
    </w:p>
    <w:p w14:paraId="4D0E8FD7" w14:textId="76436474" w:rsidR="00DA2807" w:rsidRPr="00A51779" w:rsidRDefault="00DA2807" w:rsidP="00703316">
      <w:pPr>
        <w:pStyle w:val="NormalWeb"/>
        <w:spacing w:before="0" w:beforeAutospacing="0" w:after="0" w:afterAutospacing="0" w:line="480" w:lineRule="auto"/>
        <w:jc w:val="both"/>
      </w:pPr>
      <w:r w:rsidRPr="00A51779">
        <w:t xml:space="preserve">Texas (TX), Pennsylvania (PA), and California (CA) were selected for the detailed case-study analysis because of their contrasting emission levels, generation portfolios, and grid structures. </w:t>
      </w:r>
      <w:r w:rsidRPr="00A51779">
        <w:lastRenderedPageBreak/>
        <w:t>Their state-day series were complete for all modeled variables over 2023</w:t>
      </w:r>
      <w:r w:rsidR="005F5422" w:rsidRPr="00A51779">
        <w:t>-</w:t>
      </w:r>
      <w:r w:rsidRPr="00A51779">
        <w:t>2025. The number of reporting facilities was retained as an operational covariate, CO</w:t>
      </w:r>
      <w:r w:rsidR="005F5422" w:rsidRPr="00A51779">
        <w:rPr>
          <w:vertAlign w:val="subscript"/>
        </w:rPr>
        <w:t>2</w:t>
      </w:r>
      <w:r w:rsidRPr="00A51779">
        <w:t xml:space="preserve"> intensity was calculated as daily CO</w:t>
      </w:r>
      <w:r w:rsidR="005F5422" w:rsidRPr="00A51779">
        <w:rPr>
          <w:vertAlign w:val="subscript"/>
        </w:rPr>
        <w:t>2</w:t>
      </w:r>
      <w:r w:rsidRPr="00A51779">
        <w:t xml:space="preserve"> mass divided by gross load, and calendar variables were derived from day of week, month, day of year, weekend status, and cyclical weekly and annual encodings. The three-state analysis and initial nationwide benchmark use the 2023</w:t>
      </w:r>
      <w:r w:rsidR="005F5422" w:rsidRPr="00A51779">
        <w:t>-</w:t>
      </w:r>
      <w:r w:rsidRPr="00A51779">
        <w:t>2025 period, whereas the multihorizon analysis extends the data window to 2019</w:t>
      </w:r>
      <w:r w:rsidR="005F5422" w:rsidRPr="00A51779">
        <w:t>-</w:t>
      </w:r>
      <w:r w:rsidRPr="00A51779">
        <w:t>2025. Table 1 summarizes the principal datasets and evaluation designs.</w:t>
      </w:r>
      <w:r w:rsidR="005F5422" w:rsidRPr="00A51779">
        <w:br/>
      </w:r>
      <w:r w:rsidR="005F5422" w:rsidRPr="004219A9">
        <w:t>Table 1. Dataset and evaluation overview.</w:t>
      </w:r>
    </w:p>
    <w:tbl>
      <w:tblPr>
        <w:tblStyle w:val="PlainTable2"/>
        <w:tblW w:w="9360"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4600"/>
        <w:gridCol w:w="4760"/>
      </w:tblGrid>
      <w:tr w:rsidR="005F5422" w:rsidRPr="00A51779" w14:paraId="0BB85B8A"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2E210BF0" w14:textId="77777777" w:rsidR="005F5422" w:rsidRPr="00A51779" w:rsidRDefault="005F5422" w:rsidP="00703316">
            <w:pPr>
              <w:spacing w:line="480" w:lineRule="auto"/>
              <w:jc w:val="both"/>
            </w:pPr>
            <w:r w:rsidRPr="00A51779">
              <w:rPr>
                <w:b/>
                <w:bCs/>
              </w:rPr>
              <w:t>Item</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44D3C84F" w14:textId="77777777" w:rsidR="005F5422" w:rsidRPr="00A51779" w:rsidRDefault="005F5422" w:rsidP="00703316">
            <w:pPr>
              <w:spacing w:line="480" w:lineRule="auto"/>
              <w:jc w:val="both"/>
            </w:pPr>
            <w:r w:rsidRPr="00A51779">
              <w:rPr>
                <w:b/>
                <w:bCs/>
              </w:rPr>
              <w:t>Value</w:t>
            </w:r>
          </w:p>
        </w:tc>
      </w:tr>
      <w:tr w:rsidR="005F5422" w:rsidRPr="00A51779" w14:paraId="0B9D4E69"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3A9C72A2" w14:textId="77777777" w:rsidR="005F5422" w:rsidRPr="00A51779" w:rsidRDefault="005F5422" w:rsidP="00703316">
            <w:pPr>
              <w:spacing w:line="480" w:lineRule="auto"/>
              <w:jc w:val="both"/>
            </w:pPr>
            <w:r w:rsidRPr="00A51779">
              <w:t>Facility-day records (2023-2025)</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1EE67EDB" w14:textId="77777777" w:rsidR="005F5422" w:rsidRPr="00A51779" w:rsidRDefault="005F5422" w:rsidP="00703316">
            <w:pPr>
              <w:spacing w:line="480" w:lineRule="auto"/>
              <w:jc w:val="both"/>
            </w:pPr>
            <w:r w:rsidRPr="00A51779">
              <w:t>1,416,164</w:t>
            </w:r>
          </w:p>
        </w:tc>
      </w:tr>
      <w:tr w:rsidR="005F5422" w:rsidRPr="00A51779" w14:paraId="4BB3D3E6"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2CD5C420" w14:textId="77777777" w:rsidR="005F5422" w:rsidRPr="00A51779" w:rsidRDefault="005F5422" w:rsidP="00703316">
            <w:pPr>
              <w:spacing w:line="480" w:lineRule="auto"/>
              <w:jc w:val="both"/>
            </w:pPr>
            <w:r w:rsidRPr="00A51779">
              <w:t>Duplicate rows removed</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1FD1B906" w14:textId="77777777" w:rsidR="005F5422" w:rsidRPr="00A51779" w:rsidRDefault="005F5422" w:rsidP="00703316">
            <w:pPr>
              <w:spacing w:line="480" w:lineRule="auto"/>
              <w:jc w:val="both"/>
            </w:pPr>
            <w:r w:rsidRPr="00A51779">
              <w:t>2,519</w:t>
            </w:r>
          </w:p>
        </w:tc>
      </w:tr>
      <w:tr w:rsidR="005F5422" w:rsidRPr="00A51779" w14:paraId="65797313"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4CD50BA6" w14:textId="77777777" w:rsidR="005F5422" w:rsidRPr="00A51779" w:rsidRDefault="005F5422" w:rsidP="00703316">
            <w:pPr>
              <w:spacing w:line="480" w:lineRule="auto"/>
              <w:jc w:val="both"/>
            </w:pPr>
            <w:r w:rsidRPr="00A51779">
              <w:t>Unique facilities</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242CCB21" w14:textId="77777777" w:rsidR="005F5422" w:rsidRPr="00A51779" w:rsidRDefault="005F5422" w:rsidP="00703316">
            <w:pPr>
              <w:spacing w:line="480" w:lineRule="auto"/>
              <w:jc w:val="both"/>
            </w:pPr>
            <w:r w:rsidRPr="00A51779">
              <w:t>1,353</w:t>
            </w:r>
          </w:p>
        </w:tc>
      </w:tr>
      <w:tr w:rsidR="005F5422" w:rsidRPr="00A51779" w14:paraId="0D3F4178"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7F4081AE" w14:textId="77777777" w:rsidR="005F5422" w:rsidRPr="00A51779" w:rsidRDefault="005F5422" w:rsidP="00703316">
            <w:pPr>
              <w:spacing w:line="480" w:lineRule="auto"/>
              <w:jc w:val="both"/>
            </w:pPr>
            <w:r w:rsidRPr="00A51779">
              <w:t>States/district codes</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68BBF1FC" w14:textId="77777777" w:rsidR="005F5422" w:rsidRPr="00A51779" w:rsidRDefault="005F5422" w:rsidP="00703316">
            <w:pPr>
              <w:spacing w:line="480" w:lineRule="auto"/>
              <w:jc w:val="both"/>
            </w:pPr>
            <w:r w:rsidRPr="00A51779">
              <w:t>51</w:t>
            </w:r>
          </w:p>
        </w:tc>
      </w:tr>
      <w:tr w:rsidR="005F5422" w:rsidRPr="00A51779" w14:paraId="7CEFE5FB"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4EBF41CE" w14:textId="77777777" w:rsidR="005F5422" w:rsidRPr="00A51779" w:rsidRDefault="005F5422" w:rsidP="00703316">
            <w:pPr>
              <w:spacing w:line="480" w:lineRule="auto"/>
              <w:jc w:val="both"/>
            </w:pPr>
            <w:r w:rsidRPr="00A51779">
              <w:t>Focus states</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1A4C51EE" w14:textId="77777777" w:rsidR="005F5422" w:rsidRPr="00A51779" w:rsidRDefault="005F5422" w:rsidP="00703316">
            <w:pPr>
              <w:spacing w:line="480" w:lineRule="auto"/>
              <w:jc w:val="both"/>
            </w:pPr>
            <w:r w:rsidRPr="00A51779">
              <w:t>TX, PA, CA</w:t>
            </w:r>
          </w:p>
        </w:tc>
      </w:tr>
      <w:tr w:rsidR="005F5422" w:rsidRPr="00A51779" w14:paraId="47D7AB5B"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1A56DC2D" w14:textId="77777777" w:rsidR="005F5422" w:rsidRPr="00A51779" w:rsidRDefault="005F5422" w:rsidP="00703316">
            <w:pPr>
              <w:spacing w:line="480" w:lineRule="auto"/>
              <w:jc w:val="both"/>
            </w:pPr>
            <w:r w:rsidRPr="00A51779">
              <w:t>State-day observations per focus state</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114965EB" w14:textId="77777777" w:rsidR="005F5422" w:rsidRPr="00A51779" w:rsidRDefault="005F5422" w:rsidP="00703316">
            <w:pPr>
              <w:spacing w:line="480" w:lineRule="auto"/>
              <w:jc w:val="both"/>
            </w:pPr>
            <w:r w:rsidRPr="00A51779">
              <w:t>1,096</w:t>
            </w:r>
          </w:p>
        </w:tc>
      </w:tr>
      <w:tr w:rsidR="005F5422" w:rsidRPr="00A51779" w14:paraId="79B4A8CF"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37D5AABC" w14:textId="77777777" w:rsidR="005F5422" w:rsidRPr="00A51779" w:rsidRDefault="005F5422" w:rsidP="00703316">
            <w:pPr>
              <w:spacing w:line="480" w:lineRule="auto"/>
              <w:jc w:val="both"/>
            </w:pPr>
            <w:r w:rsidRPr="00A51779">
              <w:t xml:space="preserve">Forecast horizons: three-state case study and two-horizon nationwide benchmark </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1B03BE9F" w14:textId="77777777" w:rsidR="005F5422" w:rsidRPr="00A51779" w:rsidRDefault="005F5422" w:rsidP="00703316">
            <w:pPr>
              <w:spacing w:line="480" w:lineRule="auto"/>
              <w:jc w:val="both"/>
            </w:pPr>
            <w:r w:rsidRPr="00A51779">
              <w:t>1 day and 7 days</w:t>
            </w:r>
          </w:p>
        </w:tc>
      </w:tr>
      <w:tr w:rsidR="005F5422" w:rsidRPr="00A51779" w14:paraId="4805F069"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22BCFF3E" w14:textId="77777777" w:rsidR="005F5422" w:rsidRPr="00A51779" w:rsidRDefault="005F5422" w:rsidP="00703316">
            <w:pPr>
              <w:spacing w:line="480" w:lineRule="auto"/>
              <w:jc w:val="both"/>
            </w:pPr>
            <w:r w:rsidRPr="00A51779">
              <w:t xml:space="preserve">Forecast horizons: multihorizon benchmark </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4798B288" w14:textId="77777777" w:rsidR="005F5422" w:rsidRPr="00A51779" w:rsidRDefault="005F5422" w:rsidP="00703316">
            <w:pPr>
              <w:spacing w:line="480" w:lineRule="auto"/>
              <w:jc w:val="both"/>
            </w:pPr>
            <w:r w:rsidRPr="00A51779">
              <w:t>1, 2, 3, 5, 7, 10, and 14 days</w:t>
            </w:r>
          </w:p>
        </w:tc>
      </w:tr>
      <w:tr w:rsidR="005F5422" w:rsidRPr="00A51779" w14:paraId="2BBB9C0B"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26E4C04A" w14:textId="77777777" w:rsidR="005F5422" w:rsidRPr="00A51779" w:rsidRDefault="005F5422" w:rsidP="00703316">
            <w:pPr>
              <w:spacing w:line="480" w:lineRule="auto"/>
              <w:jc w:val="both"/>
            </w:pPr>
            <w:r w:rsidRPr="00A51779">
              <w:t>Temporal window: three-state case study and two-horizon nationwide benchmark</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30B1B00C" w14:textId="77777777" w:rsidR="005F5422" w:rsidRPr="00A51779" w:rsidRDefault="005F5422" w:rsidP="00703316">
            <w:pPr>
              <w:spacing w:line="480" w:lineRule="auto"/>
              <w:jc w:val="both"/>
            </w:pPr>
            <w:r w:rsidRPr="00A51779">
              <w:t>2023-2025</w:t>
            </w:r>
          </w:p>
        </w:tc>
      </w:tr>
      <w:tr w:rsidR="005F5422" w:rsidRPr="00A51779" w14:paraId="6F787269"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575E2A1C" w14:textId="77777777" w:rsidR="005F5422" w:rsidRPr="00A51779" w:rsidRDefault="005F5422" w:rsidP="00703316">
            <w:pPr>
              <w:spacing w:line="480" w:lineRule="auto"/>
              <w:jc w:val="both"/>
            </w:pPr>
            <w:r w:rsidRPr="00A51779">
              <w:t xml:space="preserve">Temporal window: multihorizon benchmark </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52826563" w14:textId="77777777" w:rsidR="005F5422" w:rsidRPr="00A51779" w:rsidRDefault="005F5422" w:rsidP="00703316">
            <w:pPr>
              <w:spacing w:line="480" w:lineRule="auto"/>
              <w:jc w:val="both"/>
            </w:pPr>
            <w:r w:rsidRPr="00A51779">
              <w:t>2019-2025</w:t>
            </w:r>
          </w:p>
        </w:tc>
      </w:tr>
      <w:tr w:rsidR="005F5422" w:rsidRPr="00A51779" w14:paraId="08028F39"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7ACA121D" w14:textId="77777777" w:rsidR="005F5422" w:rsidRPr="00A51779" w:rsidRDefault="005F5422" w:rsidP="00703316">
            <w:pPr>
              <w:spacing w:line="480" w:lineRule="auto"/>
              <w:jc w:val="both"/>
            </w:pPr>
            <w:r w:rsidRPr="00A51779">
              <w:lastRenderedPageBreak/>
              <w:t>Evaluation designs</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3525D8FF" w14:textId="77777777" w:rsidR="005F5422" w:rsidRPr="00A51779" w:rsidRDefault="005F5422" w:rsidP="00703316">
            <w:pPr>
              <w:spacing w:line="480" w:lineRule="auto"/>
              <w:jc w:val="both"/>
            </w:pPr>
            <w:r w:rsidRPr="00A51779">
              <w:t>Single chronological split; expanding-window rolling-origin backtest, both with fully prospective hyperparameter selection</w:t>
            </w:r>
          </w:p>
        </w:tc>
      </w:tr>
    </w:tbl>
    <w:p w14:paraId="6E5B8A73" w14:textId="77777777" w:rsidR="00E332FE" w:rsidRDefault="00E332FE" w:rsidP="00703316">
      <w:pPr>
        <w:pStyle w:val="Heading2"/>
        <w:spacing w:line="480" w:lineRule="auto"/>
        <w:jc w:val="both"/>
        <w:rPr>
          <w:b/>
          <w:bCs/>
          <w:color w:val="auto"/>
          <w:sz w:val="24"/>
          <w:szCs w:val="24"/>
        </w:rPr>
      </w:pPr>
    </w:p>
    <w:p w14:paraId="42B106E5" w14:textId="294F9D8A" w:rsidR="00DA2807" w:rsidRPr="00A51779" w:rsidRDefault="00DA2807" w:rsidP="00703316">
      <w:pPr>
        <w:pStyle w:val="Heading2"/>
        <w:spacing w:line="480" w:lineRule="auto"/>
        <w:jc w:val="both"/>
        <w:rPr>
          <w:b/>
          <w:bCs/>
          <w:color w:val="auto"/>
          <w:sz w:val="24"/>
          <w:szCs w:val="24"/>
        </w:rPr>
      </w:pPr>
      <w:r w:rsidRPr="00A51779">
        <w:rPr>
          <w:b/>
          <w:bCs/>
          <w:color w:val="auto"/>
          <w:sz w:val="24"/>
          <w:szCs w:val="24"/>
        </w:rPr>
        <w:t>2.3 Predictor construction and forecasting formulation</w:t>
      </w:r>
    </w:p>
    <w:p w14:paraId="1C62463A" w14:textId="5E8EBC32" w:rsidR="00DA2807" w:rsidRPr="00A51779" w:rsidRDefault="00DA2807" w:rsidP="00703316">
      <w:pPr>
        <w:pStyle w:val="NormalWeb"/>
        <w:spacing w:before="0" w:beforeAutospacing="0" w:after="0" w:afterAutospacing="0" w:line="480" w:lineRule="auto"/>
        <w:jc w:val="both"/>
      </w:pPr>
      <w:r w:rsidRPr="00A51779">
        <w:t>Predictors were organized into four groups. Calendar variables comprised eight temporal features. CO</w:t>
      </w:r>
      <w:r w:rsidR="00DB7960" w:rsidRPr="00A51779">
        <w:rPr>
          <w:vertAlign w:val="subscript"/>
        </w:rPr>
        <w:t>2</w:t>
      </w:r>
      <w:r w:rsidRPr="00A51779">
        <w:t xml:space="preserve"> history comprised current-day CO</w:t>
      </w:r>
      <w:r w:rsidR="00DB7960" w:rsidRPr="00A51779">
        <w:rPr>
          <w:vertAlign w:val="subscript"/>
        </w:rPr>
        <w:t>2</w:t>
      </w:r>
      <w:r w:rsidRPr="00A51779">
        <w:t xml:space="preserve"> mass, lags at 1, 2, 3, 7, 14, and 30 days, and trailing 7-, 14-, and 30-day means and standard deviations calculated using observations strictly preceding day </w:t>
      </w:r>
      <m:oMath>
        <m:r>
          <w:rPr>
            <w:rFonts w:ascii="Cambria Math" w:hAnsi="Cambria Math"/>
          </w:rPr>
          <m:t>t</m:t>
        </m:r>
      </m:oMath>
      <w:r w:rsidRPr="00A51779">
        <w:t>. Target-independent operational variables comprised gross load, heat input, SO</w:t>
      </w:r>
      <w:r w:rsidR="00DB7960" w:rsidRPr="00A51779">
        <w:rPr>
          <w:vertAlign w:val="subscript"/>
        </w:rPr>
        <w:t>2</w:t>
      </w:r>
      <w:r w:rsidRPr="00A51779">
        <w:t xml:space="preserve"> mass, NO</w:t>
      </w:r>
      <w:r w:rsidR="00DB7960" w:rsidRPr="00A51779">
        <w:rPr>
          <w:vertAlign w:val="subscript"/>
        </w:rPr>
        <w:t>x</w:t>
      </w:r>
      <w:r w:rsidRPr="00A51779">
        <w:t xml:space="preserve"> mass, reporting-facility count, and heat rate. Two additional current-emissions transforms</w:t>
      </w:r>
      <w:r w:rsidR="00DB7960" w:rsidRPr="00A51779">
        <w:t xml:space="preserve">, </w:t>
      </w:r>
      <w:r w:rsidRPr="00A51779">
        <w:t>CO</w:t>
      </w:r>
      <w:r w:rsidR="00DB7960" w:rsidRPr="00A51779">
        <w:rPr>
          <w:vertAlign w:val="subscript"/>
        </w:rPr>
        <w:t>2</w:t>
      </w:r>
      <w:r w:rsidRPr="00A51779">
        <w:t xml:space="preserve"> intensity and the SO</w:t>
      </w:r>
      <w:r w:rsidR="00DB7960" w:rsidRPr="00A51779">
        <w:rPr>
          <w:vertAlign w:val="subscript"/>
        </w:rPr>
        <w:t>2</w:t>
      </w:r>
      <w:r w:rsidRPr="00A51779">
        <w:t>-to-CO</w:t>
      </w:r>
      <w:r w:rsidR="00DB7960" w:rsidRPr="00A51779">
        <w:rPr>
          <w:vertAlign w:val="subscript"/>
        </w:rPr>
        <w:t>2</w:t>
      </w:r>
      <w:r w:rsidRPr="00A51779">
        <w:t xml:space="preserve"> ratio</w:t>
      </w:r>
      <w:r w:rsidR="00DB7960" w:rsidRPr="00A51779">
        <w:t xml:space="preserve">, </w:t>
      </w:r>
      <w:r w:rsidRPr="00A51779">
        <w:t>were retained only for diagnostic analysis.</w:t>
      </w:r>
    </w:p>
    <w:p w14:paraId="012CDA0B" w14:textId="5E7D5110" w:rsidR="00DA2807" w:rsidRPr="00A51779" w:rsidRDefault="00DA2807" w:rsidP="00703316">
      <w:pPr>
        <w:pStyle w:val="NormalWeb"/>
        <w:spacing w:before="0" w:beforeAutospacing="0" w:after="0" w:afterAutospacing="0" w:line="480" w:lineRule="auto"/>
        <w:jc w:val="both"/>
      </w:pPr>
      <w:r w:rsidRPr="00A51779">
        <w:t>The primary predictor vector contained the 27 calendar, CO</w:t>
      </w:r>
      <w:r w:rsidR="00DB7960" w:rsidRPr="00A51779">
        <w:rPr>
          <w:vertAlign w:val="subscript"/>
        </w:rPr>
        <w:t>2</w:t>
      </w:r>
      <w:r w:rsidRPr="00A51779">
        <w:t>-history, and operational variables,</w:t>
      </w:r>
    </w:p>
    <w:p w14:paraId="30B5899A" w14:textId="77777777" w:rsidR="00DA2807" w:rsidRPr="00A51779" w:rsidRDefault="00DA2807" w:rsidP="00703316">
      <w:pPr>
        <w:spacing w:line="480" w:lineRule="auto"/>
        <w:jc w:val="both"/>
      </w:pPr>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d>
            <m:dPr>
              <m:begChr m:val="["/>
              <m:sepChr m:val=";"/>
              <m:endChr m:val="]"/>
              <m:ctrlPr>
                <w:rPr>
                  <w:rFonts w:ascii="Cambria Math" w:hAnsi="Cambria Math"/>
                </w:rPr>
              </m:ctrlPr>
            </m:dPr>
            <m:e>
              <m:r>
                <w:rPr>
                  <w:rFonts w:ascii="Cambria Math" w:hAnsi="Cambria Math"/>
                </w:rPr>
                <m:t>c</m:t>
              </m:r>
            </m:e>
            <m:e>
              <m:d>
                <m:dPr>
                  <m:ctrlPr>
                    <w:rPr>
                      <w:rFonts w:ascii="Cambria Math" w:hAnsi="Cambria Math"/>
                    </w:rPr>
                  </m:ctrlPr>
                </m:dPr>
                <m:e>
                  <m:r>
                    <w:rPr>
                      <w:rFonts w:ascii="Cambria Math" w:hAnsi="Cambria Math"/>
                    </w:rPr>
                    <m:t>t</m:t>
                  </m:r>
                </m:e>
              </m:d>
            </m:e>
            <m:e>
              <m:r>
                <w:rPr>
                  <w:rFonts w:ascii="Cambria Math" w:hAnsi="Cambria Math"/>
                </w:rPr>
                <m:t>l</m:t>
              </m:r>
              <m:d>
                <m:dPr>
                  <m:ctrlPr>
                    <w:rPr>
                      <w:rFonts w:ascii="Cambria Math" w:hAnsi="Cambria Math"/>
                    </w:rPr>
                  </m:ctrlPr>
                </m:dPr>
                <m:e>
                  <m:r>
                    <w:rPr>
                      <w:rFonts w:ascii="Cambria Math" w:hAnsi="Cambria Math"/>
                    </w:rPr>
                    <m:t>t</m:t>
                  </m:r>
                </m:e>
              </m:d>
              <m:r>
                <w:rPr>
                  <w:rFonts w:ascii="Cambria Math" w:hAnsi="Cambria Math"/>
                </w:rPr>
                <m:t>o</m:t>
              </m:r>
              <m:d>
                <m:dPr>
                  <m:ctrlPr>
                    <w:rPr>
                      <w:rFonts w:ascii="Cambria Math" w:hAnsi="Cambria Math"/>
                    </w:rPr>
                  </m:ctrlPr>
                </m:dPr>
                <m:e>
                  <m:r>
                    <w:rPr>
                      <w:rFonts w:ascii="Cambria Math" w:hAnsi="Cambria Math"/>
                    </w:rPr>
                    <m:t>t</m:t>
                  </m:r>
                </m:e>
              </m:d>
            </m:e>
          </m:d>
          <m:r>
            <w:rPr>
              <w:rFonts w:ascii="Cambria Math" w:hAnsi="Cambria Math"/>
            </w:rPr>
            <m:t>.</m:t>
          </m:r>
        </m:oMath>
      </m:oMathPara>
    </w:p>
    <w:p w14:paraId="3F6C95DD" w14:textId="419C3A07" w:rsidR="00DA2807" w:rsidRPr="00A51779" w:rsidRDefault="00DA2807" w:rsidP="00703316">
      <w:pPr>
        <w:pStyle w:val="NormalWeb"/>
        <w:spacing w:before="0" w:beforeAutospacing="0" w:after="0" w:afterAutospacing="0" w:line="480" w:lineRule="auto"/>
        <w:jc w:val="both"/>
      </w:pPr>
      <w:r w:rsidRPr="00A51779">
        <w:t>The two current-emissions transforms were excluded from the primary specification because they algebraically contain the CO</w:t>
      </w:r>
      <w:r w:rsidR="00DB7960" w:rsidRPr="00A51779">
        <w:rPr>
          <w:vertAlign w:val="subscript"/>
        </w:rPr>
        <w:t>2</w:t>
      </w:r>
      <w:r w:rsidRPr="00A51779">
        <w:t xml:space="preserve"> target. In particular, including both gross load and CO</w:t>
      </w:r>
      <w:r w:rsidR="00DB7960" w:rsidRPr="00A51779">
        <w:rPr>
          <w:vertAlign w:val="subscript"/>
        </w:rPr>
        <w:t>2</w:t>
      </w:r>
      <w:r w:rsidRPr="00A51779">
        <w:t xml:space="preserve"> intensity makes current CO</w:t>
      </w:r>
      <w:r w:rsidR="00DB7960" w:rsidRPr="00A51779">
        <w:rPr>
          <w:vertAlign w:val="subscript"/>
        </w:rPr>
        <w:t>2</w:t>
      </w:r>
      <w:r w:rsidRPr="00A51779">
        <w:t xml:space="preserve"> mass reconstructable as their product. A nonlinear tree model can approximate such a product through successive splits, whereas a linear model cannot do so without an explicit interaction term. Retaining these variables could therefore create an artificial representational advantage unrelated to genuine forecasting ability. Current CO</w:t>
      </w:r>
      <w:r w:rsidR="00DB7960" w:rsidRPr="00A51779">
        <w:rPr>
          <w:vertAlign w:val="subscript"/>
        </w:rPr>
        <w:t>2</w:t>
      </w:r>
      <w:r w:rsidRPr="00A51779">
        <w:t xml:space="preserve"> mass itself was included directly and identically for all models, so excluding the ratio-based transforms does not remove the underlying information.</w:t>
      </w:r>
    </w:p>
    <w:p w14:paraId="43BE181D" w14:textId="7F597556" w:rsidR="00DA2807" w:rsidRPr="00A51779" w:rsidRDefault="00DA2807" w:rsidP="00703316">
      <w:pPr>
        <w:pStyle w:val="NormalWeb"/>
        <w:spacing w:before="0" w:beforeAutospacing="0" w:after="0" w:afterAutospacing="0" w:line="480" w:lineRule="auto"/>
        <w:jc w:val="both"/>
      </w:pPr>
      <w:r w:rsidRPr="00A51779">
        <w:t xml:space="preserve">Ridge predictors were standardized using means and standard deviations estimated from the corresponding training data only; histogram gradient boosting (HGB) used the unstandardized </w:t>
      </w:r>
      <w:r w:rsidRPr="00A51779">
        <w:lastRenderedPageBreak/>
        <w:t>predictors. For the three-state and two-horizon analyses, the target was future CO</w:t>
      </w:r>
      <w:r w:rsidR="00DB7960" w:rsidRPr="00A51779">
        <w:rPr>
          <w:vertAlign w:val="subscript"/>
        </w:rPr>
        <w:t>2</w:t>
      </w:r>
      <w:r w:rsidRPr="00A51779">
        <w:t xml:space="preserve"> mass at </w:t>
      </w:r>
      <m:oMath>
        <m:r>
          <w:rPr>
            <w:rFonts w:ascii="Cambria Math" w:hAnsi="Cambria Math"/>
          </w:rPr>
          <m:t>h∈</m:t>
        </m:r>
        <m:d>
          <m:dPr>
            <m:begChr m:val="{"/>
            <m:sepChr m:val=","/>
            <m:endChr m:val="}"/>
            <m:ctrlPr>
              <w:rPr>
                <w:rFonts w:ascii="Cambria Math" w:hAnsi="Cambria Math"/>
              </w:rPr>
            </m:ctrlPr>
          </m:dPr>
          <m:e>
            <m:r>
              <w:rPr>
                <w:rFonts w:ascii="Cambria Math" w:hAnsi="Cambria Math"/>
              </w:rPr>
              <m:t>1</m:t>
            </m:r>
          </m:e>
          <m:e>
            <m:r>
              <w:rPr>
                <w:rFonts w:ascii="Cambria Math" w:hAnsi="Cambria Math"/>
              </w:rPr>
              <m:t>7</m:t>
            </m:r>
          </m:e>
        </m:d>
      </m:oMath>
      <w:r w:rsidR="00D06589" w:rsidRPr="00D06589">
        <w:rPr>
          <w:lang w:val="en-US"/>
        </w:rPr>
        <w:t xml:space="preserve"> </w:t>
      </w:r>
      <w:r w:rsidRPr="00A51779">
        <w:t>days, while the multihorizon analysis subsequently extended</w:t>
      </w:r>
      <w:r w:rsidR="00DB7960" w:rsidRPr="00A51779">
        <w:t xml:space="preserve"> </w:t>
      </w:r>
      <w:r w:rsidR="00DB7960" w:rsidRPr="00A51779">
        <w:rPr>
          <w:i/>
          <w:iCs/>
        </w:rPr>
        <w:t>h</w:t>
      </w:r>
      <w:r w:rsidR="00DB7960" w:rsidRPr="00A51779">
        <w:t xml:space="preserve"> </w:t>
      </w:r>
      <w:r w:rsidRPr="00A51779">
        <w:t>to 1, 2, 3, 5, 7, 10, and 14 days. Current CO</w:t>
      </w:r>
      <w:r w:rsidR="00DB7960" w:rsidRPr="00A51779">
        <w:rPr>
          <w:vertAlign w:val="subscript"/>
        </w:rPr>
        <w:t>2</w:t>
      </w:r>
      <w:r w:rsidRPr="00A51779">
        <w:t xml:space="preserve"> mass, </w:t>
      </w:r>
      <m:oMath>
        <m:r>
          <w:rPr>
            <w:rFonts w:ascii="Cambria Math" w:hAnsi="Cambria Math"/>
          </w:rPr>
          <m:t>y</m:t>
        </m:r>
        <m:d>
          <m:dPr>
            <m:ctrlPr>
              <w:rPr>
                <w:rFonts w:ascii="Cambria Math" w:hAnsi="Cambria Math"/>
              </w:rPr>
            </m:ctrlPr>
          </m:dPr>
          <m:e>
            <m:r>
              <w:rPr>
                <w:rFonts w:ascii="Cambria Math" w:hAnsi="Cambria Math"/>
              </w:rPr>
              <m:t>t</m:t>
            </m:r>
          </m:e>
        </m:d>
      </m:oMath>
      <w:r w:rsidRPr="00A51779">
        <w:t>, was also retained as the persistence forecast.</w:t>
      </w:r>
    </w:p>
    <w:p w14:paraId="6EAFE414" w14:textId="2513646B" w:rsidR="00DA2807" w:rsidRPr="00A51779" w:rsidRDefault="00DA2807" w:rsidP="00703316">
      <w:pPr>
        <w:pStyle w:val="NormalWeb"/>
        <w:spacing w:before="0" w:beforeAutospacing="0" w:after="0" w:afterAutospacing="0" w:line="480" w:lineRule="auto"/>
        <w:jc w:val="both"/>
      </w:pPr>
      <w:r w:rsidRPr="00A51779">
        <w:t xml:space="preserve">All forecasts are conditional end-of-day forecasts: predictors measured for day </w:t>
      </w:r>
      <w:r w:rsidR="00DB7960" w:rsidRPr="00A51779">
        <w:rPr>
          <w:i/>
          <w:iCs/>
        </w:rPr>
        <w:t>t</w:t>
      </w:r>
      <w:r w:rsidR="00DB7960" w:rsidRPr="00A51779">
        <w:t xml:space="preserve"> </w:t>
      </w:r>
      <w:r w:rsidRPr="00A51779">
        <w:t>are used to predict CO</w:t>
      </w:r>
      <w:r w:rsidR="00DB7960" w:rsidRPr="00A51779">
        <w:rPr>
          <w:vertAlign w:val="subscript"/>
        </w:rPr>
        <w:t>2</w:t>
      </w:r>
      <w:r w:rsidRPr="00A51779">
        <w:t xml:space="preserve"> emissions at day </w:t>
      </w:r>
      <m:oMath>
        <m:r>
          <w:rPr>
            <w:rFonts w:ascii="Cambria Math" w:hAnsi="Cambria Math"/>
          </w:rPr>
          <m:t>t+h</m:t>
        </m:r>
      </m:oMath>
      <w:r w:rsidRPr="00A51779">
        <w:t>. The analysis therefore compares forecasting models under a common finalized information set rather than reproducing a real-time operational deployment. A deployed system would require contemporaneously available measurements or nowcasts of the operational variables used here.</w:t>
      </w:r>
    </w:p>
    <w:p w14:paraId="69E5FF8E" w14:textId="77777777" w:rsidR="00DB7960" w:rsidRPr="00A51779" w:rsidRDefault="00DB7960" w:rsidP="00703316">
      <w:pPr>
        <w:pStyle w:val="NormalWeb"/>
        <w:spacing w:before="0" w:beforeAutospacing="0" w:after="0" w:afterAutospacing="0" w:line="480" w:lineRule="auto"/>
        <w:jc w:val="both"/>
      </w:pPr>
    </w:p>
    <w:p w14:paraId="6CCDC168" w14:textId="77777777" w:rsidR="00DA2807" w:rsidRPr="00A51779" w:rsidRDefault="00DA2807" w:rsidP="00703316">
      <w:pPr>
        <w:pStyle w:val="Heading2"/>
        <w:spacing w:line="480" w:lineRule="auto"/>
        <w:jc w:val="both"/>
        <w:rPr>
          <w:b/>
          <w:bCs/>
          <w:color w:val="auto"/>
          <w:sz w:val="24"/>
          <w:szCs w:val="24"/>
        </w:rPr>
      </w:pPr>
      <w:r w:rsidRPr="00A51779">
        <w:rPr>
          <w:b/>
          <w:bCs/>
          <w:color w:val="auto"/>
          <w:sz w:val="24"/>
          <w:szCs w:val="24"/>
        </w:rPr>
        <w:t>2.4 Temporal evaluation and hyperparameter selection</w:t>
      </w:r>
    </w:p>
    <w:p w14:paraId="2C81B36F" w14:textId="3C05219E" w:rsidR="00DA2807" w:rsidRPr="00A51779" w:rsidRDefault="00DA2807" w:rsidP="00703316">
      <w:pPr>
        <w:pStyle w:val="NormalWeb"/>
        <w:spacing w:before="0" w:beforeAutospacing="0" w:after="0" w:afterAutospacing="0" w:line="480" w:lineRule="auto"/>
        <w:jc w:val="both"/>
      </w:pPr>
      <w:r w:rsidRPr="00A51779">
        <w:t>Two chronological evaluation designs were considered. The first used a fixed 70%</w:t>
      </w:r>
      <w:r w:rsidR="00DB7960" w:rsidRPr="00A51779">
        <w:t xml:space="preserve">, </w:t>
      </w:r>
      <w:r w:rsidRPr="00A51779">
        <w:t>15%</w:t>
      </w:r>
      <w:r w:rsidR="00DB7960" w:rsidRPr="00A51779">
        <w:t xml:space="preserve">, </w:t>
      </w:r>
      <w:r w:rsidRPr="00A51779">
        <w:t>15% train-validation-test split with no shuffling. At the one-day horizon, this produced 745 training, 159 validation, and 161 test observations per state; the corresponding seven-day samples contained 741, 158, and 160 observations.</w:t>
      </w:r>
    </w:p>
    <w:p w14:paraId="06CD7E86" w14:textId="083BEFB0" w:rsidR="00DA2807" w:rsidRPr="00A51779" w:rsidRDefault="00DA2807" w:rsidP="00703316">
      <w:pPr>
        <w:pStyle w:val="NormalWeb"/>
        <w:spacing w:before="0" w:beforeAutospacing="0" w:after="0" w:afterAutospacing="0" w:line="480" w:lineRule="auto"/>
        <w:jc w:val="both"/>
      </w:pPr>
      <w:r w:rsidRPr="00A51779">
        <w:t xml:space="preserve">The primary evaluation used an expanding-window rolling-origin backtest </w:t>
      </w:r>
      <w:r w:rsidR="00D44B61" w:rsidRPr="00D44B61">
        <w:rPr>
          <w:color w:val="EE0000"/>
        </w:rPr>
        <w:fldChar w:fldCharType="begin" w:fldLock="1"/>
      </w:r>
      <w:r w:rsidR="00D44B61">
        <w:rPr>
          <w:color w:val="EE0000"/>
        </w:rPr>
        <w:instrText>ADDIN CSL_CITATION {"citationItems":[{"id":"ITEM-1","itemData":{"DOI":"10.1016/j.ins.2011.12.028","ISSN":"0020-0255","abstract":"In time series predictor evaluation, we observe that with respect to the model selection procedure there is a gap between evaluation of traditional forecasting procedures, on the one hand, and evaluation of machine learning techniques on the other hand. In traditional forecasting, it is common practice to reserve a part from the end of each time series for testing, and to use the rest of the series for training. Thus it is not made full use of the data, but theoretical problems with respect to temporal evolutionary effects and dependencies within the data as well as practical problems regarding missing values are eliminated. On the other hand, when evaluating machine learning and other regression methods used for time series forecasting, often cross-validation is used for evaluation, paying little attention to the fact that those theoretical problems invalidate the fundamental assumptions of cross-validation. To close this gap and examine the consequences of different model selection procedures in practice, we have developed a rigorous and extensive empirical study. Six different model selection procedures, based on (i) cross-validation and (ii) evaluation using the series’ last part, are used to assess the performance of four machine learning and other regression techniques on synthetic and real-world time series. No practical consequences of the theoretical flaws were found during our study, but the use of cross-validation techniques led to a more robust model selection. To make use of the “best of both worlds”, we suggest that the use of a blocked form of cross-validation for time series evaluation became the standard procedure, thus using all available information and circumventing the theoretical problems.","author":[{"dropping-particle":"","family":"Bergmeir","given":"Christoph","non-dropping-particle":"","parse-names":false,"suffix":""},{"dropping-particle":"","family":"Benítez","given":"José M","non-dropping-particle":"","parse-names":false,"suffix":""}],"container-title":"Information Sciences","id":"ITEM-1","issued":{"date-parts":[["2012"]]},"page":"192-213","title":"On the use of cross-validation for time series predictor evaluation","type":"article-journal","volume":"191"},"uris":["http://www.mendeley.com/documents/?uuid=0f7ca15f-6f8e-48f5-9992-96b51190dc82"]}],"mendeley":{"formattedCitation":"[13]","plainTextFormattedCitation":"[13]","previouslyFormattedCitation":"[13]"},"properties":{"noteIndex":0},"schema":"https://github.com/citation-style-language/schema/raw/master/csl-citation.json"}</w:instrText>
      </w:r>
      <w:r w:rsidR="00D44B61" w:rsidRPr="00D44B61">
        <w:rPr>
          <w:color w:val="EE0000"/>
        </w:rPr>
        <w:fldChar w:fldCharType="separate"/>
      </w:r>
      <w:r w:rsidR="00D44B61" w:rsidRPr="00D44B61">
        <w:rPr>
          <w:noProof/>
          <w:color w:val="EE0000"/>
        </w:rPr>
        <w:t>[13]</w:t>
      </w:r>
      <w:r w:rsidR="00D44B61" w:rsidRPr="00D44B61">
        <w:rPr>
          <w:color w:val="EE0000"/>
        </w:rPr>
        <w:fldChar w:fldCharType="end"/>
      </w:r>
      <w:r w:rsidRPr="00A51779">
        <w:t>. Forecasting began after approximately 50% of each state series had accumulated. Models were then refitted every seven days and used to predict the subsequent seven-day block, producing approximately 530 out-of-sample forecasts per state and horizon over July 2024</w:t>
      </w:r>
      <w:r w:rsidR="00DB7960" w:rsidRPr="00A51779">
        <w:t>-</w:t>
      </w:r>
      <w:r w:rsidRPr="00A51779">
        <w:t>December 2025. This design evaluates model performance repeatedly through time rather than relying on a single terminal test period.</w:t>
      </w:r>
    </w:p>
    <w:p w14:paraId="147B7BF3" w14:textId="77777777" w:rsidR="00DA2807" w:rsidRPr="00A51779" w:rsidRDefault="00DA2807" w:rsidP="00703316">
      <w:pPr>
        <w:pStyle w:val="NormalWeb"/>
        <w:spacing w:before="0" w:beforeAutospacing="0" w:after="0" w:afterAutospacing="0" w:line="480" w:lineRule="auto"/>
        <w:jc w:val="both"/>
      </w:pPr>
      <w:r w:rsidRPr="00A51779">
        <w:t xml:space="preserve">Hyperparameter selection was prospective in both evaluation designs. Ridge and HGB were each assigned a 12-configuration search budget. Ridge regularization was selected from 12 candidate values, while the HGB search covered combinations of learning rate, tree depth, number of </w:t>
      </w:r>
      <w:r w:rsidRPr="00A51779">
        <w:lastRenderedPageBreak/>
        <w:t>boosting iterations, and minimum leaf size. Candidate configurations were evaluated using only temporally prior training and validation observations.</w:t>
      </w:r>
    </w:p>
    <w:p w14:paraId="604EE5A1" w14:textId="77777777" w:rsidR="00DA2807" w:rsidRPr="00A51779" w:rsidRDefault="00DA2807" w:rsidP="00703316">
      <w:pPr>
        <w:pStyle w:val="NormalWeb"/>
        <w:spacing w:before="0" w:beforeAutospacing="0" w:after="0" w:afterAutospacing="0" w:line="480" w:lineRule="auto"/>
        <w:jc w:val="both"/>
      </w:pPr>
      <w:r w:rsidRPr="00A51779">
        <w:t>For the fixed split, hyperparameters were selected within the pre-test training and validation data. For the rolling-origin analysis, selection was performed once using only the initial pre-forecast window; the selected configuration was then frozen for all subsequent forecast origins. Consequently, no forecast was generated using hyperparameters selected from observations occurring later than its forecast origin. A separate sensitivity analysis deliberately contrasts this procedure with non-prospective selection to quantify the influence of hyperparameter-selection chronology.</w:t>
      </w:r>
    </w:p>
    <w:p w14:paraId="4DCC2ED9" w14:textId="77777777" w:rsidR="00DA2807" w:rsidRPr="00A51779" w:rsidRDefault="00DA2807" w:rsidP="00703316">
      <w:pPr>
        <w:pStyle w:val="NormalWeb"/>
        <w:spacing w:before="0" w:beforeAutospacing="0" w:after="0" w:afterAutospacing="0" w:line="480" w:lineRule="auto"/>
        <w:jc w:val="both"/>
      </w:pPr>
      <w:r w:rsidRPr="00A51779">
        <w:t>Because equal numbers of candidate configurations do not imply equal coverage of parameter spaces of different dimensionality, search-budget sensitivity was examined separately. The principal robustness analysis expanded the search to 30 ridge regularization values and 60 HGB configurations. For the detailed CA and TX one-day analyses, this larger search was combined with expanding-window temporal cross-validation; computationally lighter versions of the same 30-ridge/60-HGB search were subsequently applied to the nationwide and multihorizon analyses.</w:t>
      </w:r>
    </w:p>
    <w:p w14:paraId="6FA6AB19" w14:textId="77777777" w:rsidR="00F40839" w:rsidRPr="00A51779" w:rsidRDefault="00F40839" w:rsidP="00703316">
      <w:pPr>
        <w:pStyle w:val="NormalWeb"/>
        <w:spacing w:before="0" w:beforeAutospacing="0" w:after="0" w:afterAutospacing="0" w:line="480" w:lineRule="auto"/>
        <w:jc w:val="both"/>
      </w:pPr>
    </w:p>
    <w:p w14:paraId="33D9C676" w14:textId="77777777" w:rsidR="00F40839" w:rsidRPr="00A51779" w:rsidRDefault="00F40839" w:rsidP="00703316">
      <w:pPr>
        <w:pStyle w:val="Heading2"/>
        <w:spacing w:line="480" w:lineRule="auto"/>
        <w:jc w:val="both"/>
        <w:rPr>
          <w:b/>
          <w:bCs/>
          <w:color w:val="auto"/>
          <w:sz w:val="24"/>
          <w:szCs w:val="24"/>
        </w:rPr>
      </w:pPr>
      <w:r w:rsidRPr="00A51779">
        <w:rPr>
          <w:b/>
          <w:bCs/>
          <w:color w:val="auto"/>
          <w:sz w:val="24"/>
          <w:szCs w:val="24"/>
        </w:rPr>
        <w:t>2.5 Forecasting models and statistical evaluation</w:t>
      </w:r>
    </w:p>
    <w:p w14:paraId="449F5E21" w14:textId="42D53369" w:rsidR="00F40839" w:rsidRPr="00A51779" w:rsidRDefault="00F40839" w:rsidP="00703316">
      <w:pPr>
        <w:pStyle w:val="NormalWeb"/>
        <w:spacing w:before="0" w:beforeAutospacing="0" w:after="0" w:afterAutospacing="0" w:line="480" w:lineRule="auto"/>
        <w:jc w:val="both"/>
      </w:pPr>
      <w:r w:rsidRPr="00A51779">
        <w:t xml:space="preserve">Three forecasting approaches were considered in the primary analysis: persistence, ridge regression, and histogram gradient boosting (HGB). Persistence was retained as the zero-parameter time-series benchmark, with the forecast at horizon </w:t>
      </w:r>
      <m:oMath>
        <m:r>
          <w:rPr>
            <w:rFonts w:ascii="Cambria Math" w:hAnsi="Cambria Math"/>
          </w:rPr>
          <m:t>h</m:t>
        </m:r>
      </m:oMath>
      <w:r w:rsidRPr="00A51779">
        <w:t>given by the most recently observed CO</w:t>
      </w:r>
      <w:r w:rsidR="001756CC" w:rsidRPr="00A51779">
        <w:rPr>
          <w:vertAlign w:val="subscript"/>
        </w:rPr>
        <w:t>2</w:t>
      </w:r>
      <w:r w:rsidRPr="00A51779">
        <w:t xml:space="preserve"> emission:</w:t>
      </w:r>
    </w:p>
    <w:p w14:paraId="30EAF9D9" w14:textId="52E9C5B3" w:rsidR="00F40839" w:rsidRPr="00A51779" w:rsidRDefault="00000000" w:rsidP="00703316">
      <w:pPr>
        <w:spacing w:line="480" w:lineRule="auto"/>
        <w:jc w:val="both"/>
      </w:pPr>
      <m:oMathPara>
        <m:oMath>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t+h</m:t>
              </m:r>
            </m:e>
          </m:d>
          <m:r>
            <w:rPr>
              <w:rFonts w:ascii="Cambria Math" w:hAnsi="Cambria Math"/>
            </w:rPr>
            <m:t>=y</m:t>
          </m:r>
          <m:d>
            <m:dPr>
              <m:ctrlPr>
                <w:rPr>
                  <w:rFonts w:ascii="Cambria Math" w:hAnsi="Cambria Math"/>
                </w:rPr>
              </m:ctrlPr>
            </m:dPr>
            <m:e>
              <m:r>
                <w:rPr>
                  <w:rFonts w:ascii="Cambria Math" w:hAnsi="Cambria Math"/>
                </w:rPr>
                <m:t>t</m:t>
              </m:r>
            </m:e>
          </m:d>
        </m:oMath>
      </m:oMathPara>
    </w:p>
    <w:p w14:paraId="417FB5DA" w14:textId="77777777" w:rsidR="00F40839" w:rsidRPr="00A51779" w:rsidRDefault="00F40839" w:rsidP="00703316">
      <w:pPr>
        <w:pStyle w:val="NormalWeb"/>
        <w:spacing w:before="0" w:beforeAutospacing="0" w:after="0" w:afterAutospacing="0" w:line="480" w:lineRule="auto"/>
        <w:jc w:val="both"/>
      </w:pPr>
      <w:r w:rsidRPr="00A51779">
        <w:lastRenderedPageBreak/>
        <w:t>Ridge regression was used as the regularized linear model and fitted on standardized predictors by minimizing</w:t>
      </w:r>
    </w:p>
    <w:p w14:paraId="5B7032A0" w14:textId="0FF3EF0F" w:rsidR="00F40839" w:rsidRPr="00A51779" w:rsidRDefault="00B7675E" w:rsidP="00703316">
      <w:pPr>
        <w:spacing w:line="480" w:lineRule="auto"/>
        <w:jc w:val="both"/>
      </w:pPr>
      <m:oMathPara>
        <m:oMath>
          <m:r>
            <w:rPr>
              <w:rFonts w:ascii="Cambria Math" w:hAnsi="Cambria Math"/>
            </w:rPr>
            <m:t>L</m:t>
          </m:r>
          <m:d>
            <m:dPr>
              <m:ctrlPr>
                <w:rPr>
                  <w:rFonts w:ascii="Cambria Math" w:hAnsi="Cambria Math"/>
                </w:rPr>
              </m:ctrlPr>
            </m:dPr>
            <m:e>
              <m:r>
                <w:rPr>
                  <w:rFonts w:ascii="Cambria Math" w:hAnsi="Cambria Math"/>
                </w:rPr>
                <m:t>β</m:t>
              </m:r>
            </m:e>
          </m:d>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y-Zβ</m:t>
                  </m:r>
                </m:e>
              </m:d>
            </m:e>
            <m:sub>
              <m:r>
                <w:rPr>
                  <w:rFonts w:ascii="Cambria Math" w:hAnsi="Cambria Math"/>
                </w:rPr>
                <m:t>2</m:t>
              </m:r>
            </m:sub>
            <m:sup>
              <m:r>
                <w:rPr>
                  <w:rFonts w:ascii="Cambria Math" w:hAnsi="Cambria Math"/>
                </w:rPr>
                <m:t>2</m:t>
              </m:r>
            </m:sup>
          </m:sSubSup>
          <m:r>
            <w:rPr>
              <w:rFonts w:ascii="Cambria Math" w:hAnsi="Cambria Math"/>
            </w:rPr>
            <m:t>+λ</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β</m:t>
                  </m:r>
                </m:e>
              </m:d>
            </m:e>
            <m:sub>
              <m:r>
                <w:rPr>
                  <w:rFonts w:ascii="Cambria Math" w:hAnsi="Cambria Math"/>
                </w:rPr>
                <m:t>2</m:t>
              </m:r>
            </m:sub>
            <m:sup>
              <m:r>
                <w:rPr>
                  <w:rFonts w:ascii="Cambria Math" w:hAnsi="Cambria Math"/>
                </w:rPr>
                <m:t>2</m:t>
              </m:r>
            </m:sup>
          </m:sSubSup>
        </m:oMath>
      </m:oMathPara>
    </w:p>
    <w:p w14:paraId="7A531A6F" w14:textId="4C42205C" w:rsidR="00F40839" w:rsidRPr="00A51779" w:rsidRDefault="00F40839" w:rsidP="00703316">
      <w:pPr>
        <w:pStyle w:val="NormalWeb"/>
        <w:spacing w:before="0" w:beforeAutospacing="0" w:after="0" w:afterAutospacing="0" w:line="480" w:lineRule="auto"/>
        <w:jc w:val="both"/>
      </w:pPr>
      <w:r w:rsidRPr="00A51779">
        <w:t xml:space="preserve">where </w:t>
      </w:r>
      <w:r w:rsidR="001756CC" w:rsidRPr="00A51779">
        <w:rPr>
          <w:i/>
          <w:iCs/>
        </w:rPr>
        <w:t>Z</w:t>
      </w:r>
      <w:r w:rsidR="001756CC" w:rsidRPr="00A51779">
        <w:t xml:space="preserve"> </w:t>
      </w:r>
      <w:r w:rsidRPr="00A51779">
        <w:t>is the standardized predictor matrix,</w:t>
      </w:r>
      <w:r w:rsidR="001756CC" w:rsidRPr="00A51779">
        <w:t xml:space="preserve"> </w:t>
      </w:r>
      <w:r w:rsidR="001756CC" w:rsidRPr="00A51779">
        <w:rPr>
          <w:i/>
          <w:iCs/>
        </w:rPr>
        <w:t>β</w:t>
      </w:r>
      <w:r w:rsidR="001756CC" w:rsidRPr="00A51779">
        <w:t xml:space="preserve"> </w:t>
      </w:r>
      <w:r w:rsidRPr="00A51779">
        <w:t xml:space="preserve">is the coefficient vector, and </w:t>
      </w:r>
      <w:r w:rsidR="001756CC" w:rsidRPr="00A51779">
        <w:rPr>
          <w:i/>
          <w:iCs/>
        </w:rPr>
        <w:t>λ</w:t>
      </w:r>
      <w:r w:rsidR="001756CC" w:rsidRPr="00A51779">
        <w:t xml:space="preserve"> </w:t>
      </w:r>
      <w:r w:rsidRPr="00A51779">
        <w:t xml:space="preserve">is the regularization parameter. HGB was used as the nonlinear tree-based alternative </w:t>
      </w:r>
      <w:r w:rsidR="00D44B61" w:rsidRPr="00D44B61">
        <w:rPr>
          <w:color w:val="EE0000"/>
        </w:rPr>
        <w:fldChar w:fldCharType="begin" w:fldLock="1"/>
      </w:r>
      <w:r w:rsidR="00D44B61">
        <w:rPr>
          <w:color w:val="EE0000"/>
        </w:rPr>
        <w:instrText>ADDIN CSL_CITATION {"citationItems":[{"id":"ITEM-1","itemData":{"ISSN":"1532-4435","author":[{"dropping-particle":"","family":"Pedregosa","given":"Fabian","non-dropping-particle":"","parse-names":false,"suffix":""},{"dropping-particle":"","family":"Varoquaux","given":"Gaël","non-dropping-particle":"","parse-names":false,"suffix":""},{"dropping-particle":"","family":"Gramfort","given":"Alexandre","non-dropping-particle":"","parse-names":false,"suffix":""},{"dropping-particle":"","family":"Michel","given":"Vincent","non-dropping-particle":"","parse-names":false,"suffix":""},{"dropping-particle":"","family":"Thirion","given":"Bertrand","non-dropping-particle":"","parse-names":false,"suffix":""},{"dropping-particle":"","family":"Grisel","given":"Olivier","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Dubourg","given":"Vincent","non-dropping-particle":"","parse-names":false,"suffix":""}],"container-title":"the Journal of machine Learning research","id":"ITEM-1","issued":{"date-parts":[["2011"]]},"page":"2825-2830","publisher":"JMLR. org","title":"Scikit-learn: Machine learning in Python","type":"article-journal","volume":"12"},"uris":["http://www.mendeley.com/documents/?uuid=fd5c76ab-4179-40aa-be96-2f78cce95443"]}],"mendeley":{"formattedCitation":"[19]","plainTextFormattedCitation":"[19]","previouslyFormattedCitation":"[19]"},"properties":{"noteIndex":0},"schema":"https://github.com/citation-style-language/schema/raw/master/csl-citation.json"}</w:instrText>
      </w:r>
      <w:r w:rsidR="00D44B61" w:rsidRPr="00D44B61">
        <w:rPr>
          <w:color w:val="EE0000"/>
        </w:rPr>
        <w:fldChar w:fldCharType="separate"/>
      </w:r>
      <w:r w:rsidR="00D44B61" w:rsidRPr="00D44B61">
        <w:rPr>
          <w:noProof/>
          <w:color w:val="EE0000"/>
        </w:rPr>
        <w:t>[19]</w:t>
      </w:r>
      <w:r w:rsidR="00D44B61" w:rsidRPr="00D44B61">
        <w:rPr>
          <w:color w:val="EE0000"/>
        </w:rPr>
        <w:fldChar w:fldCharType="end"/>
      </w:r>
      <w:r w:rsidRPr="00A51779">
        <w:t xml:space="preserve">. Its learning rate, maximum tree depth, number of boosting iterations, and minimum leaf size were selected prospectively using the temporal validation procedure described above. Ridge and HGB were each assigned 12 candidate configurations in the primary analysis. Because an equal number of configurations does not necessarily provide equivalent coverage of parameter spaces with different dimensionality, sensitivity to search budget was subsequently evaluated using 30 ridge regularization values and 60 HGB configurations. XGBoost </w:t>
      </w:r>
      <w:r w:rsidR="00D44B61" w:rsidRPr="00D44B61">
        <w:rPr>
          <w:color w:val="EE0000"/>
        </w:rPr>
        <w:fldChar w:fldCharType="begin" w:fldLock="1"/>
      </w:r>
      <w:r w:rsidR="00D44B61">
        <w:rPr>
          <w:color w:val="EE0000"/>
        </w:rPr>
        <w:instrText>ADDIN CSL_CITATION {"citationItems":[{"id":"ITEM-1","itemData":{"DOI":"10.1145/2939672.2939785","author":[{"dropping-particle":"","family":"Chen","given":"Tianqi","non-dropping-particle":"","parse-names":false,"suffix":""},{"dropping-particle":"","family":"Guestrin","given":"Carlos","non-dropping-particle":"","parse-names":false,"suffix":""}],"container-title":"Proceedings of the 22nd acm sigkdd international conference on knowledge discovery and data mining","id":"ITEM-1","issued":{"date-parts":[["2016"]]},"page":"785-794","title":"Xgboost: A scalable tree boosting system","type":"paper-conference"},"uris":["http://www.mendeley.com/documents/?uuid=519d9904-201d-4be7-a8ba-427b316f9339"]}],"mendeley":{"formattedCitation":"[20]","plainTextFormattedCitation":"[20]","previouslyFormattedCitation":"[20]"},"properties":{"noteIndex":0},"schema":"https://github.com/citation-style-language/schema/raw/master/csl-citation.json"}</w:instrText>
      </w:r>
      <w:r w:rsidR="00D44B61" w:rsidRPr="00D44B61">
        <w:rPr>
          <w:color w:val="EE0000"/>
        </w:rPr>
        <w:fldChar w:fldCharType="separate"/>
      </w:r>
      <w:r w:rsidR="00D44B61" w:rsidRPr="00D44B61">
        <w:rPr>
          <w:noProof/>
          <w:color w:val="EE0000"/>
        </w:rPr>
        <w:t>[20]</w:t>
      </w:r>
      <w:r w:rsidR="00D44B61" w:rsidRPr="00D44B61">
        <w:rPr>
          <w:color w:val="EE0000"/>
        </w:rPr>
        <w:fldChar w:fldCharType="end"/>
      </w:r>
      <w:r w:rsidRPr="00A51779">
        <w:t xml:space="preserve"> and LSTM-based architectures </w:t>
      </w:r>
      <w:r w:rsidR="00D44B61" w:rsidRPr="00D44B61">
        <w:rPr>
          <w:color w:val="EE0000"/>
        </w:rPr>
        <w:fldChar w:fldCharType="begin" w:fldLock="1"/>
      </w:r>
      <w:r w:rsidR="00D44B61">
        <w:rPr>
          <w:color w:val="EE0000"/>
        </w:rPr>
        <w:instrText>ADDIN CSL_CITATION {"citationItems":[{"id":"ITEM-1","itemData":{"ISSN":"0899-7667","author":[{"dropping-particle":"","family":"Hochreiter","given":"Sepp","non-dropping-particle":"","parse-names":false,"suffix":""},{"dropping-particle":"","family":"Schmidhuber","given":"Jürgen","non-dropping-particle":"","parse-names":false,"suffix":""}],"container-title":"Neural computation","id":"ITEM-1","issue":"8","issued":{"date-parts":[["1997"]]},"page":"1735-1780","publisher":"MIT press","title":"Long short-term memory","type":"article-journal","volume":"9"},"uris":["http://www.mendeley.com/documents/?uuid=7b7f19de-67b5-42c1-9bf2-df6a114b8d66"]}],"mendeley":{"formattedCitation":"[21]","plainTextFormattedCitation":"[21]","previouslyFormattedCitation":"[21]"},"properties":{"noteIndex":0},"schema":"https://github.com/citation-style-language/schema/raw/master/csl-citation.json"}</w:instrText>
      </w:r>
      <w:r w:rsidR="00D44B61" w:rsidRPr="00D44B61">
        <w:rPr>
          <w:color w:val="EE0000"/>
        </w:rPr>
        <w:fldChar w:fldCharType="separate"/>
      </w:r>
      <w:r w:rsidR="00D44B61" w:rsidRPr="00D44B61">
        <w:rPr>
          <w:noProof/>
          <w:color w:val="EE0000"/>
        </w:rPr>
        <w:t>[21]</w:t>
      </w:r>
      <w:r w:rsidR="00D44B61" w:rsidRPr="00D44B61">
        <w:rPr>
          <w:color w:val="EE0000"/>
        </w:rPr>
        <w:fldChar w:fldCharType="end"/>
      </w:r>
      <w:r w:rsidRPr="00A51779">
        <w:t xml:space="preserve"> were also examined in supplementary analyses but were excluded from the principal statistical comparisons because they were not implemented under the complete prospective tuning framework used for ridge and HGB.</w:t>
      </w:r>
    </w:p>
    <w:p w14:paraId="612A0D42" w14:textId="274412A9" w:rsidR="00F40839" w:rsidRPr="00A51779" w:rsidRDefault="00F40839" w:rsidP="00703316">
      <w:pPr>
        <w:pStyle w:val="NormalWeb"/>
        <w:spacing w:before="0" w:beforeAutospacing="0" w:after="0" w:afterAutospacing="0" w:line="480" w:lineRule="auto"/>
        <w:jc w:val="both"/>
      </w:pPr>
      <w:r w:rsidRPr="00A51779">
        <w:t>Differences in predictive accuracy between ridge and HGB were evaluated using the Diebold</w:t>
      </w:r>
      <w:r w:rsidR="00A25972" w:rsidRPr="00A25972">
        <w:rPr>
          <w:lang w:val="en-US"/>
        </w:rPr>
        <w:t>-</w:t>
      </w:r>
      <w:r w:rsidRPr="00A51779">
        <w:t xml:space="preserve">Mariano (DM) test </w:t>
      </w:r>
      <w:r w:rsidR="00D44B61" w:rsidRPr="00D44B61">
        <w:rPr>
          <w:color w:val="EE0000"/>
        </w:rPr>
        <w:fldChar w:fldCharType="begin" w:fldLock="1"/>
      </w:r>
      <w:r w:rsidR="00D44B61">
        <w:rPr>
          <w:color w:val="EE0000"/>
        </w:rPr>
        <w:instrText>ADDIN CSL_CITATION {"citationItems":[{"id":"ITEM-1","itemData":{"DOI":"10.2307/1392185","ISSN":"07350015","abstract":"[We propose and evaluate explicit tests of the null hypothesis of no difference in the accuracy of two competing forecasts. In contrast to previously developed tests, a wide variety of accuracy measures can be used (in particular, the loss function need not be quadratic and need not even be symmetric), and forecast errors can be non-Gaussian, nonzero mean, serially correlated, and contemporaneously correlated. Asymptotic and exact finite-sample tests are proposed, evaluated, and illustrated.]","author":[{"dropping-particle":"","family":"Diebold","given":"Francis X","non-dropping-particle":"","parse-names":false,"suffix":""},{"dropping-particle":"","family":"Mariano","given":"Roberto S","non-dropping-particle":"","parse-names":false,"suffix":""}],"container-title":"Journal of Business &amp; Economic Statistics","id":"ITEM-1","issue":"3","issued":{"date-parts":[["1995","9","5"]]},"page":"253-263","publisher":"[American Statistical Association, Taylor &amp; Francis, Ltd.]","title":"Comparing Predictive Accuracy","type":"article-journal","volume":"13"},"uris":["http://www.mendeley.com/documents/?uuid=350c58b5-5db9-4cd4-a517-b810de78d435"]}],"mendeley":{"formattedCitation":"[14]","plainTextFormattedCitation":"[14]","previouslyFormattedCitation":"[14]"},"properties":{"noteIndex":0},"schema":"https://github.com/citation-style-language/schema/raw/master/csl-citation.json"}</w:instrText>
      </w:r>
      <w:r w:rsidR="00D44B61" w:rsidRPr="00D44B61">
        <w:rPr>
          <w:color w:val="EE0000"/>
        </w:rPr>
        <w:fldChar w:fldCharType="separate"/>
      </w:r>
      <w:r w:rsidR="00D44B61" w:rsidRPr="00D44B61">
        <w:rPr>
          <w:noProof/>
          <w:color w:val="EE0000"/>
        </w:rPr>
        <w:t>[14]</w:t>
      </w:r>
      <w:r w:rsidR="00D44B61" w:rsidRPr="00D44B61">
        <w:rPr>
          <w:color w:val="EE0000"/>
        </w:rPr>
        <w:fldChar w:fldCharType="end"/>
      </w:r>
      <w:r w:rsidRPr="00A51779">
        <w:t>. For the primary squared-error comparison, the forecast-loss differential was defined as</w:t>
      </w:r>
    </w:p>
    <w:p w14:paraId="254B7D43" w14:textId="39F65B3C"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ridge</m:t>
                    </m:r>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HGB</m:t>
                    </m:r>
                    <m:r>
                      <w:rPr>
                        <w:rFonts w:ascii="Cambria Math" w:hAnsi="Cambria Math"/>
                      </w:rPr>
                      <m:t>,t</m:t>
                    </m:r>
                  </m:sub>
                  <m:sup>
                    <m:r>
                      <w:rPr>
                        <w:rFonts w:ascii="Cambria Math" w:hAnsi="Cambria Math"/>
                      </w:rPr>
                      <m:t>2</m:t>
                    </m:r>
                  </m:sup>
                </m:sSubSup>
              </m:e>
              <m:e/>
              <m:e>
                <m:r>
                  <m:rPr>
                    <m:nor/>
                  </m:rPr>
                  <m:t>(1)</m:t>
                </m:r>
              </m:e>
            </m:mr>
          </m:m>
        </m:oMath>
      </m:oMathPara>
    </w:p>
    <w:p w14:paraId="5C113679" w14:textId="25CBB055" w:rsidR="00F40839" w:rsidRPr="00A51779" w:rsidRDefault="00F40839" w:rsidP="00703316">
      <w:pPr>
        <w:pStyle w:val="NormalWeb"/>
        <w:spacing w:before="0" w:beforeAutospacing="0" w:after="0" w:afterAutospacing="0" w:line="480" w:lineRule="auto"/>
        <w:jc w:val="both"/>
      </w:pPr>
      <w:r w:rsidRPr="00A51779">
        <w:t xml:space="preserve">where </w:t>
      </w:r>
      <m:oMath>
        <m:sSub>
          <m:sSubPr>
            <m:ctrlPr>
              <w:rPr>
                <w:rFonts w:ascii="Cambria Math" w:hAnsi="Cambria Math"/>
              </w:rPr>
            </m:ctrlPr>
          </m:sSubPr>
          <m:e>
            <m:r>
              <w:rPr>
                <w:rFonts w:ascii="Cambria Math" w:hAnsi="Cambria Math"/>
              </w:rPr>
              <m:t>e</m:t>
            </m:r>
          </m:e>
          <m:sub>
            <m:r>
              <m:rPr>
                <m:sty m:val="p"/>
              </m:rPr>
              <w:rPr>
                <w:rFonts w:ascii="Cambria Math" w:hAnsi="Cambria Math"/>
              </w:rPr>
              <m:t>ridge</m:t>
            </m:r>
            <m:r>
              <w:rPr>
                <w:rFonts w:ascii="Cambria Math" w:hAnsi="Cambria Math"/>
              </w:rPr>
              <m:t>,t</m:t>
            </m:r>
          </m:sub>
        </m:sSub>
      </m:oMath>
      <w:r w:rsidR="001756CC" w:rsidRPr="00A51779">
        <w:t xml:space="preserve"> </w:t>
      </w:r>
      <w:r w:rsidRPr="00A51779">
        <w:t xml:space="preserve">and </w:t>
      </w:r>
      <m:oMath>
        <m:sSub>
          <m:sSubPr>
            <m:ctrlPr>
              <w:rPr>
                <w:rFonts w:ascii="Cambria Math" w:hAnsi="Cambria Math"/>
              </w:rPr>
            </m:ctrlPr>
          </m:sSubPr>
          <m:e>
            <m:r>
              <w:rPr>
                <w:rFonts w:ascii="Cambria Math" w:hAnsi="Cambria Math"/>
              </w:rPr>
              <m:t>e</m:t>
            </m:r>
          </m:e>
          <m:sub>
            <m:r>
              <m:rPr>
                <m:sty m:val="p"/>
              </m:rPr>
              <w:rPr>
                <w:rFonts w:ascii="Cambria Math" w:hAnsi="Cambria Math"/>
              </w:rPr>
              <m:t>HGB</m:t>
            </m:r>
            <m:r>
              <w:rPr>
                <w:rFonts w:ascii="Cambria Math" w:hAnsi="Cambria Math"/>
              </w:rPr>
              <m:t>,t</m:t>
            </m:r>
          </m:sub>
        </m:sSub>
      </m:oMath>
      <w:r w:rsidR="001756CC" w:rsidRPr="00A51779">
        <w:t xml:space="preserve"> </w:t>
      </w:r>
      <w:r w:rsidRPr="00A51779">
        <w:t xml:space="preserve">denote the respective forecast errors. Thus,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&gt;0</m:t>
        </m:r>
      </m:oMath>
      <w:r w:rsidR="001756CC" w:rsidRPr="00A51779">
        <w:t xml:space="preserve"> </w:t>
      </w:r>
      <w:r w:rsidRPr="00A51779">
        <w:t xml:space="preserve">indicates lower squared error for HGB, whereas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&lt;0</m:t>
        </m:r>
      </m:oMath>
      <w:r w:rsidR="001756CC" w:rsidRPr="00A51779">
        <w:t xml:space="preserve"> </w:t>
      </w:r>
      <w:r w:rsidRPr="00A51779">
        <w:t>favors ridge. Absolute-error loss differentials were also evaluated as a robustness check. The uncorrected DM statistic was calculated as</w:t>
      </w:r>
    </w:p>
    <w:p w14:paraId="1B63B692" w14:textId="74E56258"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DM=</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rad>
                      <m:radPr>
                        <m:degHide m:val="1"/>
                        <m:ctrlPr>
                          <w:rPr>
                            <w:rFonts w:ascii="Cambria Math" w:hAnsi="Cambria Math"/>
                          </w:rPr>
                        </m:ctrlPr>
                      </m:radPr>
                      <m:deg/>
                      <m:e>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acc>
                              <m:accPr>
                                <m:chr m:val="̅"/>
                                <m:ctrlPr>
                                  <w:rPr>
                                    <w:rFonts w:ascii="Cambria Math" w:hAnsi="Cambria Math"/>
                                  </w:rPr>
                                </m:ctrlPr>
                              </m:accPr>
                              <m:e>
                                <m:r>
                                  <w:rPr>
                                    <w:rFonts w:ascii="Cambria Math" w:hAnsi="Cambria Math"/>
                                  </w:rPr>
                                  <m:t>d</m:t>
                                </m:r>
                              </m:e>
                            </m:acc>
                          </m:e>
                        </m:d>
                      </m:e>
                    </m:rad>
                  </m:den>
                </m:f>
              </m:e>
              <m:e/>
              <m:e>
                <m:r>
                  <m:rPr>
                    <m:nor/>
                  </m:rPr>
                  <m:t>(2)</m:t>
                </m:r>
              </m:e>
            </m:mr>
          </m:m>
        </m:oMath>
      </m:oMathPara>
    </w:p>
    <w:p w14:paraId="5B5FC71E" w14:textId="0BEE2383" w:rsidR="00F40839" w:rsidRPr="00A51779" w:rsidRDefault="00F40839" w:rsidP="00703316">
      <w:pPr>
        <w:pStyle w:val="NormalWeb"/>
        <w:spacing w:before="0" w:beforeAutospacing="0" w:after="0" w:afterAutospacing="0" w:line="480" w:lineRule="auto"/>
        <w:jc w:val="both"/>
      </w:pPr>
      <w:r w:rsidRPr="00A51779">
        <w:lastRenderedPageBreak/>
        <w:t xml:space="preserve">where </w:t>
      </w:r>
      <m:oMath>
        <m:acc>
          <m:accPr>
            <m:chr m:val="̅"/>
            <m:ctrlPr>
              <w:rPr>
                <w:rFonts w:ascii="Cambria Math" w:hAnsi="Cambria Math"/>
              </w:rPr>
            </m:ctrlPr>
          </m:accPr>
          <m:e>
            <m:r>
              <w:rPr>
                <w:rFonts w:ascii="Cambria Math" w:hAnsi="Cambria Math"/>
              </w:rPr>
              <m:t>d</m:t>
            </m:r>
          </m:e>
        </m:acc>
      </m:oMath>
      <w:r w:rsidR="00A30AED" w:rsidRPr="00A51779">
        <w:t xml:space="preserve"> </w:t>
      </w:r>
      <w:r w:rsidRPr="00A51779">
        <w:t xml:space="preserve">is the mean loss differential and </w:t>
      </w:r>
      <m:oMath>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acc>
              <m:accPr>
                <m:chr m:val="̅"/>
                <m:ctrlPr>
                  <w:rPr>
                    <w:rFonts w:ascii="Cambria Math" w:hAnsi="Cambria Math"/>
                  </w:rPr>
                </m:ctrlPr>
              </m:accPr>
              <m:e>
                <m:r>
                  <w:rPr>
                    <w:rFonts w:ascii="Cambria Math" w:hAnsi="Cambria Math"/>
                  </w:rPr>
                  <m:t>d</m:t>
                </m:r>
              </m:e>
            </m:acc>
          </m:e>
        </m:d>
      </m:oMath>
      <w:r w:rsidRPr="00A51779">
        <w:t>is estimated using the Newey</w:t>
      </w:r>
      <w:r w:rsidR="001756CC" w:rsidRPr="00A51779">
        <w:t>-</w:t>
      </w:r>
      <w:r w:rsidRPr="00A51779">
        <w:t xml:space="preserve">West heteroskedasticity- and autocorrelation-consistent estimator with a Bartlett kernel </w:t>
      </w:r>
      <w:r w:rsidR="00D44B61" w:rsidRPr="00D44B61">
        <w:rPr>
          <w:color w:val="EE0000"/>
        </w:rPr>
        <w:fldChar w:fldCharType="begin" w:fldLock="1"/>
      </w:r>
      <w:r w:rsidR="00D44B61">
        <w:rPr>
          <w:color w:val="EE0000"/>
        </w:rPr>
        <w:instrText>ADDIN CSL_CITATION {"citationItems":[{"id":"ITEM-1","itemData":{"DOI":"10.2307/1913610","ISSN":"00129682, 14680262","author":[{"dropping-particle":"","family":"Newey","given":"Whitney K","non-dropping-particle":"","parse-names":false,"suffix":""},{"dropping-particle":"","family":"West","given":"Kenneth D","non-dropping-particle":"","parse-names":false,"suffix":""}],"container-title":"Econometrica","id":"ITEM-1","issue":"3","issued":{"date-parts":[["1987","9","5"]]},"page":"703-708","publisher":"[Wiley, Econometric Society]","title":"A Simple, Positive Semi-Definite, Heteroskedasticity and Autocorrelation Consistent Covariance Matrix","type":"article-journal","volume":"55"},"uris":["http://www.mendeley.com/documents/?uuid=30bdc23f-d929-46d1-abe0-ca0b39e85149"]}],"mendeley":{"formattedCitation":"[15]","plainTextFormattedCitation":"[15]","previouslyFormattedCitation":"[15]"},"properties":{"noteIndex":0},"schema":"https://github.com/citation-style-language/schema/raw/master/csl-citation.json"}</w:instrText>
      </w:r>
      <w:r w:rsidR="00D44B61" w:rsidRPr="00D44B61">
        <w:rPr>
          <w:color w:val="EE0000"/>
        </w:rPr>
        <w:fldChar w:fldCharType="separate"/>
      </w:r>
      <w:r w:rsidR="00D44B61" w:rsidRPr="00D44B61">
        <w:rPr>
          <w:noProof/>
          <w:color w:val="EE0000"/>
        </w:rPr>
        <w:t>[15]</w:t>
      </w:r>
      <w:r w:rsidR="00D44B61" w:rsidRPr="00D44B61">
        <w:rPr>
          <w:color w:val="EE0000"/>
        </w:rPr>
        <w:fldChar w:fldCharType="end"/>
      </w:r>
      <w:r w:rsidRPr="00A51779">
        <w:t>. To account for serial dependence arising from overlapping multistep forecasts, the truncation lag was defined as</w:t>
      </w:r>
      <w:r w:rsidR="001756CC" w:rsidRPr="00A51779">
        <w:t>:</w:t>
      </w:r>
    </w:p>
    <w:p w14:paraId="0466C010" w14:textId="0BBC29ED" w:rsidR="00F40839" w:rsidRPr="00A51779" w:rsidRDefault="00B7675E" w:rsidP="00703316">
      <w:pPr>
        <w:spacing w:line="480" w:lineRule="auto"/>
        <w:jc w:val="both"/>
      </w:pPr>
      <m:oMathPara>
        <m:oMath>
          <m:r>
            <w:rPr>
              <w:rFonts w:ascii="Cambria Math" w:hAnsi="Cambria Math"/>
            </w:rPr>
            <m:t>q=</m:t>
          </m:r>
          <m:func>
            <m:funcPr>
              <m:ctrlPr>
                <w:rPr>
                  <w:rFonts w:ascii="Cambria Math" w:hAnsi="Cambria Math"/>
                </w:rPr>
              </m:ctrlPr>
            </m:funcPr>
            <m:fName>
              <m:r>
                <m:rPr>
                  <m:sty m:val="p"/>
                </m:rPr>
                <w:rPr>
                  <w:rFonts w:ascii="Cambria Math" w:hAnsi="Cambria Math"/>
                </w:rPr>
                <m:t>max</m:t>
              </m:r>
            </m:fName>
            <m:e>
              <m:d>
                <m:dPr>
                  <m:begChr m:val="["/>
                  <m:sepChr m:val=","/>
                  <m:endChr m:val="]"/>
                  <m:ctrlPr>
                    <w:rPr>
                      <w:rFonts w:ascii="Cambria Math" w:hAnsi="Cambria Math"/>
                    </w:rPr>
                  </m:ctrlPr>
                </m:dPr>
                <m:e>
                  <m:r>
                    <w:rPr>
                      <w:rFonts w:ascii="Cambria Math" w:hAnsi="Cambria Math"/>
                    </w:rPr>
                    <m:t>h</m:t>
                  </m:r>
                </m:e>
                <m:e>
                  <m:r>
                    <w:rPr>
                      <w:rFonts w:ascii="Cambria Math" w:hAnsi="Cambria Math"/>
                    </w:rPr>
                    <m:t>-1</m:t>
                  </m:r>
                  <m:r>
                    <m:rPr>
                      <m:nor/>
                    </m:rPr>
                    <m:t>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r>
                            <w:rPr>
                              <w:rFonts w:ascii="Cambria Math" w:hAnsi="Cambria Math"/>
                            </w:rPr>
                            <m:t>2/9</m:t>
                          </m:r>
                        </m:sup>
                      </m:sSup>
                    </m:e>
                  </m:d>
                </m:e>
              </m:d>
            </m:e>
          </m:func>
        </m:oMath>
      </m:oMathPara>
    </w:p>
    <w:p w14:paraId="74E2EA72" w14:textId="6CE1A61C" w:rsidR="00F40839" w:rsidRPr="00A51779" w:rsidRDefault="00F40839" w:rsidP="00703316">
      <w:pPr>
        <w:pStyle w:val="NormalWeb"/>
        <w:spacing w:before="0" w:beforeAutospacing="0" w:after="0" w:afterAutospacing="0" w:line="480" w:lineRule="auto"/>
        <w:jc w:val="both"/>
      </w:pPr>
      <w:r w:rsidRPr="00A51779">
        <w:t xml:space="preserve">so that it could not fall below </w:t>
      </w:r>
      <w:r w:rsidR="001756CC" w:rsidRPr="00A51779">
        <w:rPr>
          <w:i/>
          <w:iCs/>
        </w:rPr>
        <w:t>h</w:t>
      </w:r>
      <w:r w:rsidR="001756CC" w:rsidRPr="00A51779">
        <w:t xml:space="preserve">-1 </w:t>
      </w:r>
      <w:r w:rsidRPr="00A51779">
        <w:t xml:space="preserve">for an </w:t>
      </w:r>
      <w:r w:rsidR="001756CC" w:rsidRPr="00A51779">
        <w:rPr>
          <w:i/>
          <w:iCs/>
        </w:rPr>
        <w:t>h</w:t>
      </w:r>
      <w:r w:rsidR="001756CC" w:rsidRPr="00A51779">
        <w:t>-</w:t>
      </w:r>
      <w:r w:rsidRPr="00A51779">
        <w:t>day forecast. Statistical inference was based on the Harvey</w:t>
      </w:r>
      <w:r w:rsidR="001756CC" w:rsidRPr="00A51779">
        <w:t>-</w:t>
      </w:r>
      <w:r w:rsidRPr="00A51779">
        <w:t>Leybourne</w:t>
      </w:r>
      <w:r w:rsidR="001756CC" w:rsidRPr="00A51779">
        <w:t>-</w:t>
      </w:r>
      <w:r w:rsidRPr="00A51779">
        <w:t xml:space="preserve">Newbold small-sample correction </w:t>
      </w:r>
      <w:r w:rsidR="00D44B61" w:rsidRPr="00773895">
        <w:rPr>
          <w:color w:val="EE0000"/>
        </w:rPr>
        <w:fldChar w:fldCharType="begin" w:fldLock="1"/>
      </w:r>
      <w:r w:rsidR="00773895">
        <w:rPr>
          <w:color w:val="EE0000"/>
        </w:rPr>
        <w:instrText>ADDIN CSL_CITATION {"citationItems":[{"id":"ITEM-1","itemData":{"DOI":"https://doi.org/10.1016/S0169-2070(96)00719-4","ISSN":"0169-2070","abstract":"Given two sources of forecasts of the same quantity, it is possible to compare prediction records. In particular, it can be useful to test the hypothesis of equal accuracy in forecast performance. We analyse the behaviour of two possible tests, and of modifications of these tests designed to circumvent shortcomings in the original formulations. As a result of this analysis, a recommendation for one particular testing approach is made for practical applications.","author":[{"dropping-particle":"","family":"Harvey","given":"David","non-dropping-particle":"","parse-names":false,"suffix":""},{"dropping-particle":"","family":"Leybourne","given":"Stephen","non-dropping-particle":"","parse-names":false,"suffix":""},{"dropping-particle":"","family":"Newbold","given":"Paul","non-dropping-particle":"","parse-names":false,"suffix":""}],"container-title":"International Journal of Forecasting","id":"ITEM-1","issue":"2","issued":{"date-parts":[["1997"]]},"page":"281-291","title":"Testing the equality of prediction mean squared errors","type":"article-journal","volume":"13"},"uris":["http://www.mendeley.com/documents/?uuid=4790a6e3-f7a0-48f0-bd88-b337f371b38e"]}],"mendeley":{"formattedCitation":"[16]","plainTextFormattedCitation":"[16]","previouslyFormattedCitation":"[16]"},"properties":{"noteIndex":0},"schema":"https://github.com/citation-style-language/schema/raw/master/csl-citation.json"}</w:instrText>
      </w:r>
      <w:r w:rsidR="00D44B61" w:rsidRPr="00773895">
        <w:rPr>
          <w:color w:val="EE0000"/>
        </w:rPr>
        <w:fldChar w:fldCharType="separate"/>
      </w:r>
      <w:r w:rsidR="00D44B61" w:rsidRPr="00773895">
        <w:rPr>
          <w:noProof/>
          <w:color w:val="EE0000"/>
        </w:rPr>
        <w:t>[16]</w:t>
      </w:r>
      <w:r w:rsidR="00D44B61" w:rsidRPr="00773895">
        <w:rPr>
          <w:color w:val="EE0000"/>
        </w:rPr>
        <w:fldChar w:fldCharType="end"/>
      </w:r>
      <w:r w:rsidRPr="00A51779">
        <w:t>:</w:t>
      </w:r>
    </w:p>
    <w:p w14:paraId="4048FFF0" w14:textId="2468F0E3"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D</m:t>
                </m:r>
                <m:sSub>
                  <m:sSubPr>
                    <m:ctrlPr>
                      <w:rPr>
                        <w:rFonts w:ascii="Cambria Math" w:hAnsi="Cambria Math"/>
                      </w:rPr>
                    </m:ctrlPr>
                  </m:sSubPr>
                  <m:e>
                    <m:r>
                      <w:rPr>
                        <w:rFonts w:ascii="Cambria Math" w:hAnsi="Cambria Math"/>
                      </w:rPr>
                      <m:t>M</m:t>
                    </m:r>
                  </m:e>
                  <m:sub>
                    <m:r>
                      <m:rPr>
                        <m:sty m:val="p"/>
                      </m:rPr>
                      <w:rPr>
                        <w:rFonts w:ascii="Cambria Math" w:hAnsi="Cambria Math"/>
                      </w:rPr>
                      <m:t>HLN</m:t>
                    </m:r>
                  </m:sub>
                </m:sSub>
                <m:r>
                  <w:rPr>
                    <w:rFonts w:ascii="Cambria Math" w:hAnsi="Cambria Math"/>
                  </w:rPr>
                  <m:t>=DM</m:t>
                </m:r>
                <m:rad>
                  <m:radPr>
                    <m:degHide m:val="1"/>
                    <m:ctrlPr>
                      <w:rPr>
                        <w:rFonts w:ascii="Cambria Math" w:hAnsi="Cambria Math"/>
                      </w:rPr>
                    </m:ctrlPr>
                  </m:radPr>
                  <m:deg/>
                  <m:e>
                    <m:f>
                      <m:fPr>
                        <m:ctrlPr>
                          <w:rPr>
                            <w:rFonts w:ascii="Cambria Math" w:hAnsi="Cambria Math"/>
                          </w:rPr>
                        </m:ctrlPr>
                      </m:fPr>
                      <m:num>
                        <m:r>
                          <w:rPr>
                            <w:rFonts w:ascii="Cambria Math" w:hAnsi="Cambria Math"/>
                          </w:rPr>
                          <m:t>n+1-2</m:t>
                        </m:r>
                        <m:r>
                          <w:rPr>
                            <w:rFonts w:ascii="Cambria Math" w:hAnsi="Cambria Math"/>
                          </w:rPr>
                          <m:t>h+</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h-</m:t>
                                </m:r>
                                <m:r>
                                  <w:rPr>
                                    <w:rFonts w:ascii="Cambria Math" w:hAnsi="Cambria Math"/>
                                  </w:rPr>
                                  <m:t>1</m:t>
                                </m:r>
                              </m:e>
                            </m:d>
                          </m:num>
                          <m:den>
                            <m:r>
                              <w:rPr>
                                <w:rFonts w:ascii="Cambria Math" w:hAnsi="Cambria Math"/>
                              </w:rPr>
                              <m:t>n</m:t>
                            </m:r>
                          </m:den>
                        </m:f>
                      </m:num>
                      <m:den>
                        <m:r>
                          <w:rPr>
                            <w:rFonts w:ascii="Cambria Math" w:hAnsi="Cambria Math"/>
                          </w:rPr>
                          <m:t>n</m:t>
                        </m:r>
                      </m:den>
                    </m:f>
                  </m:e>
                </m:rad>
              </m:e>
              <m:e/>
              <m:e>
                <m:r>
                  <m:rPr>
                    <m:nor/>
                  </m:rPr>
                  <m:t>(3)</m:t>
                </m:r>
              </m:e>
            </m:mr>
          </m:m>
        </m:oMath>
      </m:oMathPara>
    </w:p>
    <w:p w14:paraId="4B8F8303" w14:textId="470991A1" w:rsidR="00F40839" w:rsidRPr="00A51779" w:rsidRDefault="00F40839" w:rsidP="00703316">
      <w:pPr>
        <w:pStyle w:val="NormalWeb"/>
        <w:spacing w:before="0" w:beforeAutospacing="0" w:after="0" w:afterAutospacing="0" w:line="480" w:lineRule="auto"/>
        <w:jc w:val="both"/>
      </w:pPr>
      <w:r w:rsidRPr="00A51779">
        <w:t>The corrected statistic was evaluated against a Student-</w:t>
      </w:r>
      <m:oMath>
        <m:r>
          <w:rPr>
            <w:rFonts w:ascii="Cambria Math" w:hAnsi="Cambria Math"/>
          </w:rPr>
          <m:t>t</m:t>
        </m:r>
      </m:oMath>
      <w:r w:rsidRPr="00A51779">
        <w:t xml:space="preserve"> distribution with </w:t>
      </w:r>
      <w:r w:rsidR="00A30AED" w:rsidRPr="00A51779">
        <w:rPr>
          <w:i/>
          <w:iCs/>
        </w:rPr>
        <w:t>n</w:t>
      </w:r>
      <w:r w:rsidR="00A30AED" w:rsidRPr="00A51779">
        <w:t xml:space="preserve">-1 degrees </w:t>
      </w:r>
      <w:r w:rsidRPr="00A51779">
        <w:t>of freedom. Alternative HAC lag choices were examined in sensitivity analyses.</w:t>
      </w:r>
    </w:p>
    <w:p w14:paraId="5BA1E859" w14:textId="0CEB9A0C" w:rsidR="00F40839" w:rsidRPr="00A51779" w:rsidRDefault="00F40839" w:rsidP="00703316">
      <w:pPr>
        <w:pStyle w:val="NormalWeb"/>
        <w:spacing w:before="0" w:beforeAutospacing="0" w:after="0" w:afterAutospacing="0" w:line="480" w:lineRule="auto"/>
        <w:jc w:val="both"/>
      </w:pPr>
      <w:r w:rsidRPr="00A51779">
        <w:t xml:space="preserve">Confidence intervals for model-performance differences were estimated using a moving-block bootstrap, preserving short-range temporal dependence rather than independently resampling forecast observations </w:t>
      </w:r>
      <w:r w:rsidR="00773895" w:rsidRPr="00773895">
        <w:rPr>
          <w:color w:val="EE0000"/>
        </w:rPr>
        <w:fldChar w:fldCharType="begin" w:fldLock="1"/>
      </w:r>
      <w:r w:rsidR="00773895">
        <w:rPr>
          <w:color w:val="EE0000"/>
        </w:rPr>
        <w:instrText>ADDIN CSL_CITATION {"citationItems":[{"id":"ITEM-1","itemData":{"ISBN":"0412042312","author":[{"dropping-particle":"","family":"Efron","given":"Bradley","non-dropping-particle":"","parse-names":false,"suffix":""},{"dropping-particle":"","family":"Tibshirani","given":"Robert J","non-dropping-particle":"","parse-names":false,"suffix":""}],"id":"ITEM-1","issued":{"date-parts":[["2000"]]},"publisher":"Boca Raton, Florida","title":"An introduction to the bootstrap","type":"book"},"uris":["http://www.mendeley.com/documents/?uuid=5e8543dd-a168-4f38-82c5-4306f391fc93"]},{"id":"ITEM-2","itemData":{"ISSN":"00905364, 21688966","abstract":"[We extend the jackknife and the bootstrap method of estimating standard errors to the case where the observations form a general stationary sequence. We do not attempt a reduction to i.i.d. values. The jackknife calculates the sample variance of replicates of the statistic obtained by omitting each block of l consecutive data once. In the case of the arithmetic mean this is shown to be equivalent to a weighted covariance estimate of the spectral density of the observations at zero. Under appropriate conditions consistency is obtained if l = l(n) → ∞ and l(n)/n → 0. General statistics are approximated by an arithmetic mean. In regular cases this approximation determines the asymptotic behavior. Bootstrap replicates are constructed by selecting blocks of length l randomly with replacement among the blocks of observations. The procedures are illustrated by using the sunspot numbers and some simulated data.]","author":[{"dropping-particle":"","family":"Künsch","given":"Hans R","non-dropping-particle":"","parse-names":false,"suffix":""}],"container-title":"The Annals of Statistics","id":"ITEM-2","issue":"3","issued":{"date-parts":[["1989","9","5"]]},"page":"1217-1241","publisher":"Institute of Mathematical Statistics","title":"The Jackknife and the Bootstrap for General Stationary Observations","type":"article-journal","volume":"17"},"uris":["http://www.mendeley.com/documents/?uuid=743bf196-d41d-416b-a62e-cffc7c9630f1"]}],"mendeley":{"formattedCitation":"[22,23]","plainTextFormattedCitation":"[22,23]","previouslyFormattedCitation":"[22,23]"},"properties":{"noteIndex":0},"schema":"https://github.com/citation-style-language/schema/raw/master/csl-citation.json"}</w:instrText>
      </w:r>
      <w:r w:rsidR="00773895" w:rsidRPr="00773895">
        <w:rPr>
          <w:color w:val="EE0000"/>
        </w:rPr>
        <w:fldChar w:fldCharType="separate"/>
      </w:r>
      <w:r w:rsidR="00773895" w:rsidRPr="00773895">
        <w:rPr>
          <w:noProof/>
          <w:color w:val="EE0000"/>
        </w:rPr>
        <w:t>[22,23]</w:t>
      </w:r>
      <w:r w:rsidR="00773895" w:rsidRPr="00773895">
        <w:rPr>
          <w:color w:val="EE0000"/>
        </w:rPr>
        <w:fldChar w:fldCharType="end"/>
      </w:r>
      <w:r w:rsidRPr="00A51779">
        <w:t xml:space="preserve">. A seven-day block length was used in the primary analysis to reflect the weekly cycle in the data, while 14- and 28-day blocks were considered as sensitivity checks. Because model comparisons were repeated across multiple states and forecast horizons, Holm's step-down procedure </w:t>
      </w:r>
      <w:r w:rsidR="00773895" w:rsidRPr="00773895">
        <w:rPr>
          <w:color w:val="EE0000"/>
        </w:rPr>
        <w:fldChar w:fldCharType="begin" w:fldLock="1"/>
      </w:r>
      <w:r w:rsidR="00773895">
        <w:rPr>
          <w:color w:val="EE0000"/>
        </w:rPr>
        <w:instrText>ADDIN CSL_CITATION {"citationItems":[{"id":"ITEM-1","itemData":{"ISSN":"03036898, 14679469","abstract":"[This paper presents a simple and widely applicable multiple test procedure of the sequentially rejective type, i.e. hypotheses are rejected one at a time until no further rejections can be done. It is shown that the test has a prescribed level of significance protection against error of the first kind for any combination of true hypotheses. The power properties of the test and a number of possible applications are also discussed.]","author":[{"dropping-particle":"","family":"Holm","given":"Sture","non-dropping-particle":"","parse-names":false,"suffix":""}],"container-title":"Scandinavian Journal of Statistics","id":"ITEM-1","issue":"2","issued":{"date-parts":[["1979","9","5"]]},"page":"65-70","publisher":"[Board of the Foundation of the Scandinavian Journal of Statistics, Wiley]","title":"A Simple Sequentially Rejective Multiple Test Procedure","type":"article-journal","volume":"6"},"uris":["http://www.mendeley.com/documents/?uuid=b21a67c2-7911-482e-ba5b-37f3046a6ab7"]}],"mendeley":{"formattedCitation":"[17]","plainTextFormattedCitation":"[17]","previouslyFormattedCitation":"[17]"},"properties":{"noteIndex":0},"schema":"https://github.com/citation-style-language/schema/raw/master/csl-citation.json"}</w:instrText>
      </w:r>
      <w:r w:rsidR="00773895" w:rsidRPr="00773895">
        <w:rPr>
          <w:color w:val="EE0000"/>
        </w:rPr>
        <w:fldChar w:fldCharType="separate"/>
      </w:r>
      <w:r w:rsidR="00773895" w:rsidRPr="00773895">
        <w:rPr>
          <w:noProof/>
          <w:color w:val="EE0000"/>
        </w:rPr>
        <w:t>[17]</w:t>
      </w:r>
      <w:r w:rsidR="00773895" w:rsidRPr="00773895">
        <w:rPr>
          <w:color w:val="EE0000"/>
        </w:rPr>
        <w:fldChar w:fldCharType="end"/>
      </w:r>
      <w:r w:rsidRPr="00A51779">
        <w:t xml:space="preserve"> and the Benjamini</w:t>
      </w:r>
      <w:r w:rsidR="001756CC" w:rsidRPr="00A51779">
        <w:t>-</w:t>
      </w:r>
      <w:r w:rsidRPr="00A51779">
        <w:t xml:space="preserve">Hochberg procedure </w:t>
      </w:r>
      <w:r w:rsidR="00773895" w:rsidRPr="00773895">
        <w:rPr>
          <w:color w:val="EE0000"/>
        </w:rPr>
        <w:fldChar w:fldCharType="begin" w:fldLock="1"/>
      </w:r>
      <w:r w:rsidR="00773895">
        <w:rPr>
          <w:color w:val="EE0000"/>
        </w:rPr>
        <w:instrText>ADDIN CSL_CITATION {"citationItems":[{"id":"ITEM-1","itemData":{"DOI":"10.1111/j.2517-6161.1995.tb02031.x","ISSN":"0035-9246","abstract":"The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author":[{"dropping-particle":"","family":"Benjamini","given":"Yoav","non-dropping-particle":"","parse-names":false,"suffix":""},{"dropping-particle":"","family":"Hochberg","given":"Yosef","non-dropping-particle":"","parse-names":false,"suffix":""}],"container-title":"Journal of the Royal Statistical Society: Series B (Methodological)","id":"ITEM-1","issue":"1","issued":{"date-parts":[["1995","1","1"]]},"page":"289-300","title":"Controlling the False Discovery Rate: A Practical and Powerful Approach to Multiple Testing","type":"article-journal","volume":"57"},"uris":["http://www.mendeley.com/documents/?uuid=51fa904d-6e63-4b43-8364-f27f535877a9"]}],"mendeley":{"formattedCitation":"[24]","plainTextFormattedCitation":"[24]","previouslyFormattedCitation":"[24]"},"properties":{"noteIndex":0},"schema":"https://github.com/citation-style-language/schema/raw/master/csl-citation.json"}</w:instrText>
      </w:r>
      <w:r w:rsidR="00773895" w:rsidRPr="00773895">
        <w:rPr>
          <w:color w:val="EE0000"/>
        </w:rPr>
        <w:fldChar w:fldCharType="separate"/>
      </w:r>
      <w:r w:rsidR="00773895" w:rsidRPr="00773895">
        <w:rPr>
          <w:noProof/>
          <w:color w:val="EE0000"/>
        </w:rPr>
        <w:t>[24]</w:t>
      </w:r>
      <w:r w:rsidR="00773895" w:rsidRPr="00773895">
        <w:rPr>
          <w:color w:val="EE0000"/>
        </w:rPr>
        <w:fldChar w:fldCharType="end"/>
      </w:r>
      <w:r w:rsidRPr="00A51779">
        <w:t xml:space="preserve"> were used to control the family-wise error rate and false discovery rate, respectively. Adjustments were applied to the complete family of comparisons relevant to each analysis.</w:t>
      </w:r>
    </w:p>
    <w:p w14:paraId="6D5B8B80" w14:textId="0ECB05E1" w:rsidR="00F40839" w:rsidRPr="00A51779" w:rsidRDefault="00F40839" w:rsidP="00703316">
      <w:pPr>
        <w:pStyle w:val="NormalWeb"/>
        <w:spacing w:before="0" w:beforeAutospacing="0" w:after="0" w:afterAutospacing="0" w:line="480" w:lineRule="auto"/>
        <w:jc w:val="both"/>
      </w:pPr>
      <w:r w:rsidRPr="00A51779">
        <w:t>The relationship between model performance and abrupt day-to-day changes in emissions was examined using the absolute CO</w:t>
      </w:r>
      <w:r w:rsidR="001756CC" w:rsidRPr="00A51779">
        <w:rPr>
          <w:vertAlign w:val="subscript"/>
        </w:rPr>
        <w:t>2</w:t>
      </w:r>
      <w:r w:rsidRPr="00A51779">
        <w:t xml:space="preserve"> ramp</w:t>
      </w:r>
      <w:r w:rsidR="001756CC" w:rsidRPr="00A51779">
        <w:t>:</w:t>
      </w:r>
    </w:p>
    <w:p w14:paraId="6C03A04A" w14:textId="5274D9C8" w:rsidR="00F40839" w:rsidRPr="00A51779" w:rsidRDefault="00000000" w:rsidP="00703316">
      <w:pPr>
        <w:spacing w:line="480"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e>
          </m:d>
        </m:oMath>
      </m:oMathPara>
    </w:p>
    <w:p w14:paraId="62291B36" w14:textId="2535BE04" w:rsidR="00F40839" w:rsidRPr="00A51779" w:rsidRDefault="00F40839" w:rsidP="00703316">
      <w:pPr>
        <w:pStyle w:val="NormalWeb"/>
        <w:spacing w:before="0" w:beforeAutospacing="0" w:after="0" w:afterAutospacing="0" w:line="480" w:lineRule="auto"/>
        <w:jc w:val="both"/>
      </w:pPr>
      <w:r w:rsidRPr="00A51779">
        <w:t>and the regression</w:t>
      </w:r>
      <w:r w:rsidR="001756CC" w:rsidRPr="00A51779">
        <w:t>:</w:t>
      </w:r>
    </w:p>
    <w:p w14:paraId="5E05C8D9" w14:textId="2D2B08F7"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e/>
              <m:e>
                <m:r>
                  <m:rPr>
                    <m:nor/>
                  </m:rPr>
                  <m:t>(4)</m:t>
                </m:r>
              </m:e>
            </m:mr>
          </m:m>
        </m:oMath>
      </m:oMathPara>
    </w:p>
    <w:p w14:paraId="1EF70BB2" w14:textId="106E73BE" w:rsidR="00F40839" w:rsidRPr="00A51779" w:rsidRDefault="00F40839" w:rsidP="00703316">
      <w:pPr>
        <w:pStyle w:val="NormalWeb"/>
        <w:spacing w:before="0" w:beforeAutospacing="0" w:after="0" w:afterAutospacing="0" w:line="480" w:lineRule="auto"/>
        <w:jc w:val="both"/>
      </w:pPr>
      <w:r w:rsidRPr="00A51779">
        <w:t>with Newey</w:t>
      </w:r>
      <w:r w:rsidR="001756CC" w:rsidRPr="00A51779">
        <w:t>-</w:t>
      </w:r>
      <w:r w:rsidRPr="00A51779">
        <w:t>West HAC standard errors. The corresponding null hypothesis was</w:t>
      </w:r>
      <w:r w:rsidR="001756CC" w:rsidRPr="00A51779">
        <w:t>:</w:t>
      </w:r>
    </w:p>
    <w:p w14:paraId="06885D7F" w14:textId="16BC2918" w:rsidR="00F40839" w:rsidRPr="00A51779" w:rsidRDefault="00000000" w:rsidP="00703316">
      <w:pPr>
        <w:spacing w:line="480" w:lineRule="auto"/>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m:t>
          </m:r>
        </m:oMath>
      </m:oMathPara>
    </w:p>
    <w:p w14:paraId="38777C99" w14:textId="77777777" w:rsidR="00F40839" w:rsidRPr="00A51779" w:rsidRDefault="00F40839" w:rsidP="00703316">
      <w:pPr>
        <w:pStyle w:val="NormalWeb"/>
        <w:spacing w:before="0" w:beforeAutospacing="0" w:after="0" w:afterAutospacing="0" w:line="480" w:lineRule="auto"/>
        <w:jc w:val="both"/>
      </w:pPr>
      <w:r w:rsidRPr="00A51779">
        <w:t>so that rejection indicates a systematic relationship between ramp magnitude and the relative squared-error performance of ridge and HGB.</w:t>
      </w:r>
    </w:p>
    <w:p w14:paraId="5AF3BA8B" w14:textId="1383E26B" w:rsidR="00F40839" w:rsidRPr="00A51779" w:rsidRDefault="00F40839" w:rsidP="00703316">
      <w:pPr>
        <w:pStyle w:val="NormalWeb"/>
        <w:spacing w:before="0" w:beforeAutospacing="0" w:after="0" w:afterAutospacing="0" w:line="480" w:lineRule="auto"/>
        <w:jc w:val="both"/>
      </w:pPr>
      <w:r w:rsidRPr="00A51779">
        <w:t xml:space="preserve">Forecast performance was summarized using root-mean-square error (RMSE), mean absolute error (MAE), mean absolute percentage error (MAPE), and the coefficient of determination </w:t>
      </w:r>
      <w:r w:rsidR="001756CC" w:rsidRPr="00A51779">
        <w:t>(R</w:t>
      </w:r>
      <w:r w:rsidR="001756CC" w:rsidRPr="00A51779">
        <w:rPr>
          <w:vertAlign w:val="superscript"/>
        </w:rPr>
        <w:t>2</w:t>
      </w:r>
      <w:r w:rsidR="001756CC" w:rsidRPr="00A51779">
        <w:t>):</w:t>
      </w:r>
    </w:p>
    <w:p w14:paraId="534852D7" w14:textId="70D3C4D5"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e>
              <m:e/>
              <m:e>
                <m:r>
                  <m:rPr>
                    <m:nor/>
                  </m:rPr>
                  <m:t>(5)</m:t>
                </m:r>
              </m:e>
            </m:mr>
          </m:m>
          <m:r>
            <m:rPr>
              <m:sty m:val="p"/>
            </m:rPr>
            <w:br/>
          </m:r>
        </m:oMath>
        <m:oMath>
          <m:m>
            <m:mPr>
              <m:plcHide m:val="1"/>
              <m:mcs>
                <m:mc>
                  <m:mcPr>
                    <m:count m:val="4"/>
                    <m:mcJc m:val="center"/>
                  </m:mcPr>
                </m:mc>
              </m:mcs>
              <m:ctrlPr>
                <w:rPr>
                  <w:rFonts w:ascii="Cambria Math" w:hAnsi="Cambria Math"/>
                </w:rPr>
              </m:ctrlPr>
            </m:mPr>
            <m:mr>
              <m:e/>
              <m:e>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e>
              <m:e/>
              <m:e>
                <m:r>
                  <m:rPr>
                    <m:nor/>
                  </m:rPr>
                  <m:t>(6)</m:t>
                </m:r>
              </m:e>
            </m:mr>
          </m:m>
          <m:r>
            <m:rPr>
              <m:sty m:val="p"/>
            </m:rPr>
            <w:br/>
          </m:r>
        </m:oMath>
        <m:oMath>
          <m:m>
            <m:mPr>
              <m:plcHide m:val="1"/>
              <m:mcs>
                <m:mc>
                  <m:mcPr>
                    <m:count m:val="4"/>
                    <m:mcJc m:val="center"/>
                  </m:mcPr>
                </m:mc>
              </m:mcs>
              <m:ctrlPr>
                <w:rPr>
                  <w:rFonts w:ascii="Cambria Math" w:hAnsi="Cambria Math"/>
                </w:rPr>
              </m:ctrlPr>
            </m:mPr>
            <m:mr>
              <m:e/>
              <m:e>
                <m: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e>
              <m:e/>
              <m:e>
                <m:r>
                  <m:rPr>
                    <m:nor/>
                  </m:rPr>
                  <m:t>(7)</m:t>
                </m:r>
              </m:e>
            </m:mr>
          </m:m>
          <m:r>
            <m:rPr>
              <m:sty m:val="p"/>
            </m:rPr>
            <w:br/>
          </m:r>
        </m:oMath>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e>
              <m:e/>
              <m:e>
                <m:r>
                  <m:rPr>
                    <m:nor/>
                  </m:rPr>
                  <m:t>(8)</m:t>
                </m:r>
              </m:e>
            </m:mr>
          </m:m>
        </m:oMath>
      </m:oMathPara>
    </w:p>
    <w:p w14:paraId="189EF4F9" w14:textId="3904453B" w:rsidR="00F40839" w:rsidRPr="00A51779" w:rsidRDefault="00F40839" w:rsidP="00703316">
      <w:pPr>
        <w:pStyle w:val="NormalWeb"/>
        <w:spacing w:before="0" w:beforeAutospacing="0" w:after="0" w:afterAutospacing="0" w:line="480" w:lineRule="auto"/>
        <w:jc w:val="both"/>
      </w:pPr>
      <w:r w:rsidRPr="00A51779">
        <w:t>RMSE and MAE are reported in short tons of CO</w:t>
      </w:r>
      <w:r w:rsidR="001756CC" w:rsidRPr="00A51779">
        <w:rPr>
          <w:vertAlign w:val="subscript"/>
        </w:rPr>
        <w:t>2</w:t>
      </w:r>
      <w:r w:rsidRPr="00A51779">
        <w:t xml:space="preserve">, whereas MAPE is expressed as a percentage. </w:t>
      </w:r>
      <w:r w:rsidR="001756CC" w:rsidRPr="00A51779">
        <w:t>R</w:t>
      </w:r>
      <w:r w:rsidR="001756CC" w:rsidRPr="00A51779">
        <w:rPr>
          <w:vertAlign w:val="superscript"/>
        </w:rPr>
        <w:t>2</w:t>
      </w:r>
      <w:r w:rsidR="001756CC" w:rsidRPr="00A51779">
        <w:t xml:space="preserve"> </w:t>
      </w:r>
      <w:r w:rsidRPr="00A51779">
        <w:t xml:space="preserve">was used as the principal scale-independent performance measure for comparisons among states with substantially different emission levels </w:t>
      </w:r>
      <w:r w:rsidR="00773895" w:rsidRPr="00773895">
        <w:rPr>
          <w:color w:val="EE0000"/>
        </w:rPr>
        <w:fldChar w:fldCharType="begin" w:fldLock="1"/>
      </w:r>
      <w:r w:rsidR="00773895">
        <w:rPr>
          <w:color w:val="EE0000"/>
        </w:rPr>
        <w:instrText>ADDIN CSL_CITATION {"citationItems":[{"id":"ITEM-1","itemData":{"DOI":"10.7717/peerj-cs.623","ISSN":"2376-5992","author":[{"dropping-particle":"","family":"Chicco","given":"Davide","non-dropping-particle":"","parse-names":false,"suffix":""},{"dropping-particle":"","family":"Warrens","given":"Matthijs J","non-dropping-particle":"","parse-names":false,"suffix":""},{"dropping-particle":"","family":"Jurman","given":"Giuseppe","non-dropping-particle":"","parse-names":false,"suffix":""}],"container-title":"Peerj computer science","id":"ITEM-1","issued":{"date-parts":[["2021"]]},"page":"e623","publisher":"PeerJ Inc.","title":"The coefficient of determination R-squared is more informative than SMAPE, MAE, MAPE, MSE and RMSE in regression analysis evaluation","type":"article-journal","volume":"7"},"uris":["http://www.mendeley.com/documents/?uuid=c5105de2-6965-4fb6-8e0a-0155964026ba"]}],"mendeley":{"formattedCitation":"[25]","plainTextFormattedCitation":"[25]","previouslyFormattedCitation":"[25]"},"properties":{"noteIndex":0},"schema":"https://github.com/citation-style-language/schema/raw/master/csl-citation.json"}</w:instrText>
      </w:r>
      <w:r w:rsidR="00773895" w:rsidRPr="00773895">
        <w:rPr>
          <w:color w:val="EE0000"/>
        </w:rPr>
        <w:fldChar w:fldCharType="separate"/>
      </w:r>
      <w:r w:rsidR="00773895" w:rsidRPr="00773895">
        <w:rPr>
          <w:noProof/>
          <w:color w:val="EE0000"/>
        </w:rPr>
        <w:t>[25]</w:t>
      </w:r>
      <w:r w:rsidR="00773895" w:rsidRPr="00773895">
        <w:rPr>
          <w:color w:val="EE0000"/>
        </w:rPr>
        <w:fldChar w:fldCharType="end"/>
      </w:r>
      <w:r w:rsidRPr="00A51779">
        <w:t>, while persistence was retained as a separate forecasting baseline.</w:t>
      </w:r>
    </w:p>
    <w:p w14:paraId="2528B965" w14:textId="316884FA" w:rsidR="00F40839" w:rsidRPr="00A51779" w:rsidRDefault="00F40839" w:rsidP="00703316">
      <w:pPr>
        <w:pStyle w:val="NormalWeb"/>
        <w:spacing w:before="0" w:beforeAutospacing="0" w:after="0" w:afterAutospacing="0" w:line="480" w:lineRule="auto"/>
        <w:jc w:val="both"/>
      </w:pPr>
      <w:r w:rsidRPr="00A51779">
        <w:t>The magnitude of the ridge</w:t>
      </w:r>
      <w:r w:rsidR="001756CC" w:rsidRPr="00A51779">
        <w:t>-</w:t>
      </w:r>
      <w:r w:rsidRPr="00A51779">
        <w:t>HGB difference was additionally expressed as the percentage reduction in RMSE obtained by HGB relative to ridge:</w:t>
      </w:r>
    </w:p>
    <w:p w14:paraId="265D0F5D" w14:textId="5CD50DAD"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r>
                  <w:rPr>
                    <w:rFonts w:ascii="Cambria Math" w:hAnsi="Cambria Math"/>
                  </w:rPr>
                  <m:t>RMSE</m:t>
                </m:r>
                <m:d>
                  <m:dPr>
                    <m:ctrlPr>
                      <w:rPr>
                        <w:rFonts w:ascii="Cambria Math" w:hAnsi="Cambria Math"/>
                      </w:rPr>
                    </m:ctrlPr>
                  </m:dPr>
                  <m:e>
                    <m:r>
                      <w:rPr>
                        <w:rFonts w:ascii="Cambria Math" w:hAnsi="Cambria Math"/>
                      </w:rPr>
                      <m:t>%</m:t>
                    </m:r>
                  </m:e>
                </m:d>
                <m:r>
                  <w:rPr>
                    <w:rFonts w:ascii="Cambria Math" w:hAnsi="Cambria Math"/>
                  </w:rPr>
                  <m:t>=100</m:t>
                </m:r>
                <m:d>
                  <m:dPr>
                    <m:ctrlPr>
                      <w:rPr>
                        <w:rFonts w:ascii="Cambria Math" w:hAnsi="Cambria Math"/>
                      </w:rPr>
                    </m:ctrlPr>
                  </m:dPr>
                  <m:e>
                    <m:f>
                      <m:fPr>
                        <m:ctrlPr>
                          <w:rPr>
                            <w:rFonts w:ascii="Cambria Math" w:hAnsi="Cambria Math"/>
                          </w:rPr>
                        </m:ctrlPr>
                      </m:fPr>
                      <m:num>
                        <m:r>
                          <w:rPr>
                            <w:rFonts w:ascii="Cambria Math" w:hAnsi="Cambria Math"/>
                          </w:rPr>
                          <m:t>RMS</m:t>
                        </m:r>
                        <m:sSub>
                          <m:sSubPr>
                            <m:ctrlPr>
                              <w:rPr>
                                <w:rFonts w:ascii="Cambria Math" w:hAnsi="Cambria Math"/>
                              </w:rPr>
                            </m:ctrlPr>
                          </m:sSubPr>
                          <m:e>
                            <m:r>
                              <w:rPr>
                                <w:rFonts w:ascii="Cambria Math" w:hAnsi="Cambria Math"/>
                              </w:rPr>
                              <m:t>E</m:t>
                            </m:r>
                          </m:e>
                          <m:sub>
                            <m:r>
                              <m:rPr>
                                <m:sty m:val="p"/>
                              </m:rPr>
                              <w:rPr>
                                <w:rFonts w:ascii="Cambria Math" w:hAnsi="Cambria Math"/>
                              </w:rPr>
                              <m:t>ridge</m:t>
                            </m:r>
                          </m:sub>
                        </m:sSub>
                        <m:r>
                          <w:rPr>
                            <w:rFonts w:ascii="Cambria Math" w:hAnsi="Cambria Math"/>
                          </w:rPr>
                          <m:t>-RMS</m:t>
                        </m:r>
                        <m:sSub>
                          <m:sSubPr>
                            <m:ctrlPr>
                              <w:rPr>
                                <w:rFonts w:ascii="Cambria Math" w:hAnsi="Cambria Math"/>
                              </w:rPr>
                            </m:ctrlPr>
                          </m:sSubPr>
                          <m:e>
                            <m:r>
                              <w:rPr>
                                <w:rFonts w:ascii="Cambria Math" w:hAnsi="Cambria Math"/>
                              </w:rPr>
                              <m:t>E</m:t>
                            </m:r>
                          </m:e>
                          <m:sub>
                            <m:r>
                              <m:rPr>
                                <m:sty m:val="p"/>
                              </m:rPr>
                              <w:rPr>
                                <w:rFonts w:ascii="Cambria Math" w:hAnsi="Cambria Math"/>
                              </w:rPr>
                              <m:t>HGB</m:t>
                            </m:r>
                          </m:sub>
                        </m:sSub>
                      </m:num>
                      <m:den>
                        <m:r>
                          <w:rPr>
                            <w:rFonts w:ascii="Cambria Math" w:hAnsi="Cambria Math"/>
                          </w:rPr>
                          <m:t>RMS</m:t>
                        </m:r>
                        <m:sSub>
                          <m:sSubPr>
                            <m:ctrlPr>
                              <w:rPr>
                                <w:rFonts w:ascii="Cambria Math" w:hAnsi="Cambria Math"/>
                              </w:rPr>
                            </m:ctrlPr>
                          </m:sSubPr>
                          <m:e>
                            <m:r>
                              <w:rPr>
                                <w:rFonts w:ascii="Cambria Math" w:hAnsi="Cambria Math"/>
                              </w:rPr>
                              <m:t>E</m:t>
                            </m:r>
                          </m:e>
                          <m:sub>
                            <m:r>
                              <m:rPr>
                                <m:sty m:val="p"/>
                              </m:rPr>
                              <w:rPr>
                                <w:rFonts w:ascii="Cambria Math" w:hAnsi="Cambria Math"/>
                              </w:rPr>
                              <m:t>ridge</m:t>
                            </m:r>
                          </m:sub>
                        </m:sSub>
                      </m:den>
                    </m:f>
                  </m:e>
                </m:d>
              </m:e>
              <m:e/>
              <m:e>
                <m:r>
                  <m:rPr>
                    <m:nor/>
                  </m:rPr>
                  <m:t>(9)</m:t>
                </m:r>
              </m:e>
            </m:mr>
          </m:m>
        </m:oMath>
      </m:oMathPara>
    </w:p>
    <w:p w14:paraId="5B233B0D" w14:textId="07B7DD2D" w:rsidR="00F40839" w:rsidRPr="00A51779" w:rsidRDefault="00F40839" w:rsidP="00703316">
      <w:pPr>
        <w:pStyle w:val="NormalWeb"/>
        <w:spacing w:before="0" w:beforeAutospacing="0" w:after="0" w:afterAutospacing="0" w:line="480" w:lineRule="auto"/>
        <w:jc w:val="both"/>
      </w:pPr>
      <w:r w:rsidRPr="00A51779">
        <w:lastRenderedPageBreak/>
        <w:t xml:space="preserve">Positive values therefore favor HGB, whereas negative values favor ridge. Confidence intervals for </w:t>
      </w:r>
      <m:oMath>
        <m:r>
          <m:rPr>
            <m:sty m:val="p"/>
          </m:rPr>
          <w:rPr>
            <w:rFonts w:ascii="Cambria Math" w:hAnsi="Cambria Math"/>
          </w:rPr>
          <m:t>Δ</m:t>
        </m:r>
        <m:r>
          <w:rPr>
            <w:rFonts w:ascii="Cambria Math" w:hAnsi="Cambria Math"/>
          </w:rPr>
          <m:t>RMSE</m:t>
        </m:r>
      </m:oMath>
      <w:r w:rsidRPr="00A51779">
        <w:t>were obtained using the moving-block bootstrap.</w:t>
      </w:r>
    </w:p>
    <w:p w14:paraId="719D3A83" w14:textId="03636CA8" w:rsidR="00F40839" w:rsidRPr="00A51779" w:rsidRDefault="00F40839" w:rsidP="00703316">
      <w:pPr>
        <w:pStyle w:val="NormalWeb"/>
        <w:spacing w:before="0" w:beforeAutospacing="0" w:after="0" w:afterAutospacing="0" w:line="480" w:lineRule="auto"/>
        <w:jc w:val="both"/>
      </w:pPr>
      <w:r w:rsidRPr="00A51779">
        <w:t>Two diagnostic analyses were conducted within the three-state case study. Feature-group ablation was performed under the same rolling-origin evaluation framework as the primary analysis, with the ridge regularization parameter selected prospectively for each predictor subset. Sensitivity to facility-reporting composition was examined by reconstructing each state series using only facilities reporting CO</w:t>
      </w:r>
      <w:r w:rsidR="001756CC" w:rsidRPr="00A51779">
        <w:rPr>
          <w:vertAlign w:val="subscript"/>
        </w:rPr>
        <w:t>2</w:t>
      </w:r>
      <w:r w:rsidRPr="00A51779">
        <w:t xml:space="preserve"> on at least 95% of the 1,096 days during 2023</w:t>
      </w:r>
      <w:r w:rsidR="001756CC" w:rsidRPr="00A51779">
        <w:t>-</w:t>
      </w:r>
      <w:r w:rsidRPr="00A51779">
        <w:t>2025 and repeating the persistence, ridge, and HGB comparison. These analyses assessed whether model rankings were materially influenced by predictor composition or changes in the reporting facility panel.</w:t>
      </w:r>
    </w:p>
    <w:p w14:paraId="135B20CA" w14:textId="77777777" w:rsidR="00F40839" w:rsidRPr="00A51779" w:rsidRDefault="00F40839" w:rsidP="00703316">
      <w:pPr>
        <w:pStyle w:val="NormalWeb"/>
        <w:spacing w:before="0" w:beforeAutospacing="0" w:after="0" w:afterAutospacing="0" w:line="480" w:lineRule="auto"/>
        <w:jc w:val="both"/>
      </w:pPr>
    </w:p>
    <w:p w14:paraId="37DA96CC" w14:textId="77777777" w:rsidR="00F40839" w:rsidRPr="00A51779" w:rsidRDefault="00F40839" w:rsidP="00703316">
      <w:pPr>
        <w:pStyle w:val="Heading2"/>
        <w:spacing w:line="480" w:lineRule="auto"/>
        <w:jc w:val="both"/>
        <w:rPr>
          <w:b/>
          <w:bCs/>
          <w:color w:val="auto"/>
          <w:sz w:val="24"/>
          <w:szCs w:val="24"/>
        </w:rPr>
      </w:pPr>
      <w:r w:rsidRPr="00A51779">
        <w:rPr>
          <w:b/>
          <w:bCs/>
          <w:color w:val="auto"/>
          <w:sz w:val="24"/>
          <w:szCs w:val="24"/>
        </w:rPr>
        <w:t>2.6 Nationwide and multihorizon analysis</w:t>
      </w:r>
    </w:p>
    <w:p w14:paraId="57D7D677" w14:textId="702BD7BB" w:rsidR="00F40839" w:rsidRPr="00A51779" w:rsidRDefault="00F40839" w:rsidP="00703316">
      <w:pPr>
        <w:pStyle w:val="NormalWeb"/>
        <w:spacing w:before="0" w:beforeAutospacing="0" w:after="0" w:afterAutospacing="0" w:line="480" w:lineRule="auto"/>
        <w:jc w:val="both"/>
      </w:pPr>
      <w:r w:rsidRPr="00A51779">
        <w:t>The three-state analysis was extended to a nationwide benchmark using eligibility criteria specified before model comparison. A state or district was retained if daily CO</w:t>
      </w:r>
      <w:r w:rsidR="001756CC" w:rsidRPr="00A51779">
        <w:rPr>
          <w:vertAlign w:val="subscript"/>
        </w:rPr>
        <w:t>2</w:t>
      </w:r>
      <w:r w:rsidRPr="00A51779">
        <w:t xml:space="preserve"> mass was observed on at least 98% of the analysis period, at least five facilities contributed observations, mean daily CO₂ emissions were at least 5,000 short tons, the coefficient of variation of daily emissions was at least 0.05, and no sequence of missing observations exceeded 14 consecutive days. Applying these criteria to the 2023</w:t>
      </w:r>
      <w:r w:rsidR="001756CC" w:rsidRPr="00A51779">
        <w:t>-</w:t>
      </w:r>
      <w:r w:rsidRPr="00A51779">
        <w:t>2025 CAMPD dataset retained 47 of the 51 state or district codes. Alaska, the District of Columbia, and Puerto Rico had insufficient qualifying facility coverage, while Vermont did not satisfy the completeness and maximum-gap criteria. The resulting nationwide benchmark therefore comprised 47 states evaluated at one- and seven-day horizons, yielding 94 state</w:t>
      </w:r>
      <w:r w:rsidR="00253B8E" w:rsidRPr="00A51779">
        <w:t>-</w:t>
      </w:r>
      <w:r w:rsidRPr="00A51779">
        <w:t>horizon comparisons.</w:t>
      </w:r>
    </w:p>
    <w:p w14:paraId="0E4B8294" w14:textId="0D914027" w:rsidR="00F40839" w:rsidRPr="00A51779" w:rsidRDefault="00F40839" w:rsidP="00703316">
      <w:pPr>
        <w:pStyle w:val="NormalWeb"/>
        <w:spacing w:before="0" w:beforeAutospacing="0" w:after="0" w:afterAutospacing="0" w:line="480" w:lineRule="auto"/>
        <w:jc w:val="both"/>
      </w:pPr>
      <w:r w:rsidRPr="00A51779">
        <w:t xml:space="preserve">The nationwide benchmark used the same predictor definitions, prospective hyperparameter selection, expanding-window evaluation, and dependent-error testing procedures as the three-state </w:t>
      </w:r>
      <w:r w:rsidRPr="00A51779">
        <w:lastRenderedPageBreak/>
        <w:t>analysis. Holm and Benjamini–Hochberg corrections were applied jointly across the complete family of 94 ridge</w:t>
      </w:r>
      <w:r w:rsidR="001756CC" w:rsidRPr="00A51779">
        <w:t>-</w:t>
      </w:r>
      <w:r w:rsidRPr="00A51779">
        <w:t>HGB comparisons, ensuring that the statistical treatment remained consistent across the case-study and nationwide analyses.</w:t>
      </w:r>
    </w:p>
    <w:p w14:paraId="01DD1819" w14:textId="72557F5D" w:rsidR="00F40839" w:rsidRPr="00A51779" w:rsidRDefault="00F40839" w:rsidP="00703316">
      <w:pPr>
        <w:pStyle w:val="NormalWeb"/>
        <w:spacing w:before="0" w:beforeAutospacing="0" w:after="0" w:afterAutospacing="0" w:line="480" w:lineRule="auto"/>
        <w:jc w:val="both"/>
      </w:pPr>
      <w:r w:rsidRPr="00A51779">
        <w:t>For the principal multihorizon analysis, CAMPD records for 2019</w:t>
      </w:r>
      <w:r w:rsidR="001756CC" w:rsidRPr="00A51779">
        <w:t>-</w:t>
      </w:r>
      <w:r w:rsidRPr="00A51779">
        <w:t>2022 were combined with the 2023</w:t>
      </w:r>
      <w:r w:rsidR="001756CC" w:rsidRPr="00A51779">
        <w:t>-</w:t>
      </w:r>
      <w:r w:rsidRPr="00A51779">
        <w:t>2025 data, extending the observation period to seven complete years, from 1 January 2019 through 31 December 2025. The eligibility criteria were reapplied to the full period rather than carried forward from the shorter dataset. Idaho and Maine, although eligible over 2023</w:t>
      </w:r>
      <w:r w:rsidR="00773895" w:rsidRPr="00773895">
        <w:rPr>
          <w:lang w:val="en-US"/>
        </w:rPr>
        <w:t>-</w:t>
      </w:r>
      <w:r w:rsidRPr="00A51779">
        <w:t>2025, did not satisfy the completeness or maximum-gap requirements over the seven-year period, resulting in a final panel of 45 states.</w:t>
      </w:r>
    </w:p>
    <w:p w14:paraId="19F230A1" w14:textId="093FB395" w:rsidR="00F40839" w:rsidRPr="00A51779" w:rsidRDefault="00F40839" w:rsidP="00703316">
      <w:pPr>
        <w:pStyle w:val="NormalWeb"/>
        <w:spacing w:before="0" w:beforeAutospacing="0" w:after="0" w:afterAutospacing="0" w:line="480" w:lineRule="auto"/>
        <w:jc w:val="both"/>
      </w:pPr>
      <w:r w:rsidRPr="00A51779">
        <w:t>The set of forecast horizons was expanded to</w:t>
      </w:r>
      <w:r w:rsidR="001756CC" w:rsidRPr="00A51779">
        <w:t>:</w:t>
      </w:r>
    </w:p>
    <w:p w14:paraId="7B405725" w14:textId="364343BF" w:rsidR="00F40839" w:rsidRPr="00A51779" w:rsidRDefault="00B7675E" w:rsidP="00703316">
      <w:pPr>
        <w:spacing w:line="480" w:lineRule="auto"/>
        <w:jc w:val="both"/>
      </w:pPr>
      <m:oMathPara>
        <m:oMath>
          <m:r>
            <w:rPr>
              <w:rFonts w:ascii="Cambria Math" w:hAnsi="Cambria Math"/>
            </w:rPr>
            <m:t>h∈</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5</m:t>
              </m:r>
            </m:e>
            <m:e>
              <m:r>
                <w:rPr>
                  <w:rFonts w:ascii="Cambria Math" w:hAnsi="Cambria Math"/>
                </w:rPr>
                <m:t>7</m:t>
              </m:r>
            </m:e>
            <m:e>
              <m:r>
                <w:rPr>
                  <w:rFonts w:ascii="Cambria Math" w:hAnsi="Cambria Math"/>
                </w:rPr>
                <m:t>10</m:t>
              </m:r>
            </m:e>
            <m:e>
              <m:r>
                <w:rPr>
                  <w:rFonts w:ascii="Cambria Math" w:hAnsi="Cambria Math"/>
                </w:rPr>
                <m:t>14</m:t>
              </m:r>
            </m:e>
          </m:d>
          <m:r>
            <m:rPr>
              <m:nor/>
            </m:rPr>
            <m:t> days</m:t>
          </m:r>
        </m:oMath>
      </m:oMathPara>
    </w:p>
    <w:p w14:paraId="16E097B7" w14:textId="36FD4A57" w:rsidR="00F40839" w:rsidRPr="00A51779" w:rsidRDefault="00F40839" w:rsidP="00703316">
      <w:pPr>
        <w:pStyle w:val="NormalWeb"/>
        <w:spacing w:before="0" w:beforeAutospacing="0" w:after="0" w:afterAutospacing="0" w:line="480" w:lineRule="auto"/>
        <w:jc w:val="both"/>
      </w:pPr>
      <w:r w:rsidRPr="00A51779">
        <w:t>giving a total of</w:t>
      </w:r>
      <w:r w:rsidR="001756CC" w:rsidRPr="00A51779">
        <w:t xml:space="preserve"> 315 </w:t>
      </w:r>
      <w:r w:rsidRPr="00A51779">
        <w:t>state</w:t>
      </w:r>
      <w:r w:rsidR="001756CC" w:rsidRPr="00A51779">
        <w:t>-</w:t>
      </w:r>
      <w:r w:rsidRPr="00A51779">
        <w:t>horizon comparisons. The more closely spaced short horizons were selected to resolve changes in relative model performance over the interval in which autoregressive persistence was expected to weaken most rapidly, while the 10- and 14-day horizons extended the analysis to a two-week forecast window. The expanding-window evaluation design was retained, although the refitting interval was increased from 7 to 14 days to maintain a computational burden comparable with that of the shorter three-year analysis. This produced approximately 90 forecast origins for each state–horizon combination.</w:t>
      </w:r>
    </w:p>
    <w:p w14:paraId="412902D3" w14:textId="50CDB7AE" w:rsidR="00F40839" w:rsidRPr="00A51779" w:rsidRDefault="00F40839" w:rsidP="00703316">
      <w:pPr>
        <w:pStyle w:val="NormalWeb"/>
        <w:spacing w:before="0" w:beforeAutospacing="0" w:after="0" w:afterAutospacing="0" w:line="480" w:lineRule="auto"/>
        <w:jc w:val="both"/>
      </w:pPr>
      <w:r w:rsidRPr="00A51779">
        <w:t>Hyperparameters were selected prospectively for each state–horizon combination using only information available before the corresponding forecast sequence. The HLN-corrected DM procedure was subsequently applied to all 315 ridge</w:t>
      </w:r>
      <w:r w:rsidR="00BC7B08" w:rsidRPr="00A51779">
        <w:t>-</w:t>
      </w:r>
      <w:r w:rsidRPr="00A51779">
        <w:t>HGB comparisons, with Holm and Benjamini</w:t>
      </w:r>
      <w:r w:rsidR="001756CC" w:rsidRPr="00A51779">
        <w:t>-</w:t>
      </w:r>
      <w:r w:rsidRPr="00A51779">
        <w:t xml:space="preserve">Hochberg adjustments calculated across the complete multihorizon family. National mean differences were evaluated across states rather than treating individual forecast observations </w:t>
      </w:r>
      <w:r w:rsidRPr="00A51779">
        <w:lastRenderedPageBreak/>
        <w:t>as independent cross-sectional replicates. The full seven-horizon analysis was also repeated using the expanded 30-ridge/60-HGB hyperparameter search to assess whether the horizon-dependent pattern was sensitive to the initial search budget.</w:t>
      </w:r>
    </w:p>
    <w:p w14:paraId="366C6313" w14:textId="77777777" w:rsidR="00F40839" w:rsidRPr="00A51779" w:rsidRDefault="00F40839" w:rsidP="00703316">
      <w:pPr>
        <w:pStyle w:val="NormalWeb"/>
        <w:spacing w:before="0" w:beforeAutospacing="0" w:after="0" w:afterAutospacing="0" w:line="480" w:lineRule="auto"/>
        <w:jc w:val="both"/>
      </w:pPr>
    </w:p>
    <w:p w14:paraId="5D5E2D18" w14:textId="77777777" w:rsidR="00F40839" w:rsidRPr="00A51779" w:rsidRDefault="00F40839" w:rsidP="00703316">
      <w:pPr>
        <w:pStyle w:val="Heading2"/>
        <w:spacing w:line="480" w:lineRule="auto"/>
        <w:jc w:val="both"/>
        <w:rPr>
          <w:b/>
          <w:bCs/>
          <w:color w:val="auto"/>
          <w:sz w:val="24"/>
          <w:szCs w:val="24"/>
        </w:rPr>
      </w:pPr>
      <w:r w:rsidRPr="00A51779">
        <w:rPr>
          <w:b/>
          <w:bCs/>
          <w:color w:val="auto"/>
          <w:sz w:val="24"/>
          <w:szCs w:val="24"/>
        </w:rPr>
        <w:t>2.7 Additive-model decomposition and dependence-aware inference</w:t>
      </w:r>
    </w:p>
    <w:p w14:paraId="00F4E6C3" w14:textId="432FBC87" w:rsidR="00F40839" w:rsidRPr="00A51779" w:rsidRDefault="00F40839" w:rsidP="00703316">
      <w:pPr>
        <w:pStyle w:val="NormalWeb"/>
        <w:spacing w:before="0" w:beforeAutospacing="0" w:after="0" w:afterAutospacing="0" w:line="480" w:lineRule="auto"/>
        <w:jc w:val="both"/>
      </w:pPr>
      <w:r w:rsidRPr="00A51779">
        <w:t xml:space="preserve">A generalized additive model (GAM) was introduced as an intermediate level of model flexibility between ridge regression and HGB to determine whether nonlinear forecasting gains were attributable primarily to smooth predictor–response relationships or to higher-order interactions </w:t>
      </w:r>
      <w:r w:rsidR="00773895" w:rsidRPr="00773895">
        <w:rPr>
          <w:color w:val="EE0000"/>
        </w:rPr>
        <w:fldChar w:fldCharType="begin" w:fldLock="1"/>
      </w:r>
      <w:r w:rsidR="00773895">
        <w:rPr>
          <w:color w:val="EE0000"/>
        </w:rPr>
        <w:instrText xml:space="preserve">ADDIN CSL_CITATION {"citationItems":[{"id":"ITEM-1","itemData":{"ISSN":"08834237, 21688745","abstract":"[Likelihood-based regression models such as the normal linear regression model and the linear logistic model, assume a linear (or some other parametric) form for the covariates X&lt;sub&gt;1&lt;/sub&gt;, X&lt;sub&gt;2&lt;/sub&gt;, </w:instrText>
      </w:r>
      <w:r w:rsidR="00773895">
        <w:rPr>
          <w:rFonts w:ascii="Cambria Math" w:hAnsi="Cambria Math" w:cs="Cambria Math"/>
          <w:color w:val="EE0000"/>
        </w:rPr>
        <w:instrText>⋯</w:instrText>
      </w:r>
      <w:r w:rsidR="00773895">
        <w:rPr>
          <w:color w:val="EE0000"/>
        </w:rPr>
        <w:instrText>, X&lt;sub&gt;p&lt;/sub&gt;. We introduce the class of generalized additive models which replaces the linear form ∑ β&lt;sub&gt;jX&lt;/sub&gt;&lt;sub&gt;j&lt;/sub&gt; by a sum of smooth functions ∑ s&lt;sub&gt;j&lt;/sub&gt;(X&lt;sub&gt;j&lt;/sub&gt;). The s&lt;sub&gt;j&lt;/sub&gt;(·)'s are unspecified functions that are estimated using a scatterplot smoother, in an iterative procedure we call the local scoring algorithm. The technique is applicable to any likelihood-based regression model: the class of generalized linear models contains many of these. In this class the linear predictor η = Σ β&lt;sub&gt;jX&lt;/sub&gt;&lt;sub&gt;j&lt;/sub&gt; is replaced by the additive predictor Σ s&lt;sub&gt;j&lt;/sub&gt;(X&lt;sub&gt;j&lt;/sub&gt;); hence, the name generalized additive models. We illustrate the technique with binary response and survival data. In both cases, the method proves to be useful in uncovering nonlinear covariate effects. It has the advantage of being completely automatic, i.e., no \"detective work\" is needed on the part of the statistician. As a theoretical underpinning, the technique is viewed as an empirical method of maximizing the expected log likelihood, or equivalently, of minimizing the Kullback-Leibler distance to the true model.]","author":[{"dropping-particle":"","family":"Hastie","given":"Trevor","non-dropping-particle":"","parse-names":false,"suffix":""},{"dropping-particle":"","family":"Tibshirani","given":"Robert","non-dropping-particle":"","parse-names":false,"suffix":""}],"container-title":"Statistical Science","id":"ITEM-1","issue":"3","issued":{"date-parts":[["1986","9","5"]]},"page":"297-310","publisher":"Institute of Mathematical Statistics","title":"Generalized Additive Models","type":"article-journal","volume":"1"},"uris":["http://www.mendeley.com/documents/?uuid=2018f074-4872-47d2-9511-6dc3d9fae8e0"]}],"mendeley":{"formattedCitation":"[12]","plainTextFormattedCitation":"[12]","previouslyFormattedCitation":"[12]"},"properties":{"noteIndex":0},"schema":"https://github.com/citation-style-language/schema/raw/master/csl-citation.json"}</w:instrText>
      </w:r>
      <w:r w:rsidR="00773895" w:rsidRPr="00773895">
        <w:rPr>
          <w:color w:val="EE0000"/>
        </w:rPr>
        <w:fldChar w:fldCharType="separate"/>
      </w:r>
      <w:r w:rsidR="00773895" w:rsidRPr="00773895">
        <w:rPr>
          <w:noProof/>
          <w:color w:val="EE0000"/>
        </w:rPr>
        <w:t>[12]</w:t>
      </w:r>
      <w:r w:rsidR="00773895" w:rsidRPr="00773895">
        <w:rPr>
          <w:color w:val="EE0000"/>
        </w:rPr>
        <w:fldChar w:fldCharType="end"/>
      </w:r>
      <w:r w:rsidRPr="00A51779">
        <w:t xml:space="preserve">. For </w:t>
      </w:r>
      <w:r w:rsidR="001756CC" w:rsidRPr="00A51779">
        <w:rPr>
          <w:i/>
          <w:iCs/>
        </w:rPr>
        <w:t>p</w:t>
      </w:r>
      <w:r w:rsidR="001756CC" w:rsidRPr="00A51779">
        <w:t xml:space="preserve"> </w:t>
      </w:r>
      <w:r w:rsidRPr="00A51779">
        <w:t>predictors, the GAM was expressed as</w:t>
      </w:r>
      <w:r w:rsidR="001756CC" w:rsidRPr="00A51779">
        <w:t>:</w:t>
      </w:r>
    </w:p>
    <w:p w14:paraId="4E456FAD" w14:textId="1EAEAB2C" w:rsidR="00F40839" w:rsidRPr="00A51779" w:rsidRDefault="00000000" w:rsidP="00703316">
      <w:pPr>
        <w:spacing w:line="480" w:lineRule="auto"/>
        <w:jc w:val="both"/>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sSub>
                <m:sSubPr>
                  <m:ctrlPr>
                    <w:rPr>
                      <w:rFonts w:ascii="Cambria Math" w:hAnsi="Cambria Math"/>
                    </w:rPr>
                  </m:ctrlPr>
                </m:sSubPr>
                <m:e>
                  <m:r>
                    <w:rPr>
                      <w:rFonts w:ascii="Cambria Math" w:hAnsi="Cambria Math"/>
                    </w:rPr>
                    <m:t>f</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m:oMathPara>
    </w:p>
    <w:p w14:paraId="58DA1976" w14:textId="1934ECAF" w:rsidR="00F40839" w:rsidRPr="00A51779" w:rsidRDefault="00F40839" w:rsidP="00703316">
      <w:pPr>
        <w:pStyle w:val="NormalWeb"/>
        <w:spacing w:before="0" w:beforeAutospacing="0" w:after="0" w:afterAutospacing="0" w:line="480" w:lineRule="auto"/>
        <w:jc w:val="both"/>
      </w:pPr>
      <w:r w:rsidRPr="00A51779">
        <w:t xml:space="preserve">where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rsidR="001756CC" w:rsidRPr="00A51779">
        <w:t xml:space="preserve"> </w:t>
      </w:r>
      <w:r w:rsidRPr="00A51779">
        <w:t xml:space="preserve">is a smooth function of the </w:t>
      </w:r>
      <m:oMath>
        <m:r>
          <w:rPr>
            <w:rFonts w:ascii="Cambria Math" w:hAnsi="Cambria Math"/>
          </w:rPr>
          <m:t>j</m:t>
        </m:r>
      </m:oMath>
      <w:r w:rsidRPr="00A51779">
        <w:t>th predictor. Because the model contains no cross-feature interaction terms, it permits nonlinear marginal relationships while remaining additive across predictors. Each standardized predictor was represented using a cubic B-spline basis with five knots, and the resulting basis coefficients were estimated under ridge regularization. The regularization strength was selected prospectively using the same temporal validation procedure applied to ridge.</w:t>
      </w:r>
    </w:p>
    <w:p w14:paraId="420FB276" w14:textId="4DEB1A41" w:rsidR="00F40839" w:rsidRPr="00A51779" w:rsidRDefault="00F40839" w:rsidP="00703316">
      <w:pPr>
        <w:pStyle w:val="NormalWeb"/>
        <w:spacing w:before="0" w:beforeAutospacing="0" w:after="0" w:afterAutospacing="0" w:line="480" w:lineRule="auto"/>
        <w:jc w:val="both"/>
      </w:pPr>
      <w:r w:rsidRPr="00A51779">
        <w:t>The GAM was evaluated using the same 27 predictors, rolling-origin design, and seven forecast horizons as ridge and HGB for all 45 multihorizon-eligible states. The three models therefore differed in functional flexibility rather than predictor information: ridge represents linear additive effects, the GAM allows smooth additive nonlinear effects, and HGB additionally permits higher-order interactions. The GAM</w:t>
      </w:r>
      <w:r w:rsidR="001756CC" w:rsidRPr="00A51779">
        <w:t>-</w:t>
      </w:r>
      <w:r w:rsidRPr="00A51779">
        <w:t xml:space="preserve">ridge difference was used to quantify the contribution of smooth </w:t>
      </w:r>
      <w:r w:rsidRPr="00A51779">
        <w:lastRenderedPageBreak/>
        <w:t>additive nonlinearity, while the remaining HGB</w:t>
      </w:r>
      <w:r w:rsidR="001756CC" w:rsidRPr="00A51779">
        <w:t>-</w:t>
      </w:r>
      <w:r w:rsidRPr="00A51779">
        <w:t>GAM difference quantified predictive gains not reproduced by the additive specification.</w:t>
      </w:r>
    </w:p>
    <w:p w14:paraId="6F3E369A" w14:textId="4F5B18E3" w:rsidR="00F40839" w:rsidRPr="00A51779" w:rsidRDefault="00F40839" w:rsidP="00703316">
      <w:pPr>
        <w:pStyle w:val="NormalWeb"/>
        <w:spacing w:before="0" w:beforeAutospacing="0" w:after="0" w:afterAutospacing="0" w:line="480" w:lineRule="auto"/>
        <w:jc w:val="both"/>
      </w:pPr>
      <w:r w:rsidRPr="00A51779">
        <w:t xml:space="preserve">Because each state contributes repeated observations across seven forecast horizons, the nationwide horizon effect was evaluated using cluster-robust regression. For state </w:t>
      </w:r>
      <m:oMath>
        <m:r>
          <w:rPr>
            <w:rFonts w:ascii="Cambria Math" w:hAnsi="Cambria Math"/>
          </w:rPr>
          <m:t>s</m:t>
        </m:r>
      </m:oMath>
      <w:r w:rsidRPr="00A51779">
        <w:t xml:space="preserve">and forecast horizon </w:t>
      </w:r>
      <m:oMath>
        <m:r>
          <w:rPr>
            <w:rFonts w:ascii="Cambria Math" w:hAnsi="Cambria Math"/>
          </w:rPr>
          <m:t>h</m:t>
        </m:r>
      </m:oMath>
      <w:r w:rsidRPr="00A51779">
        <w:t>, relative model performance was defined as</w:t>
      </w:r>
      <w:r w:rsidR="001756CC" w:rsidRPr="00A51779">
        <w:t>:</w:t>
      </w:r>
    </w:p>
    <w:p w14:paraId="40C194B3" w14:textId="025700AA" w:rsidR="00F40839" w:rsidRPr="00A51779" w:rsidRDefault="00000000" w:rsidP="00703316">
      <w:pPr>
        <w:spacing w:line="480" w:lineRule="auto"/>
        <w:jc w:val="both"/>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s,h</m:t>
              </m:r>
            </m:sub>
          </m:sSub>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HGB</m:t>
              </m:r>
              <m:r>
                <w:rPr>
                  <w:rFonts w:ascii="Cambria Math" w:hAnsi="Cambria Math"/>
                </w:rPr>
                <m:t>,s,h</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ridge</m:t>
              </m:r>
              <m:r>
                <w:rPr>
                  <w:rFonts w:ascii="Cambria Math" w:hAnsi="Cambria Math"/>
                </w:rPr>
                <m:t>,s,h</m:t>
              </m:r>
            </m:sub>
            <m:sup>
              <m:r>
                <w:rPr>
                  <w:rFonts w:ascii="Cambria Math" w:hAnsi="Cambria Math"/>
                </w:rPr>
                <m:t>2</m:t>
              </m:r>
            </m:sup>
          </m:sSubSup>
        </m:oMath>
      </m:oMathPara>
    </w:p>
    <w:p w14:paraId="5D72804D" w14:textId="74D69E2B" w:rsidR="00F40839" w:rsidRPr="00A51779" w:rsidRDefault="00F40839" w:rsidP="00703316">
      <w:pPr>
        <w:pStyle w:val="NormalWeb"/>
        <w:spacing w:before="0" w:beforeAutospacing="0" w:after="0" w:afterAutospacing="0" w:line="480" w:lineRule="auto"/>
        <w:jc w:val="both"/>
      </w:pPr>
      <w:r w:rsidRPr="00A51779">
        <w:t>and modeled as</w:t>
      </w:r>
      <w:r w:rsidR="001756CC" w:rsidRPr="00A51779">
        <w:t>:</w:t>
      </w:r>
    </w:p>
    <w:p w14:paraId="0CB0EBAF" w14:textId="4A69E57C"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Δ</m:t>
                    </m:r>
                  </m:e>
                  <m:sub>
                    <m:r>
                      <w:rPr>
                        <w:rFonts w:ascii="Cambria Math" w:hAnsi="Cambria Math"/>
                      </w:rPr>
                      <m:t>s,h</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s,h</m:t>
                    </m:r>
                  </m:sub>
                </m:sSub>
              </m:e>
              <m:e/>
              <m:e>
                <m:r>
                  <m:rPr>
                    <m:nor/>
                  </m:rPr>
                  <m:t>(10)</m:t>
                </m:r>
              </m:e>
            </m:mr>
          </m:m>
        </m:oMath>
      </m:oMathPara>
    </w:p>
    <w:p w14:paraId="7A4E46A7" w14:textId="17F39F74" w:rsidR="00F40839" w:rsidRPr="00A51779" w:rsidRDefault="00F40839" w:rsidP="00703316">
      <w:pPr>
        <w:pStyle w:val="NormalWeb"/>
        <w:spacing w:before="0" w:beforeAutospacing="0" w:after="0" w:afterAutospacing="0" w:line="480" w:lineRule="auto"/>
        <w:jc w:val="both"/>
      </w:pPr>
      <w:r w:rsidRPr="00A51779">
        <w:t>using all 315 state–horizon observations. Standard errors were clustered separately by state and by U.S. Census region. State clustering (</w:t>
      </w:r>
      <m:oMath>
        <m:r>
          <w:rPr>
            <w:rFonts w:ascii="Cambria Math" w:hAnsi="Cambria Math"/>
          </w:rPr>
          <m:t>G=45</m:t>
        </m:r>
      </m:oMath>
      <w:r w:rsidRPr="00A51779">
        <w:t>) accounts for repeated horizon observations within individual states, whereas Census-region clustering allows dependence among states within the same broad geographic region.</w:t>
      </w:r>
    </w:p>
    <w:p w14:paraId="27F969B5" w14:textId="1DD9E105" w:rsidR="00F40839" w:rsidRPr="00A51779" w:rsidRDefault="00F40839" w:rsidP="00703316">
      <w:pPr>
        <w:pStyle w:val="NormalWeb"/>
        <w:spacing w:before="0" w:beforeAutospacing="0" w:after="0" w:afterAutospacing="0" w:line="480" w:lineRule="auto"/>
        <w:jc w:val="both"/>
      </w:pPr>
      <w:r w:rsidRPr="00A51779">
        <w:t>The cluster-robust covariance estimator incorporated the CR1 finite-sample correction</w:t>
      </w:r>
      <w:r w:rsidR="001756CC" w:rsidRPr="00A51779">
        <w:t>,</w:t>
      </w:r>
    </w:p>
    <w:p w14:paraId="265913F4" w14:textId="7F83E10E"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m:rPr>
                        <m:sty m:val="p"/>
                      </m:rPr>
                      <w:rPr>
                        <w:rFonts w:ascii="Cambria Math" w:hAnsi="Cambria Math"/>
                      </w:rPr>
                      <m:t>CR</m:t>
                    </m:r>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G-1</m:t>
                    </m:r>
                  </m:den>
                </m:f>
                <m:f>
                  <m:fPr>
                    <m:ctrlPr>
                      <w:rPr>
                        <w:rFonts w:ascii="Cambria Math" w:hAnsi="Cambria Math"/>
                      </w:rPr>
                    </m:ctrlPr>
                  </m:fPr>
                  <m:num>
                    <m:r>
                      <w:rPr>
                        <w:rFonts w:ascii="Cambria Math" w:hAnsi="Cambria Math"/>
                      </w:rPr>
                      <m:t>N-1</m:t>
                    </m:r>
                  </m:num>
                  <m:den>
                    <m:r>
                      <w:rPr>
                        <w:rFonts w:ascii="Cambria Math" w:hAnsi="Cambria Math"/>
                      </w:rPr>
                      <m:t>N-K</m:t>
                    </m:r>
                  </m:den>
                </m:f>
              </m:e>
              <m:e/>
              <m:e>
                <m:r>
                  <m:rPr>
                    <m:nor/>
                  </m:rPr>
                  <m:t>(11)</m:t>
                </m:r>
              </m:e>
            </m:mr>
          </m:m>
        </m:oMath>
      </m:oMathPara>
    </w:p>
    <w:p w14:paraId="425F5141" w14:textId="13B869EE" w:rsidR="00F40839" w:rsidRPr="00A51779" w:rsidRDefault="00F40839" w:rsidP="00703316">
      <w:pPr>
        <w:pStyle w:val="NormalWeb"/>
        <w:spacing w:before="0" w:beforeAutospacing="0" w:after="0" w:afterAutospacing="0" w:line="480" w:lineRule="auto"/>
        <w:jc w:val="both"/>
      </w:pPr>
      <w:r w:rsidRPr="00A51779">
        <w:t xml:space="preserve">where </w:t>
      </w:r>
      <m:oMath>
        <m:r>
          <w:rPr>
            <w:rFonts w:ascii="Cambria Math" w:hAnsi="Cambria Math"/>
          </w:rPr>
          <m:t>G</m:t>
        </m:r>
      </m:oMath>
      <w:r w:rsidR="001756CC" w:rsidRPr="00A51779">
        <w:t xml:space="preserve"> </w:t>
      </w:r>
      <w:r w:rsidRPr="00A51779">
        <w:t xml:space="preserve">is the number of clusters, </w:t>
      </w:r>
      <m:oMath>
        <m:r>
          <w:rPr>
            <w:rFonts w:ascii="Cambria Math" w:hAnsi="Cambria Math"/>
          </w:rPr>
          <m:t>N</m:t>
        </m:r>
      </m:oMath>
      <w:r w:rsidRPr="00A51779">
        <w:t xml:space="preserve">is the number of observations, and </w:t>
      </w:r>
      <m:oMath>
        <m:r>
          <w:rPr>
            <w:rFonts w:ascii="Cambria Math" w:hAnsi="Cambria Math"/>
          </w:rPr>
          <m:t>K</m:t>
        </m:r>
      </m:oMath>
      <w:r w:rsidRPr="00A51779">
        <w:t xml:space="preserve">is the number of estimated regression parameters. The resulting cluster-robust </w:t>
      </w:r>
      <m:oMath>
        <m:r>
          <w:rPr>
            <w:rFonts w:ascii="Cambria Math" w:hAnsi="Cambria Math"/>
          </w:rPr>
          <m:t>t</m:t>
        </m:r>
      </m:oMath>
      <w:r w:rsidRPr="00A51779">
        <w:t>-statistics were evaluated against a Student-</w:t>
      </w:r>
      <m:oMath>
        <m:r>
          <w:rPr>
            <w:rFonts w:ascii="Cambria Math" w:hAnsi="Cambria Math"/>
          </w:rPr>
          <m:t>t</m:t>
        </m:r>
      </m:oMath>
      <w:r w:rsidRPr="00A51779">
        <w:t xml:space="preserve"> distribution with</w:t>
      </w:r>
      <w:r w:rsidR="001756CC" w:rsidRPr="00A51779">
        <w:t xml:space="preserve"> </w:t>
      </w:r>
      <w:r w:rsidR="001756CC" w:rsidRPr="00A51779">
        <w:rPr>
          <w:i/>
          <w:iCs/>
        </w:rPr>
        <w:t xml:space="preserve">G </w:t>
      </w:r>
      <w:r w:rsidR="001756CC" w:rsidRPr="00A51779">
        <w:t xml:space="preserve">– 1 </w:t>
      </w:r>
      <w:r w:rsidRPr="00A51779">
        <w:t>degrees of freedom.</w:t>
      </w:r>
    </w:p>
    <w:p w14:paraId="5DBD0DBE" w14:textId="12FA0CD8" w:rsidR="00F40839" w:rsidRPr="00A51779" w:rsidRDefault="00F40839" w:rsidP="00703316">
      <w:pPr>
        <w:pStyle w:val="NormalWeb"/>
        <w:spacing w:before="0" w:beforeAutospacing="0" w:after="0" w:afterAutospacing="0" w:line="480" w:lineRule="auto"/>
        <w:jc w:val="both"/>
      </w:pPr>
      <w:r w:rsidRPr="00A51779">
        <w:t xml:space="preserve">Because the Census-region analysis contains only four clusters, conventional asymptotic cluster-robust inference has limited small-sample reliability. The regional analysis was therefore supplemented with an exact wild-cluster sign-flip test </w:t>
      </w:r>
      <w:r w:rsidR="00773895" w:rsidRPr="00773895">
        <w:rPr>
          <w:color w:val="EE0000"/>
        </w:rPr>
        <w:fldChar w:fldCharType="begin" w:fldLock="1"/>
      </w:r>
      <w:r w:rsidR="00295BA3">
        <w:rPr>
          <w:color w:val="EE0000"/>
        </w:rPr>
        <w:instrText>ADDIN CSL_CITATION {"citationItems":[{"id":"ITEM-1","itemData":{"abstract":"Researchers have increasingly realized the need to account for within-group dependence in estimating standard errors of regression parameter estimates. The usual solution is to calculate cluster-robust standard errors that permit heteroskedasticity and within-cluster error correlation, but presume that the number of clusters is large. Standard asymptotic tests can over-reject, however, with few (five to thirty) clusters. We investigate inference using cluster bootstrap-t procedures that provide asymptotic refinement. These procedures are evaluated using Monte Carlos, including the example of Bertrand, Duflo, and Mullainathan (2004). Rejection rates of 10% using standard methods can be reduced to the nominal size of 5% using our methods. Copyright by the President and Fellows of Harvard College and the Massachusetts Institute of Technology.","author":[{"dropping-particle":"","family":"Cameron","given":"A","non-dropping-particle":"","parse-names":false,"suffix":""},{"dropping-particle":"","family":"Gelbach","given":"Jonah","non-dropping-particle":"","parse-names":false,"suffix":""},{"dropping-particle":"","family":"Miller","given":"Douglas","non-dropping-particle":"","parse-names":false,"suffix":""}],"container-title":"The Review of Economics and Statistics","id":"ITEM-1","issue":"3","issued":{"date-parts":[["2008"]]},"page":"414-427","title":"Bootstrap-Based Improvements for Inference with Clustered Errors","type":"article-journal","volume":"90"},"uris":["http://www.mendeley.com/documents/?uuid=f3625521-2adc-4b41-8e2d-4d5a81bc4988"]}],"mendeley":{"formattedCitation":"[26]","plainTextFormattedCitation":"[26]","previouslyFormattedCitation":"[26]"},"properties":{"noteIndex":0},"schema":"https://github.com/citation-style-language/schema/raw/master/csl-citation.json"}</w:instrText>
      </w:r>
      <w:r w:rsidR="00773895" w:rsidRPr="00773895">
        <w:rPr>
          <w:color w:val="EE0000"/>
        </w:rPr>
        <w:fldChar w:fldCharType="separate"/>
      </w:r>
      <w:r w:rsidR="00773895" w:rsidRPr="00773895">
        <w:rPr>
          <w:noProof/>
          <w:color w:val="EE0000"/>
        </w:rPr>
        <w:t>[26]</w:t>
      </w:r>
      <w:r w:rsidR="00773895" w:rsidRPr="00773895">
        <w:rPr>
          <w:color w:val="EE0000"/>
        </w:rPr>
        <w:fldChar w:fldCharType="end"/>
      </w:r>
      <w:r w:rsidRPr="00A51779">
        <w:t>. Under the null hypothesis of no horizon effect, pseudo-outcomes were generated as</w:t>
      </w:r>
      <w:r w:rsidR="001756CC" w:rsidRPr="00A51779">
        <w:t>:</w:t>
      </w:r>
    </w:p>
    <w:p w14:paraId="38C517C7" w14:textId="4A022071" w:rsidR="00F40839" w:rsidRPr="00A51779" w:rsidRDefault="00000000" w:rsidP="00703316">
      <w:pPr>
        <w:spacing w:line="480" w:lineRule="auto"/>
        <w:jc w:val="both"/>
      </w:pPr>
      <m:oMathPara>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restricted</m:t>
              </m:r>
            </m:sub>
          </m:sSub>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m:rPr>
                  <m:sty m:val="p"/>
                </m:rPr>
                <w:rPr>
                  <w:rFonts w:ascii="Cambria Math" w:hAnsi="Cambria Math"/>
                </w:rPr>
                <m:t>restricted</m:t>
              </m:r>
            </m:sub>
          </m:sSub>
        </m:oMath>
      </m:oMathPara>
    </w:p>
    <w:p w14:paraId="7C2DFA64" w14:textId="24C48A7F" w:rsidR="00F40839" w:rsidRPr="00A51779" w:rsidRDefault="00F40839" w:rsidP="00703316">
      <w:pPr>
        <w:pStyle w:val="NormalWeb"/>
        <w:spacing w:before="0" w:beforeAutospacing="0" w:after="0" w:afterAutospacing="0" w:line="480" w:lineRule="auto"/>
        <w:jc w:val="both"/>
      </w:pPr>
      <w:r w:rsidRPr="00A51779">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m:rPr>
                <m:sty m:val="p"/>
              </m:rPr>
              <w:rPr>
                <w:rFonts w:ascii="Cambria Math" w:hAnsi="Cambria Math"/>
              </w:rPr>
              <m:t>restricted</m:t>
            </m:r>
          </m:sub>
        </m:sSub>
      </m:oMath>
      <w:r w:rsidR="001756CC" w:rsidRPr="00A51779">
        <w:t xml:space="preserve"> </w:t>
      </w:r>
      <w:r w:rsidRPr="00A51779">
        <w:t>denotes the residuals from the intercept-only restricted model and</w:t>
      </w:r>
    </w:p>
    <w:p w14:paraId="0AEBCB03" w14:textId="34372BA8" w:rsidR="00F40839" w:rsidRPr="00A51779" w:rsidRDefault="00B7675E" w:rsidP="00703316">
      <w:pPr>
        <w:spacing w:line="480" w:lineRule="auto"/>
        <w:jc w:val="both"/>
      </w:pPr>
      <m:oMathPara>
        <m:oMath>
          <m:r>
            <w:rPr>
              <w:rFonts w:ascii="Cambria Math" w:hAnsi="Cambria Math"/>
            </w:rPr>
            <w:lastRenderedPageBreak/>
            <m:t>w∈</m:t>
          </m:r>
          <m:d>
            <m:dPr>
              <m:begChr m:val="{"/>
              <m:sepChr m:val=","/>
              <m:endChr m:val="}"/>
              <m:ctrlPr>
                <w:rPr>
                  <w:rFonts w:ascii="Cambria Math" w:hAnsi="Cambria Math"/>
                </w:rPr>
              </m:ctrlPr>
            </m:dPr>
            <m:e>
              <m:r>
                <w:rPr>
                  <w:rFonts w:ascii="Cambria Math" w:hAnsi="Cambria Math"/>
                </w:rPr>
                <m:t>-</m:t>
              </m:r>
            </m:e>
            <m:e>
              <m:r>
                <w:rPr>
                  <w:rFonts w:ascii="Cambria Math" w:hAnsi="Cambria Math"/>
                </w:rPr>
                <m:t>1+1</m:t>
              </m:r>
            </m:e>
          </m:d>
        </m:oMath>
      </m:oMathPara>
    </w:p>
    <w:p w14:paraId="4537CABA" w14:textId="59FF689E" w:rsidR="00F40839" w:rsidRPr="00A51779" w:rsidRDefault="00F40839" w:rsidP="00703316">
      <w:pPr>
        <w:pStyle w:val="NormalWeb"/>
        <w:spacing w:before="0" w:beforeAutospacing="0" w:after="0" w:afterAutospacing="0" w:line="480" w:lineRule="auto"/>
        <w:jc w:val="both"/>
      </w:pPr>
      <w:r w:rsidRPr="00A51779">
        <w:t>assigns an independent sign to each region. With four Census regions, the complete set of possible assignments is</w:t>
      </w:r>
      <w:r w:rsidR="001756CC" w:rsidRPr="00A51779">
        <w:t xml:space="preserve"> 16 </w:t>
      </w:r>
      <w:r w:rsidRPr="00A51779">
        <w:t xml:space="preserve">and all 16 sign combinations were enumerated rather than approximated by simulation. The two-sided permutation </w:t>
      </w:r>
      <m:oMath>
        <m:r>
          <w:rPr>
            <w:rFonts w:ascii="Cambria Math" w:hAnsi="Cambria Math"/>
          </w:rPr>
          <m:t>p</m:t>
        </m:r>
      </m:oMath>
      <w:r w:rsidRPr="00A51779">
        <w:t>-value was calculated as the proportion of assignments producing a cluster-robust test statistic at least as extreme as that obtained from the observed data.</w:t>
      </w:r>
    </w:p>
    <w:p w14:paraId="136E360C" w14:textId="77777777" w:rsidR="00B919ED" w:rsidRPr="00A51779" w:rsidRDefault="00B919ED" w:rsidP="00703316">
      <w:pPr>
        <w:pStyle w:val="NormalWeb"/>
        <w:spacing w:before="0" w:beforeAutospacing="0" w:after="0" w:afterAutospacing="0" w:line="480" w:lineRule="auto"/>
        <w:jc w:val="both"/>
      </w:pPr>
    </w:p>
    <w:p w14:paraId="319E1ED8" w14:textId="77777777" w:rsidR="00B919ED" w:rsidRPr="00A51779" w:rsidRDefault="00B919ED" w:rsidP="00703316">
      <w:pPr>
        <w:spacing w:line="480" w:lineRule="auto"/>
        <w:jc w:val="both"/>
        <w:outlineLvl w:val="0"/>
        <w:rPr>
          <w:b/>
          <w:bCs/>
          <w:kern w:val="36"/>
        </w:rPr>
      </w:pPr>
      <w:r w:rsidRPr="00A51779">
        <w:rPr>
          <w:b/>
          <w:bCs/>
          <w:kern w:val="36"/>
        </w:rPr>
        <w:t>3. Results and Discussion</w:t>
      </w:r>
    </w:p>
    <w:p w14:paraId="1A121F36" w14:textId="77777777" w:rsidR="00B919ED" w:rsidRPr="00A51779" w:rsidRDefault="00B919ED" w:rsidP="00703316">
      <w:pPr>
        <w:spacing w:line="480" w:lineRule="auto"/>
        <w:jc w:val="both"/>
        <w:outlineLvl w:val="1"/>
        <w:rPr>
          <w:b/>
          <w:bCs/>
        </w:rPr>
      </w:pPr>
      <w:r w:rsidRPr="00A51779">
        <w:rPr>
          <w:b/>
          <w:bCs/>
        </w:rPr>
        <w:t>3.1 Emission patterns and predictive information</w:t>
      </w:r>
    </w:p>
    <w:p w14:paraId="70DDD4CD" w14:textId="232B5BD1" w:rsidR="00450A61" w:rsidRPr="00A51779" w:rsidRDefault="00B919ED" w:rsidP="00D076A3">
      <w:pPr>
        <w:spacing w:line="480" w:lineRule="auto"/>
        <w:jc w:val="both"/>
      </w:pPr>
      <w:r w:rsidRPr="00A51779">
        <w:t>Across 2023</w:t>
      </w:r>
      <w:r w:rsidR="00DF4A43" w:rsidRPr="00A51779">
        <w:t>-</w:t>
      </w:r>
      <w:r w:rsidRPr="00A51779">
        <w:t>2025, TX emitted 635.29 million short tons of CO</w:t>
      </w:r>
      <w:r w:rsidR="00DF4A43" w:rsidRPr="00A51779">
        <w:rPr>
          <w:vertAlign w:val="subscript"/>
        </w:rPr>
        <w:t>2</w:t>
      </w:r>
      <w:r w:rsidRPr="00A51779">
        <w:t>, PA 235.82 million, and CA 97.60 million. Mean daily CO</w:t>
      </w:r>
      <w:r w:rsidR="00DF4A43" w:rsidRPr="00A51779">
        <w:rPr>
          <w:vertAlign w:val="subscript"/>
        </w:rPr>
        <w:t>2</w:t>
      </w:r>
      <w:r w:rsidRPr="00A51779">
        <w:t xml:space="preserve"> emissions were approximately 579,644 short tons in TX, 215,166 short tons in PA, and 89,050 short tons in CA, with corresponding standard deviations of approximately 149,053, 50,325, and 39,452 short tons. Annual CO</w:t>
      </w:r>
      <w:r w:rsidR="005627DD" w:rsidRPr="00A51779">
        <w:rPr>
          <w:vertAlign w:val="subscript"/>
        </w:rPr>
        <w:t>2</w:t>
      </w:r>
      <w:r w:rsidRPr="00A51779">
        <w:t xml:space="preserve"> emissions increased by 1.11% in TX and 9.57% in PA between 2023 and 2025, whereas CA experienced a 23.75% reduction. Over the same period, CO</w:t>
      </w:r>
      <w:r w:rsidR="00DF4A43" w:rsidRPr="00A51779">
        <w:rPr>
          <w:vertAlign w:val="subscript"/>
        </w:rPr>
        <w:t>2</w:t>
      </w:r>
      <w:r w:rsidRPr="00A51779">
        <w:t xml:space="preserve"> intensity declined by 0.52% in TX and 3.75% in CA but increased by 4.33% in PA. The daily and annual emission profiles are shown in Fig</w:t>
      </w:r>
      <w:r w:rsidR="00D076A3" w:rsidRPr="00A51779">
        <w:t>.3.</w:t>
      </w:r>
    </w:p>
    <w:p w14:paraId="713021BA" w14:textId="50B2E010" w:rsidR="00412B9F" w:rsidRPr="00A51779" w:rsidRDefault="00412B9F" w:rsidP="00703316">
      <w:pPr>
        <w:spacing w:before="160" w:line="480" w:lineRule="auto"/>
        <w:jc w:val="both"/>
      </w:pPr>
      <w:r w:rsidRPr="00A51779">
        <w:rPr>
          <w:noProof/>
        </w:rPr>
        <w:lastRenderedPageBreak/>
        <w:drawing>
          <wp:inline distT="0" distB="0" distL="0" distR="0" wp14:anchorId="794AB83A" wp14:editId="259079D9">
            <wp:extent cx="5943600" cy="4100830"/>
            <wp:effectExtent l="0" t="0" r="0" b="1270"/>
            <wp:docPr id="138312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3578" name=""/>
                    <pic:cNvPicPr/>
                  </pic:nvPicPr>
                  <pic:blipFill>
                    <a:blip r:embed="rId9"/>
                    <a:stretch>
                      <a:fillRect/>
                    </a:stretch>
                  </pic:blipFill>
                  <pic:spPr>
                    <a:xfrm>
                      <a:off x="0" y="0"/>
                      <a:ext cx="5943600" cy="4100830"/>
                    </a:xfrm>
                    <a:prstGeom prst="rect">
                      <a:avLst/>
                    </a:prstGeom>
                  </pic:spPr>
                </pic:pic>
              </a:graphicData>
            </a:graphic>
          </wp:inline>
        </w:drawing>
      </w:r>
    </w:p>
    <w:p w14:paraId="0939B560" w14:textId="41561E92" w:rsidR="00450A61" w:rsidRPr="00A51779" w:rsidRDefault="00450A61" w:rsidP="00703316">
      <w:pPr>
        <w:spacing w:line="480" w:lineRule="auto"/>
        <w:jc w:val="both"/>
      </w:pPr>
      <w:r w:rsidRPr="00A51779">
        <w:t>Fig</w:t>
      </w:r>
      <w:r w:rsidR="005D03C1">
        <w:t>.</w:t>
      </w:r>
      <w:r w:rsidRPr="00A51779">
        <w:t xml:space="preserve"> </w:t>
      </w:r>
      <w:r w:rsidR="00D076A3" w:rsidRPr="00A51779">
        <w:t>3</w:t>
      </w:r>
      <w:r w:rsidRPr="00A51779">
        <w:t>. Daily state-level CO</w:t>
      </w:r>
      <w:r w:rsidR="00DF4A43" w:rsidRPr="00A51779">
        <w:rPr>
          <w:vertAlign w:val="subscript"/>
        </w:rPr>
        <w:t>2</w:t>
      </w:r>
      <w:r w:rsidR="00DF4A43" w:rsidRPr="00A51779">
        <w:t xml:space="preserve"> </w:t>
      </w:r>
      <w:r w:rsidRPr="00A51779">
        <w:t>mass, TX/PA/CA, 2023</w:t>
      </w:r>
      <w:r w:rsidR="00DF4A43" w:rsidRPr="00A51779">
        <w:t>-</w:t>
      </w:r>
      <w:r w:rsidRPr="00A51779">
        <w:t>2025.</w:t>
      </w:r>
    </w:p>
    <w:p w14:paraId="5C3AEE9F" w14:textId="2285F352" w:rsidR="00B919ED" w:rsidRPr="00A51779" w:rsidRDefault="00B919ED" w:rsidP="00703316">
      <w:pPr>
        <w:spacing w:line="480" w:lineRule="auto"/>
        <w:jc w:val="both"/>
      </w:pPr>
      <w:r w:rsidRPr="00A51779">
        <w:t xml:space="preserve">The rolling-origin feature-group ablation provides a more detailed view of the information underlying short-horizon predictability. Calendar variables alone provided limited predictive skill, with one-day </w:t>
      </w:r>
      <w:r w:rsidR="00DF4A43" w:rsidRPr="00A51779">
        <w:t>R</w:t>
      </w:r>
      <w:r w:rsidR="00DF4A43" w:rsidRPr="00A51779">
        <w:rPr>
          <w:vertAlign w:val="superscript"/>
        </w:rPr>
        <w:t>2</w:t>
      </w:r>
      <w:r w:rsidR="00DF4A43" w:rsidRPr="00A51779">
        <w:t xml:space="preserve"> </w:t>
      </w:r>
      <w:r w:rsidRPr="00A51779">
        <w:t>values of 0.401 in TX, 0.003 in PA, and 0.230 in CA. In contrast, CO</w:t>
      </w:r>
      <w:r w:rsidR="00DF4A43" w:rsidRPr="00A51779">
        <w:rPr>
          <w:vertAlign w:val="subscript"/>
        </w:rPr>
        <w:t>2</w:t>
      </w:r>
      <w:r w:rsidRPr="00A51779">
        <w:t xml:space="preserve"> history alone, including the current day's observed CO</w:t>
      </w:r>
      <w:r w:rsidR="00DF4A43" w:rsidRPr="00A51779">
        <w:rPr>
          <w:vertAlign w:val="subscript"/>
        </w:rPr>
        <w:t>2</w:t>
      </w:r>
      <w:r w:rsidRPr="00A51779">
        <w:t xml:space="preserve"> value, achieved </w:t>
      </w:r>
      <w:r w:rsidR="00DF4A43" w:rsidRPr="00A51779">
        <w:t>R</w:t>
      </w:r>
      <w:r w:rsidR="00DF4A43" w:rsidRPr="00A51779">
        <w:rPr>
          <w:vertAlign w:val="superscript"/>
        </w:rPr>
        <w:t>2</w:t>
      </w:r>
      <w:r w:rsidR="00DF4A43" w:rsidRPr="00A51779">
        <w:t xml:space="preserve"> </w:t>
      </w:r>
      <w:r w:rsidRPr="00A51779">
        <w:t xml:space="preserve">values of 0.752, 0.926, and 0.817, respectively. These values were comparable with or higher than those obtained using the target-independent operational variables alone, which produced </w:t>
      </w:r>
      <w:r w:rsidR="00DF4A43" w:rsidRPr="00A51779">
        <w:t>R</w:t>
      </w:r>
      <w:r w:rsidR="00DF4A43" w:rsidRPr="00A51779">
        <w:rPr>
          <w:vertAlign w:val="superscript"/>
        </w:rPr>
        <w:t>2</w:t>
      </w:r>
      <w:r w:rsidR="00DF4A43" w:rsidRPr="00A51779">
        <w:t xml:space="preserve"> </w:t>
      </w:r>
      <w:r w:rsidRPr="00A51779">
        <w:t>values of 0.723, 0.913, and 0.785.</w:t>
      </w:r>
    </w:p>
    <w:p w14:paraId="5BE14205" w14:textId="23889F96" w:rsidR="00B919ED" w:rsidRPr="00A51779" w:rsidRDefault="00B919ED" w:rsidP="00703316">
      <w:pPr>
        <w:spacing w:line="480" w:lineRule="auto"/>
        <w:jc w:val="both"/>
      </w:pPr>
      <w:r w:rsidRPr="00A51779">
        <w:t>Combining CO</w:t>
      </w:r>
      <w:r w:rsidR="00DF4A43" w:rsidRPr="00A51779">
        <w:rPr>
          <w:vertAlign w:val="subscript"/>
        </w:rPr>
        <w:t>2</w:t>
      </w:r>
      <w:r w:rsidRPr="00A51779">
        <w:t xml:space="preserve"> history with operational variables produced only small changes in predictive performance. The corresponding </w:t>
      </w:r>
      <w:r w:rsidR="00DF4A43" w:rsidRPr="00A51779">
        <w:t>R</w:t>
      </w:r>
      <w:r w:rsidR="00DF4A43" w:rsidRPr="00A51779">
        <w:rPr>
          <w:vertAlign w:val="superscript"/>
        </w:rPr>
        <w:t>2</w:t>
      </w:r>
      <w:r w:rsidR="00DF4A43" w:rsidRPr="00A51779">
        <w:t xml:space="preserve"> </w:t>
      </w:r>
      <w:r w:rsidRPr="00A51779">
        <w:t>increased by 0.013 in TX, from 0.752 to 0.765, decreased marginally from 0.926 to 0.925 in PA, and remained unchanged at 0.817 in CA. The current-</w:t>
      </w:r>
      <w:r w:rsidRPr="00A51779">
        <w:lastRenderedPageBreak/>
        <w:t>emissions transforms, comprising CO</w:t>
      </w:r>
      <w:r w:rsidR="00DF4A43" w:rsidRPr="00A51779">
        <w:rPr>
          <w:vertAlign w:val="subscript"/>
        </w:rPr>
        <w:t>2</w:t>
      </w:r>
      <w:r w:rsidRPr="00A51779">
        <w:t xml:space="preserve"> intensity and the SO</w:t>
      </w:r>
      <w:r w:rsidR="00DF4A43" w:rsidRPr="00A51779">
        <w:rPr>
          <w:vertAlign w:val="subscript"/>
        </w:rPr>
        <w:t>2</w:t>
      </w:r>
      <w:r w:rsidRPr="00A51779">
        <w:t>-to-CO</w:t>
      </w:r>
      <w:r w:rsidR="00DF4A43" w:rsidRPr="00A51779">
        <w:rPr>
          <w:vertAlign w:val="subscript"/>
        </w:rPr>
        <w:t>2</w:t>
      </w:r>
      <w:r w:rsidRPr="00A51779">
        <w:t xml:space="preserve"> ratio, were retained only as a diagnostic feature group. Because these quantities are deterministic functions of variables represented elsewhere in the predictor set, they were excluded from the primary specification to prevent redundant target encoding rather than because their standalone predictive performance was necessarily expected to be poor.</w:t>
      </w:r>
    </w:p>
    <w:p w14:paraId="6BAEA81C" w14:textId="42F7A502" w:rsidR="00B919ED" w:rsidRPr="00A51779" w:rsidRDefault="00B919ED" w:rsidP="00703316">
      <w:pPr>
        <w:spacing w:line="480" w:lineRule="auto"/>
        <w:jc w:val="both"/>
      </w:pPr>
      <w:r w:rsidRPr="00A51779">
        <w:t>The additional contribution of operational information beyond CO</w:t>
      </w:r>
      <w:r w:rsidR="00DF4A43" w:rsidRPr="00A51779">
        <w:rPr>
          <w:vertAlign w:val="subscript"/>
        </w:rPr>
        <w:t>2</w:t>
      </w:r>
      <w:r w:rsidRPr="00A51779">
        <w:t xml:space="preserve"> history was tested using both a paired Diebold</w:t>
      </w:r>
      <w:r w:rsidR="00DF4A43" w:rsidRPr="00A51779">
        <w:t>-</w:t>
      </w:r>
      <w:r w:rsidRPr="00A51779">
        <w:t xml:space="preserve">Mariano comparison and an independent moving-block bootstrap. The DM test identified no significant improvement in any state: TX </w:t>
      </w:r>
      <m:oMath>
        <m:r>
          <w:rPr>
            <w:rFonts w:ascii="Cambria Math" w:hAnsi="Cambria Math"/>
          </w:rPr>
          <m:t>p=0.1198</m:t>
        </m:r>
      </m:oMath>
      <w:r w:rsidRPr="00A51779">
        <w:t xml:space="preserve">, PA </w:t>
      </w:r>
      <m:oMath>
        <m:r>
          <w:rPr>
            <w:rFonts w:ascii="Cambria Math" w:hAnsi="Cambria Math"/>
          </w:rPr>
          <m:t>p=0.3080</m:t>
        </m:r>
      </m:oMath>
      <w:r w:rsidRPr="00A51779">
        <w:t xml:space="preserve">, and CA </w:t>
      </w:r>
      <m:oMath>
        <m:r>
          <w:rPr>
            <w:rFonts w:ascii="Cambria Math" w:hAnsi="Cambria Math"/>
          </w:rPr>
          <m:t>p=0.9981</m:t>
        </m:r>
      </m:oMath>
      <w:r w:rsidRPr="00A51779">
        <w:t>. After Holm correction across the three comparisons, the corresponding values were 0.3594, 0.6160, and 0.9981. The moving-block bootstrap led to the same conclusion, with the 95% confidence interval for the squared-error differential including zero in all three states.</w:t>
      </w:r>
    </w:p>
    <w:p w14:paraId="26742266" w14:textId="0DBE3830" w:rsidR="00B919ED" w:rsidRPr="004219A9" w:rsidRDefault="00B919ED" w:rsidP="00703316">
      <w:pPr>
        <w:spacing w:line="480" w:lineRule="auto"/>
        <w:jc w:val="both"/>
      </w:pPr>
      <w:r w:rsidRPr="004219A9">
        <w:t>Table 2. Does operational data add a statistically distinguishable increment beyond CO</w:t>
      </w:r>
      <w:r w:rsidR="00DF4A43" w:rsidRPr="004219A9">
        <w:rPr>
          <w:vertAlign w:val="subscript"/>
        </w:rPr>
        <w:t>2</w:t>
      </w:r>
      <w:r w:rsidRPr="004219A9">
        <w:t xml:space="preserve"> history? (Rolling-origin, one-day horizon, paired Diebold</w:t>
      </w:r>
      <w:r w:rsidR="00DF4A43" w:rsidRPr="004219A9">
        <w:t>-</w:t>
      </w:r>
      <w:r w:rsidRPr="004219A9">
        <w:t>Mariano test.)</w:t>
      </w:r>
    </w:p>
    <w:tbl>
      <w:tblPr>
        <w:tblStyle w:val="PlainTable2"/>
        <w:tblW w:w="5000" w:type="pct"/>
        <w:tblLook w:val="04A0" w:firstRow="1" w:lastRow="0" w:firstColumn="1" w:lastColumn="0" w:noHBand="0" w:noVBand="1"/>
      </w:tblPr>
      <w:tblGrid>
        <w:gridCol w:w="813"/>
        <w:gridCol w:w="1925"/>
        <w:gridCol w:w="2952"/>
        <w:gridCol w:w="1616"/>
        <w:gridCol w:w="968"/>
        <w:gridCol w:w="1086"/>
      </w:tblGrid>
      <w:tr w:rsidR="00B919ED" w:rsidRPr="00A51779" w14:paraId="1A45803F"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 w:type="pct"/>
            <w:hideMark/>
          </w:tcPr>
          <w:p w14:paraId="50587001" w14:textId="77777777" w:rsidR="00B919ED" w:rsidRPr="00A51779" w:rsidRDefault="00B919ED" w:rsidP="00703316">
            <w:pPr>
              <w:spacing w:line="480" w:lineRule="auto"/>
              <w:jc w:val="both"/>
            </w:pPr>
            <w:r w:rsidRPr="00A51779">
              <w:t>State</w:t>
            </w:r>
          </w:p>
        </w:tc>
        <w:tc>
          <w:tcPr>
            <w:tcW w:w="1028" w:type="pct"/>
            <w:hideMark/>
          </w:tcPr>
          <w:p w14:paraId="6BCDC51B" w14:textId="166E7353"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history only</w:t>
            </w:r>
          </w:p>
        </w:tc>
        <w:tc>
          <w:tcPr>
            <w:tcW w:w="1577" w:type="pct"/>
            <w:hideMark/>
          </w:tcPr>
          <w:p w14:paraId="500F887B" w14:textId="1AE096B5"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history + operational</w:t>
            </w:r>
          </w:p>
        </w:tc>
        <w:tc>
          <w:tcPr>
            <w:tcW w:w="863" w:type="pct"/>
            <w:hideMark/>
          </w:tcPr>
          <w:p w14:paraId="7EF3B145"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statistic</w:t>
            </w:r>
          </w:p>
        </w:tc>
        <w:tc>
          <w:tcPr>
            <w:tcW w:w="517" w:type="pct"/>
            <w:hideMark/>
          </w:tcPr>
          <w:p w14:paraId="65E4950E"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c>
          <w:tcPr>
            <w:tcW w:w="580" w:type="pct"/>
            <w:hideMark/>
          </w:tcPr>
          <w:p w14:paraId="0D3736FF"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60B75DD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 w:type="pct"/>
            <w:hideMark/>
          </w:tcPr>
          <w:p w14:paraId="7755BFC8" w14:textId="77777777" w:rsidR="00B919ED" w:rsidRPr="00A51779" w:rsidRDefault="00B919ED" w:rsidP="00703316">
            <w:pPr>
              <w:spacing w:line="480" w:lineRule="auto"/>
              <w:jc w:val="both"/>
            </w:pPr>
            <w:r w:rsidRPr="00A51779">
              <w:t>TX</w:t>
            </w:r>
          </w:p>
        </w:tc>
        <w:tc>
          <w:tcPr>
            <w:tcW w:w="1028" w:type="pct"/>
            <w:hideMark/>
          </w:tcPr>
          <w:p w14:paraId="2FAB662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0.752</w:t>
            </w:r>
          </w:p>
        </w:tc>
        <w:tc>
          <w:tcPr>
            <w:tcW w:w="1577" w:type="pct"/>
            <w:hideMark/>
          </w:tcPr>
          <w:p w14:paraId="5D79A6E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0.765</w:t>
            </w:r>
          </w:p>
        </w:tc>
        <w:tc>
          <w:tcPr>
            <w:tcW w:w="863" w:type="pct"/>
            <w:hideMark/>
          </w:tcPr>
          <w:p w14:paraId="1F03C3A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+1.558</w:t>
            </w:r>
          </w:p>
        </w:tc>
        <w:tc>
          <w:tcPr>
            <w:tcW w:w="517" w:type="pct"/>
            <w:hideMark/>
          </w:tcPr>
          <w:p w14:paraId="6E74D2A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0.1198</w:t>
            </w:r>
          </w:p>
        </w:tc>
        <w:tc>
          <w:tcPr>
            <w:tcW w:w="580" w:type="pct"/>
            <w:hideMark/>
          </w:tcPr>
          <w:p w14:paraId="12C312D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0.3594</w:t>
            </w:r>
          </w:p>
        </w:tc>
      </w:tr>
      <w:tr w:rsidR="00B919ED" w:rsidRPr="00A51779" w14:paraId="3A6FF2D2" w14:textId="77777777" w:rsidTr="00450A61">
        <w:tc>
          <w:tcPr>
            <w:cnfStyle w:val="001000000000" w:firstRow="0" w:lastRow="0" w:firstColumn="1" w:lastColumn="0" w:oddVBand="0" w:evenVBand="0" w:oddHBand="0" w:evenHBand="0" w:firstRowFirstColumn="0" w:firstRowLastColumn="0" w:lastRowFirstColumn="0" w:lastRowLastColumn="0"/>
            <w:tcW w:w="434" w:type="pct"/>
            <w:hideMark/>
          </w:tcPr>
          <w:p w14:paraId="759895E3" w14:textId="77777777" w:rsidR="00B919ED" w:rsidRPr="00A51779" w:rsidRDefault="00B919ED" w:rsidP="00703316">
            <w:pPr>
              <w:spacing w:line="480" w:lineRule="auto"/>
              <w:jc w:val="both"/>
            </w:pPr>
            <w:r w:rsidRPr="00A51779">
              <w:t>PA</w:t>
            </w:r>
          </w:p>
        </w:tc>
        <w:tc>
          <w:tcPr>
            <w:tcW w:w="1028" w:type="pct"/>
            <w:hideMark/>
          </w:tcPr>
          <w:p w14:paraId="79BB24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0.926</w:t>
            </w:r>
          </w:p>
        </w:tc>
        <w:tc>
          <w:tcPr>
            <w:tcW w:w="1577" w:type="pct"/>
            <w:hideMark/>
          </w:tcPr>
          <w:p w14:paraId="1B84242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c>
          <w:tcPr>
            <w:tcW w:w="863" w:type="pct"/>
            <w:hideMark/>
          </w:tcPr>
          <w:p w14:paraId="376C1C2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−1.020</w:t>
            </w:r>
          </w:p>
        </w:tc>
        <w:tc>
          <w:tcPr>
            <w:tcW w:w="517" w:type="pct"/>
            <w:hideMark/>
          </w:tcPr>
          <w:p w14:paraId="4981B7A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0.3080</w:t>
            </w:r>
          </w:p>
        </w:tc>
        <w:tc>
          <w:tcPr>
            <w:tcW w:w="580" w:type="pct"/>
            <w:hideMark/>
          </w:tcPr>
          <w:p w14:paraId="10702CB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0.6160</w:t>
            </w:r>
          </w:p>
        </w:tc>
      </w:tr>
      <w:tr w:rsidR="00B919ED" w:rsidRPr="00A51779" w14:paraId="7CA53CB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 w:type="pct"/>
            <w:hideMark/>
          </w:tcPr>
          <w:p w14:paraId="73C33EAC" w14:textId="77777777" w:rsidR="00B919ED" w:rsidRPr="00A51779" w:rsidRDefault="00B919ED" w:rsidP="00703316">
            <w:pPr>
              <w:spacing w:line="480" w:lineRule="auto"/>
              <w:jc w:val="both"/>
            </w:pPr>
            <w:r w:rsidRPr="00A51779">
              <w:t>CA</w:t>
            </w:r>
          </w:p>
        </w:tc>
        <w:tc>
          <w:tcPr>
            <w:tcW w:w="1028" w:type="pct"/>
            <w:hideMark/>
          </w:tcPr>
          <w:p w14:paraId="24484B4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0.817</w:t>
            </w:r>
          </w:p>
        </w:tc>
        <w:tc>
          <w:tcPr>
            <w:tcW w:w="1577" w:type="pct"/>
            <w:hideMark/>
          </w:tcPr>
          <w:p w14:paraId="047C301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0.817</w:t>
            </w:r>
          </w:p>
        </w:tc>
        <w:tc>
          <w:tcPr>
            <w:tcW w:w="863" w:type="pct"/>
            <w:hideMark/>
          </w:tcPr>
          <w:p w14:paraId="2B4CD72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w:t>
            </w:r>
          </w:p>
        </w:tc>
        <w:tc>
          <w:tcPr>
            <w:tcW w:w="517" w:type="pct"/>
            <w:hideMark/>
          </w:tcPr>
          <w:p w14:paraId="3DE6472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0.9981</w:t>
            </w:r>
          </w:p>
        </w:tc>
        <w:tc>
          <w:tcPr>
            <w:tcW w:w="580" w:type="pct"/>
            <w:hideMark/>
          </w:tcPr>
          <w:p w14:paraId="4645BE6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0.9981</w:t>
            </w:r>
          </w:p>
        </w:tc>
      </w:tr>
    </w:tbl>
    <w:p w14:paraId="22B181AB" w14:textId="77777777" w:rsidR="00336CF0" w:rsidRPr="00A51779" w:rsidRDefault="00336CF0" w:rsidP="00703316">
      <w:pPr>
        <w:spacing w:line="480" w:lineRule="auto"/>
        <w:jc w:val="both"/>
        <w:rPr>
          <w:b/>
          <w:bCs/>
        </w:rPr>
      </w:pPr>
    </w:p>
    <w:p w14:paraId="6A17427F" w14:textId="6846DF6B" w:rsidR="00B919ED" w:rsidRPr="004219A9" w:rsidRDefault="00B919ED" w:rsidP="00703316">
      <w:pPr>
        <w:spacing w:line="480" w:lineRule="auto"/>
        <w:jc w:val="both"/>
      </w:pPr>
      <w:r w:rsidRPr="004219A9">
        <w:t xml:space="preserve">Table </w:t>
      </w:r>
      <w:r w:rsidR="004219A9" w:rsidRPr="004219A9">
        <w:t>3</w:t>
      </w:r>
      <w:r w:rsidRPr="004219A9">
        <w:t>. Rolling-origin feature-group ablation (ridge, one-day horizon, prospectively selected λ per group).</w:t>
      </w:r>
    </w:p>
    <w:tbl>
      <w:tblPr>
        <w:tblStyle w:val="PlainTable2"/>
        <w:tblW w:w="5000" w:type="pct"/>
        <w:tblLook w:val="04A0" w:firstRow="1" w:lastRow="0" w:firstColumn="1" w:lastColumn="0" w:noHBand="0" w:noVBand="1"/>
      </w:tblPr>
      <w:tblGrid>
        <w:gridCol w:w="1072"/>
        <w:gridCol w:w="5680"/>
        <w:gridCol w:w="1307"/>
        <w:gridCol w:w="1301"/>
      </w:tblGrid>
      <w:tr w:rsidR="00B919ED" w:rsidRPr="00A51779" w14:paraId="24C22FC3"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195EF24F" w14:textId="77777777" w:rsidR="00B919ED" w:rsidRPr="00A51779" w:rsidRDefault="00B919ED" w:rsidP="00703316">
            <w:pPr>
              <w:spacing w:line="480" w:lineRule="auto"/>
              <w:jc w:val="both"/>
            </w:pPr>
            <w:r w:rsidRPr="00A51779">
              <w:t>State</w:t>
            </w:r>
          </w:p>
        </w:tc>
        <w:tc>
          <w:tcPr>
            <w:tcW w:w="3034" w:type="pct"/>
            <w:hideMark/>
          </w:tcPr>
          <w:p w14:paraId="6A8270F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Feature group</w:t>
            </w:r>
          </w:p>
        </w:tc>
        <w:tc>
          <w:tcPr>
            <w:tcW w:w="698" w:type="pct"/>
            <w:hideMark/>
          </w:tcPr>
          <w:p w14:paraId="29341995"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 feat.</w:t>
            </w:r>
          </w:p>
        </w:tc>
        <w:tc>
          <w:tcPr>
            <w:tcW w:w="695" w:type="pct"/>
            <w:hideMark/>
          </w:tcPr>
          <w:p w14:paraId="4EC633E8" w14:textId="2DCE53BA"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p>
        </w:tc>
      </w:tr>
      <w:tr w:rsidR="00B919ED" w:rsidRPr="00A51779" w14:paraId="3B26336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48AF1592" w14:textId="77777777" w:rsidR="00B919ED" w:rsidRPr="00A51779" w:rsidRDefault="00B919ED" w:rsidP="00703316">
            <w:pPr>
              <w:spacing w:line="480" w:lineRule="auto"/>
              <w:jc w:val="both"/>
            </w:pPr>
            <w:r w:rsidRPr="00A51779">
              <w:t>TX</w:t>
            </w:r>
          </w:p>
        </w:tc>
        <w:tc>
          <w:tcPr>
            <w:tcW w:w="3034" w:type="pct"/>
            <w:hideMark/>
          </w:tcPr>
          <w:p w14:paraId="7FDB51A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Calendar only</w:t>
            </w:r>
          </w:p>
        </w:tc>
        <w:tc>
          <w:tcPr>
            <w:tcW w:w="698" w:type="pct"/>
            <w:hideMark/>
          </w:tcPr>
          <w:p w14:paraId="1BD9AA0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695" w:type="pct"/>
            <w:hideMark/>
          </w:tcPr>
          <w:p w14:paraId="085B8C6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0.401</w:t>
            </w:r>
          </w:p>
        </w:tc>
      </w:tr>
      <w:tr w:rsidR="00B919ED" w:rsidRPr="00A51779" w14:paraId="2B67304C"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438F6E35" w14:textId="77777777" w:rsidR="00B919ED" w:rsidRPr="00A51779" w:rsidRDefault="00B919ED" w:rsidP="00703316">
            <w:pPr>
              <w:spacing w:line="480" w:lineRule="auto"/>
              <w:jc w:val="both"/>
            </w:pPr>
            <w:r w:rsidRPr="00A51779">
              <w:t>TX</w:t>
            </w:r>
          </w:p>
        </w:tc>
        <w:tc>
          <w:tcPr>
            <w:tcW w:w="3034" w:type="pct"/>
            <w:hideMark/>
          </w:tcPr>
          <w:p w14:paraId="7083B507" w14:textId="2FCB9FAC"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CO</w:t>
            </w:r>
            <w:r w:rsidR="00DF4A43" w:rsidRPr="00A51779">
              <w:rPr>
                <w:vertAlign w:val="subscript"/>
              </w:rPr>
              <w:t>2</w:t>
            </w:r>
            <w:r w:rsidRPr="00A51779">
              <w:t xml:space="preserve"> history only (incl. today)</w:t>
            </w:r>
          </w:p>
        </w:tc>
        <w:tc>
          <w:tcPr>
            <w:tcW w:w="698" w:type="pct"/>
            <w:hideMark/>
          </w:tcPr>
          <w:p w14:paraId="07C4BC3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w:t>
            </w:r>
          </w:p>
        </w:tc>
        <w:tc>
          <w:tcPr>
            <w:tcW w:w="695" w:type="pct"/>
            <w:hideMark/>
          </w:tcPr>
          <w:p w14:paraId="2175486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0.752</w:t>
            </w:r>
          </w:p>
        </w:tc>
      </w:tr>
      <w:tr w:rsidR="00B919ED" w:rsidRPr="00A51779" w14:paraId="0DD3AF3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30B492C6" w14:textId="77777777" w:rsidR="00B919ED" w:rsidRPr="00A51779" w:rsidRDefault="00B919ED" w:rsidP="00703316">
            <w:pPr>
              <w:spacing w:line="480" w:lineRule="auto"/>
              <w:jc w:val="both"/>
            </w:pPr>
            <w:r w:rsidRPr="00A51779">
              <w:lastRenderedPageBreak/>
              <w:t>TX</w:t>
            </w:r>
          </w:p>
        </w:tc>
        <w:tc>
          <w:tcPr>
            <w:tcW w:w="3034" w:type="pct"/>
            <w:hideMark/>
          </w:tcPr>
          <w:p w14:paraId="1A6F94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Operational only</w:t>
            </w:r>
          </w:p>
        </w:tc>
        <w:tc>
          <w:tcPr>
            <w:tcW w:w="698" w:type="pct"/>
            <w:hideMark/>
          </w:tcPr>
          <w:p w14:paraId="45A0621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w:t>
            </w:r>
          </w:p>
        </w:tc>
        <w:tc>
          <w:tcPr>
            <w:tcW w:w="695" w:type="pct"/>
            <w:hideMark/>
          </w:tcPr>
          <w:p w14:paraId="34DFEEA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0.723</w:t>
            </w:r>
          </w:p>
        </w:tc>
      </w:tr>
      <w:tr w:rsidR="00B919ED" w:rsidRPr="00A51779" w14:paraId="04DBF496"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0CF5F1C8" w14:textId="77777777" w:rsidR="00B919ED" w:rsidRPr="00A51779" w:rsidRDefault="00B919ED" w:rsidP="00703316">
            <w:pPr>
              <w:spacing w:line="480" w:lineRule="auto"/>
              <w:jc w:val="both"/>
            </w:pPr>
            <w:r w:rsidRPr="00A51779">
              <w:t>TX</w:t>
            </w:r>
          </w:p>
        </w:tc>
        <w:tc>
          <w:tcPr>
            <w:tcW w:w="3034" w:type="pct"/>
            <w:hideMark/>
          </w:tcPr>
          <w:p w14:paraId="5249317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History + operational</w:t>
            </w:r>
          </w:p>
        </w:tc>
        <w:tc>
          <w:tcPr>
            <w:tcW w:w="698" w:type="pct"/>
            <w:hideMark/>
          </w:tcPr>
          <w:p w14:paraId="5CFC6C3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19</w:t>
            </w:r>
          </w:p>
        </w:tc>
        <w:tc>
          <w:tcPr>
            <w:tcW w:w="695" w:type="pct"/>
            <w:hideMark/>
          </w:tcPr>
          <w:p w14:paraId="5AD051B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0.765</w:t>
            </w:r>
          </w:p>
        </w:tc>
      </w:tr>
      <w:tr w:rsidR="00B919ED" w:rsidRPr="00A51779" w14:paraId="3C1DB36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0542D1D2" w14:textId="77777777" w:rsidR="00B919ED" w:rsidRPr="00A51779" w:rsidRDefault="00B919ED" w:rsidP="00703316">
            <w:pPr>
              <w:spacing w:line="480" w:lineRule="auto"/>
              <w:jc w:val="both"/>
            </w:pPr>
            <w:r w:rsidRPr="00A51779">
              <w:t>TX</w:t>
            </w:r>
          </w:p>
        </w:tc>
        <w:tc>
          <w:tcPr>
            <w:tcW w:w="3034" w:type="pct"/>
            <w:hideMark/>
          </w:tcPr>
          <w:p w14:paraId="6F78290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Current-emissions transforms only</w:t>
            </w:r>
          </w:p>
        </w:tc>
        <w:tc>
          <w:tcPr>
            <w:tcW w:w="698" w:type="pct"/>
            <w:hideMark/>
          </w:tcPr>
          <w:p w14:paraId="6FCAACC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w:t>
            </w:r>
          </w:p>
        </w:tc>
        <w:tc>
          <w:tcPr>
            <w:tcW w:w="695" w:type="pct"/>
            <w:hideMark/>
          </w:tcPr>
          <w:p w14:paraId="4D54751D" w14:textId="37CCDA0C"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0.127</w:t>
            </w:r>
          </w:p>
        </w:tc>
      </w:tr>
      <w:tr w:rsidR="00B919ED" w:rsidRPr="00A51779" w14:paraId="1FD584E2"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5A773B8C" w14:textId="77777777" w:rsidR="00B919ED" w:rsidRPr="00A51779" w:rsidRDefault="00B919ED" w:rsidP="00703316">
            <w:pPr>
              <w:spacing w:line="480" w:lineRule="auto"/>
              <w:jc w:val="both"/>
            </w:pPr>
            <w:r w:rsidRPr="00A51779">
              <w:t>TX</w:t>
            </w:r>
          </w:p>
        </w:tc>
        <w:tc>
          <w:tcPr>
            <w:tcW w:w="3034" w:type="pct"/>
            <w:hideMark/>
          </w:tcPr>
          <w:p w14:paraId="2B34434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Full (history + operational + calendar)</w:t>
            </w:r>
          </w:p>
        </w:tc>
        <w:tc>
          <w:tcPr>
            <w:tcW w:w="698" w:type="pct"/>
            <w:hideMark/>
          </w:tcPr>
          <w:p w14:paraId="0F04BC7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27</w:t>
            </w:r>
          </w:p>
        </w:tc>
        <w:tc>
          <w:tcPr>
            <w:tcW w:w="695" w:type="pct"/>
            <w:hideMark/>
          </w:tcPr>
          <w:p w14:paraId="43BF601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r>
      <w:tr w:rsidR="00B919ED" w:rsidRPr="00A51779" w14:paraId="5716143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D578C9E" w14:textId="77777777" w:rsidR="00B919ED" w:rsidRPr="00A51779" w:rsidRDefault="00B919ED" w:rsidP="00703316">
            <w:pPr>
              <w:spacing w:line="480" w:lineRule="auto"/>
              <w:jc w:val="both"/>
            </w:pPr>
            <w:r w:rsidRPr="00A51779">
              <w:t>PA</w:t>
            </w:r>
          </w:p>
        </w:tc>
        <w:tc>
          <w:tcPr>
            <w:tcW w:w="3034" w:type="pct"/>
            <w:hideMark/>
          </w:tcPr>
          <w:p w14:paraId="02BA844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Calendar only</w:t>
            </w:r>
          </w:p>
        </w:tc>
        <w:tc>
          <w:tcPr>
            <w:tcW w:w="698" w:type="pct"/>
            <w:hideMark/>
          </w:tcPr>
          <w:p w14:paraId="487193C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695" w:type="pct"/>
            <w:hideMark/>
          </w:tcPr>
          <w:p w14:paraId="483FEA8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0.003</w:t>
            </w:r>
          </w:p>
        </w:tc>
      </w:tr>
      <w:tr w:rsidR="00B919ED" w:rsidRPr="00A51779" w14:paraId="16DDBEE9"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05125887" w14:textId="77777777" w:rsidR="00B919ED" w:rsidRPr="00A51779" w:rsidRDefault="00B919ED" w:rsidP="00703316">
            <w:pPr>
              <w:spacing w:line="480" w:lineRule="auto"/>
              <w:jc w:val="both"/>
            </w:pPr>
            <w:r w:rsidRPr="00A51779">
              <w:t>PA</w:t>
            </w:r>
          </w:p>
        </w:tc>
        <w:tc>
          <w:tcPr>
            <w:tcW w:w="3034" w:type="pct"/>
            <w:hideMark/>
          </w:tcPr>
          <w:p w14:paraId="2BDADEA7" w14:textId="4D41804E"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CO</w:t>
            </w:r>
            <w:r w:rsidR="00DF4A43" w:rsidRPr="00A51779">
              <w:rPr>
                <w:vertAlign w:val="subscript"/>
              </w:rPr>
              <w:t>2</w:t>
            </w:r>
            <w:r w:rsidRPr="00A51779">
              <w:t xml:space="preserve"> history only (incl. today)</w:t>
            </w:r>
          </w:p>
        </w:tc>
        <w:tc>
          <w:tcPr>
            <w:tcW w:w="698" w:type="pct"/>
            <w:hideMark/>
          </w:tcPr>
          <w:p w14:paraId="069C7B9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w:t>
            </w:r>
          </w:p>
        </w:tc>
        <w:tc>
          <w:tcPr>
            <w:tcW w:w="695" w:type="pct"/>
            <w:hideMark/>
          </w:tcPr>
          <w:p w14:paraId="3C3D4DC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0.926</w:t>
            </w:r>
          </w:p>
        </w:tc>
      </w:tr>
      <w:tr w:rsidR="00B919ED" w:rsidRPr="00A51779" w14:paraId="7658B54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3F1AE89" w14:textId="77777777" w:rsidR="00B919ED" w:rsidRPr="00A51779" w:rsidRDefault="00B919ED" w:rsidP="00703316">
            <w:pPr>
              <w:spacing w:line="480" w:lineRule="auto"/>
              <w:jc w:val="both"/>
            </w:pPr>
            <w:r w:rsidRPr="00A51779">
              <w:t>PA</w:t>
            </w:r>
          </w:p>
        </w:tc>
        <w:tc>
          <w:tcPr>
            <w:tcW w:w="3034" w:type="pct"/>
            <w:hideMark/>
          </w:tcPr>
          <w:p w14:paraId="79C198F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Operational only</w:t>
            </w:r>
          </w:p>
        </w:tc>
        <w:tc>
          <w:tcPr>
            <w:tcW w:w="698" w:type="pct"/>
            <w:hideMark/>
          </w:tcPr>
          <w:p w14:paraId="1315CB0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w:t>
            </w:r>
          </w:p>
        </w:tc>
        <w:tc>
          <w:tcPr>
            <w:tcW w:w="695" w:type="pct"/>
            <w:hideMark/>
          </w:tcPr>
          <w:p w14:paraId="461A34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0.913</w:t>
            </w:r>
          </w:p>
        </w:tc>
      </w:tr>
      <w:tr w:rsidR="00B919ED" w:rsidRPr="00A51779" w14:paraId="2BC74477"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442FFDB3" w14:textId="77777777" w:rsidR="00B919ED" w:rsidRPr="00A51779" w:rsidRDefault="00B919ED" w:rsidP="00703316">
            <w:pPr>
              <w:spacing w:line="480" w:lineRule="auto"/>
              <w:jc w:val="both"/>
            </w:pPr>
            <w:r w:rsidRPr="00A51779">
              <w:t>PA</w:t>
            </w:r>
          </w:p>
        </w:tc>
        <w:tc>
          <w:tcPr>
            <w:tcW w:w="3034" w:type="pct"/>
            <w:hideMark/>
          </w:tcPr>
          <w:p w14:paraId="002494D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History + operational</w:t>
            </w:r>
          </w:p>
        </w:tc>
        <w:tc>
          <w:tcPr>
            <w:tcW w:w="698" w:type="pct"/>
            <w:hideMark/>
          </w:tcPr>
          <w:p w14:paraId="166DF92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19</w:t>
            </w:r>
          </w:p>
        </w:tc>
        <w:tc>
          <w:tcPr>
            <w:tcW w:w="695" w:type="pct"/>
            <w:hideMark/>
          </w:tcPr>
          <w:p w14:paraId="13FB53B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r>
      <w:tr w:rsidR="00B919ED" w:rsidRPr="00A51779" w14:paraId="2605753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169A62FB" w14:textId="77777777" w:rsidR="00B919ED" w:rsidRPr="00A51779" w:rsidRDefault="00B919ED" w:rsidP="00703316">
            <w:pPr>
              <w:spacing w:line="480" w:lineRule="auto"/>
              <w:jc w:val="both"/>
            </w:pPr>
            <w:r w:rsidRPr="00A51779">
              <w:t>PA</w:t>
            </w:r>
          </w:p>
        </w:tc>
        <w:tc>
          <w:tcPr>
            <w:tcW w:w="3034" w:type="pct"/>
            <w:hideMark/>
          </w:tcPr>
          <w:p w14:paraId="3BD3E3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Current-emissions transforms only</w:t>
            </w:r>
          </w:p>
        </w:tc>
        <w:tc>
          <w:tcPr>
            <w:tcW w:w="698" w:type="pct"/>
            <w:hideMark/>
          </w:tcPr>
          <w:p w14:paraId="4AC7539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w:t>
            </w:r>
          </w:p>
        </w:tc>
        <w:tc>
          <w:tcPr>
            <w:tcW w:w="695" w:type="pct"/>
            <w:hideMark/>
          </w:tcPr>
          <w:p w14:paraId="5BDF712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0.429</w:t>
            </w:r>
          </w:p>
        </w:tc>
      </w:tr>
      <w:tr w:rsidR="00B919ED" w:rsidRPr="00A51779" w14:paraId="2CDDDE52"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3A6F46E1" w14:textId="77777777" w:rsidR="00B919ED" w:rsidRPr="00A51779" w:rsidRDefault="00B919ED" w:rsidP="00703316">
            <w:pPr>
              <w:spacing w:line="480" w:lineRule="auto"/>
              <w:jc w:val="both"/>
            </w:pPr>
            <w:r w:rsidRPr="00A51779">
              <w:t>PA</w:t>
            </w:r>
          </w:p>
        </w:tc>
        <w:tc>
          <w:tcPr>
            <w:tcW w:w="3034" w:type="pct"/>
            <w:hideMark/>
          </w:tcPr>
          <w:p w14:paraId="59FEF58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Full (history + operational + calendar)</w:t>
            </w:r>
          </w:p>
        </w:tc>
        <w:tc>
          <w:tcPr>
            <w:tcW w:w="698" w:type="pct"/>
            <w:hideMark/>
          </w:tcPr>
          <w:p w14:paraId="251E73C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27</w:t>
            </w:r>
          </w:p>
        </w:tc>
        <w:tc>
          <w:tcPr>
            <w:tcW w:w="695" w:type="pct"/>
            <w:hideMark/>
          </w:tcPr>
          <w:p w14:paraId="1C4C0EB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w:t>
            </w:r>
          </w:p>
        </w:tc>
      </w:tr>
      <w:tr w:rsidR="00B919ED" w:rsidRPr="00A51779" w14:paraId="34E2179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6A6C714" w14:textId="77777777" w:rsidR="00B919ED" w:rsidRPr="00A51779" w:rsidRDefault="00B919ED" w:rsidP="00703316">
            <w:pPr>
              <w:spacing w:line="480" w:lineRule="auto"/>
              <w:jc w:val="both"/>
            </w:pPr>
            <w:r w:rsidRPr="00A51779">
              <w:t>CA</w:t>
            </w:r>
          </w:p>
        </w:tc>
        <w:tc>
          <w:tcPr>
            <w:tcW w:w="3034" w:type="pct"/>
            <w:hideMark/>
          </w:tcPr>
          <w:p w14:paraId="57303B8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Calendar only</w:t>
            </w:r>
          </w:p>
        </w:tc>
        <w:tc>
          <w:tcPr>
            <w:tcW w:w="698" w:type="pct"/>
            <w:hideMark/>
          </w:tcPr>
          <w:p w14:paraId="7069A90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695" w:type="pct"/>
            <w:hideMark/>
          </w:tcPr>
          <w:p w14:paraId="20854CD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0.230</w:t>
            </w:r>
          </w:p>
        </w:tc>
      </w:tr>
      <w:tr w:rsidR="00B919ED" w:rsidRPr="00A51779" w14:paraId="7DC0381F"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60AFF83C" w14:textId="77777777" w:rsidR="00B919ED" w:rsidRPr="00A51779" w:rsidRDefault="00B919ED" w:rsidP="00703316">
            <w:pPr>
              <w:spacing w:line="480" w:lineRule="auto"/>
              <w:jc w:val="both"/>
            </w:pPr>
            <w:r w:rsidRPr="00A51779">
              <w:t>CA</w:t>
            </w:r>
          </w:p>
        </w:tc>
        <w:tc>
          <w:tcPr>
            <w:tcW w:w="3034" w:type="pct"/>
            <w:hideMark/>
          </w:tcPr>
          <w:p w14:paraId="59D303B7" w14:textId="1B8F703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CO</w:t>
            </w:r>
            <w:r w:rsidR="00DF4A43" w:rsidRPr="00A51779">
              <w:rPr>
                <w:vertAlign w:val="subscript"/>
              </w:rPr>
              <w:t>2</w:t>
            </w:r>
            <w:r w:rsidRPr="00A51779">
              <w:t xml:space="preserve"> history only (incl. today)</w:t>
            </w:r>
          </w:p>
        </w:tc>
        <w:tc>
          <w:tcPr>
            <w:tcW w:w="698" w:type="pct"/>
            <w:hideMark/>
          </w:tcPr>
          <w:p w14:paraId="0F426F3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w:t>
            </w:r>
          </w:p>
        </w:tc>
        <w:tc>
          <w:tcPr>
            <w:tcW w:w="695" w:type="pct"/>
            <w:hideMark/>
          </w:tcPr>
          <w:p w14:paraId="02B1E58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0.817</w:t>
            </w:r>
          </w:p>
        </w:tc>
      </w:tr>
      <w:tr w:rsidR="00B919ED" w:rsidRPr="00A51779" w14:paraId="6854C20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235FEAA" w14:textId="77777777" w:rsidR="00B919ED" w:rsidRPr="00A51779" w:rsidRDefault="00B919ED" w:rsidP="00703316">
            <w:pPr>
              <w:spacing w:line="480" w:lineRule="auto"/>
              <w:jc w:val="both"/>
            </w:pPr>
            <w:r w:rsidRPr="00A51779">
              <w:t>CA</w:t>
            </w:r>
          </w:p>
        </w:tc>
        <w:tc>
          <w:tcPr>
            <w:tcW w:w="3034" w:type="pct"/>
            <w:hideMark/>
          </w:tcPr>
          <w:p w14:paraId="7C77A4D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Operational only</w:t>
            </w:r>
          </w:p>
        </w:tc>
        <w:tc>
          <w:tcPr>
            <w:tcW w:w="698" w:type="pct"/>
            <w:hideMark/>
          </w:tcPr>
          <w:p w14:paraId="14FB80D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w:t>
            </w:r>
          </w:p>
        </w:tc>
        <w:tc>
          <w:tcPr>
            <w:tcW w:w="695" w:type="pct"/>
            <w:hideMark/>
          </w:tcPr>
          <w:p w14:paraId="0F8B269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0.785</w:t>
            </w:r>
          </w:p>
        </w:tc>
      </w:tr>
      <w:tr w:rsidR="00B919ED" w:rsidRPr="00A51779" w14:paraId="527B1B52"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16A374F6" w14:textId="77777777" w:rsidR="00B919ED" w:rsidRPr="00A51779" w:rsidRDefault="00B919ED" w:rsidP="00703316">
            <w:pPr>
              <w:spacing w:line="480" w:lineRule="auto"/>
              <w:jc w:val="both"/>
            </w:pPr>
            <w:r w:rsidRPr="00A51779">
              <w:t>CA</w:t>
            </w:r>
          </w:p>
        </w:tc>
        <w:tc>
          <w:tcPr>
            <w:tcW w:w="3034" w:type="pct"/>
            <w:hideMark/>
          </w:tcPr>
          <w:p w14:paraId="17CAB79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History + operational</w:t>
            </w:r>
          </w:p>
        </w:tc>
        <w:tc>
          <w:tcPr>
            <w:tcW w:w="698" w:type="pct"/>
            <w:hideMark/>
          </w:tcPr>
          <w:p w14:paraId="56F2EF5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19</w:t>
            </w:r>
          </w:p>
        </w:tc>
        <w:tc>
          <w:tcPr>
            <w:tcW w:w="695" w:type="pct"/>
            <w:hideMark/>
          </w:tcPr>
          <w:p w14:paraId="40D5506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0.817</w:t>
            </w:r>
          </w:p>
        </w:tc>
      </w:tr>
      <w:tr w:rsidR="00B919ED" w:rsidRPr="00A51779" w14:paraId="79A1F6C9"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7D3FBB1" w14:textId="77777777" w:rsidR="00B919ED" w:rsidRPr="00A51779" w:rsidRDefault="00B919ED" w:rsidP="00703316">
            <w:pPr>
              <w:spacing w:line="480" w:lineRule="auto"/>
              <w:jc w:val="both"/>
            </w:pPr>
            <w:r w:rsidRPr="00A51779">
              <w:t>CA</w:t>
            </w:r>
          </w:p>
        </w:tc>
        <w:tc>
          <w:tcPr>
            <w:tcW w:w="3034" w:type="pct"/>
            <w:hideMark/>
          </w:tcPr>
          <w:p w14:paraId="7A6BAC8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Current-emissions transforms only</w:t>
            </w:r>
          </w:p>
        </w:tc>
        <w:tc>
          <w:tcPr>
            <w:tcW w:w="698" w:type="pct"/>
            <w:hideMark/>
          </w:tcPr>
          <w:p w14:paraId="0FC5F70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w:t>
            </w:r>
          </w:p>
        </w:tc>
        <w:tc>
          <w:tcPr>
            <w:tcW w:w="695" w:type="pct"/>
            <w:hideMark/>
          </w:tcPr>
          <w:p w14:paraId="38A3A94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0.108</w:t>
            </w:r>
          </w:p>
        </w:tc>
      </w:tr>
      <w:tr w:rsidR="00B919ED" w:rsidRPr="00A51779" w14:paraId="1D865B05"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55856FBC" w14:textId="77777777" w:rsidR="00B919ED" w:rsidRPr="00A51779" w:rsidRDefault="00B919ED" w:rsidP="00703316">
            <w:pPr>
              <w:spacing w:line="480" w:lineRule="auto"/>
              <w:jc w:val="both"/>
            </w:pPr>
            <w:r w:rsidRPr="00A51779">
              <w:t>CA</w:t>
            </w:r>
          </w:p>
        </w:tc>
        <w:tc>
          <w:tcPr>
            <w:tcW w:w="3034" w:type="pct"/>
            <w:hideMark/>
          </w:tcPr>
          <w:p w14:paraId="7B1C5CBB" w14:textId="23D7F952"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 xml:space="preserve">Full (history + operational </w:t>
            </w:r>
            <w:r w:rsidR="00DF4A43" w:rsidRPr="00A51779">
              <w:t>+</w:t>
            </w:r>
            <w:r w:rsidRPr="00A51779">
              <w:t xml:space="preserve"> calendar)</w:t>
            </w:r>
          </w:p>
        </w:tc>
        <w:tc>
          <w:tcPr>
            <w:tcW w:w="698" w:type="pct"/>
            <w:hideMark/>
          </w:tcPr>
          <w:p w14:paraId="0A1E5F2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27</w:t>
            </w:r>
          </w:p>
        </w:tc>
        <w:tc>
          <w:tcPr>
            <w:tcW w:w="695" w:type="pct"/>
            <w:hideMark/>
          </w:tcPr>
          <w:p w14:paraId="4A363B1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r>
    </w:tbl>
    <w:p w14:paraId="1589F36D" w14:textId="77777777" w:rsidR="00450A61" w:rsidRPr="00A51779" w:rsidRDefault="00450A61" w:rsidP="00703316">
      <w:pPr>
        <w:spacing w:before="160" w:line="480" w:lineRule="auto"/>
        <w:jc w:val="both"/>
      </w:pPr>
      <w:r w:rsidRPr="00A51779">
        <w:rPr>
          <w:noProof/>
        </w:rPr>
        <w:drawing>
          <wp:inline distT="0" distB="0" distL="0" distR="0" wp14:anchorId="55C4F6C0" wp14:editId="003B0682">
            <wp:extent cx="5334000" cy="2133600"/>
            <wp:effectExtent l="0" t="0" r="0" b="0"/>
            <wp:docPr id="1242904544" name="Picture 124290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33600"/>
                    </a:xfrm>
                    <a:prstGeom prst="rect">
                      <a:avLst/>
                    </a:prstGeom>
                  </pic:spPr>
                </pic:pic>
              </a:graphicData>
            </a:graphic>
          </wp:inline>
        </w:drawing>
      </w:r>
    </w:p>
    <w:p w14:paraId="684C64D4" w14:textId="336C09D2" w:rsidR="00450A61" w:rsidRPr="00A51779" w:rsidRDefault="00450A61" w:rsidP="00703316">
      <w:pPr>
        <w:spacing w:line="480" w:lineRule="auto"/>
        <w:jc w:val="both"/>
      </w:pPr>
      <w:r w:rsidRPr="00A51779">
        <w:lastRenderedPageBreak/>
        <w:t>Fig</w:t>
      </w:r>
      <w:r w:rsidR="005D03C1">
        <w:t>.</w:t>
      </w:r>
      <w:r w:rsidRPr="00A51779">
        <w:t xml:space="preserve"> </w:t>
      </w:r>
      <w:r w:rsidR="005D03C1">
        <w:t>4</w:t>
      </w:r>
      <w:r w:rsidRPr="00A51779">
        <w:t>. Feature-group ablation under rolling-origin evaluation</w:t>
      </w:r>
      <w:r w:rsidR="00D076A3" w:rsidRPr="00A51779">
        <w:t xml:space="preserve"> for Texas, Pennsylvania, and California</w:t>
      </w:r>
      <w:r w:rsidRPr="00A51779">
        <w:t>.</w:t>
      </w:r>
    </w:p>
    <w:p w14:paraId="3406B9EB" w14:textId="77777777" w:rsidR="00B919ED" w:rsidRPr="00A51779" w:rsidRDefault="00B919ED" w:rsidP="00703316">
      <w:pPr>
        <w:spacing w:line="480" w:lineRule="auto"/>
        <w:jc w:val="both"/>
      </w:pPr>
      <w:r w:rsidRPr="00A51779">
        <w:t xml:space="preserve">The full specification was not invariably the best out-of-sample feature grouping. In TX, for example, the history-plus-operational subset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=0.765</m:t>
        </m:r>
      </m:oMath>
      <w:r w:rsidRPr="00A51779">
        <w:t>, compared with 0.745 for the full specification. Calendar variables therefore provided no additional out-of-sample benefit in TX once emissions history and operational variables were already available and slightly reduced rolling-origin skill under this specification. Because each feature subset received its own independently selected regularization parameter, part of this difference may also reflect variation in the selected regularization strength for the higher-dimensional full model rather than an adverse contribution from the calendar variables themselves. The available analysis does not separate these two effects.</w:t>
      </w:r>
    </w:p>
    <w:p w14:paraId="01173415" w14:textId="0920155C" w:rsidR="00B919ED" w:rsidRPr="00A51779" w:rsidRDefault="00B919ED" w:rsidP="00703316">
      <w:pPr>
        <w:spacing w:line="480" w:lineRule="auto"/>
        <w:jc w:val="both"/>
      </w:pPr>
      <w:r w:rsidRPr="00A51779">
        <w:t>Taken together, the ablation indicates that recent CO</w:t>
      </w:r>
      <w:r w:rsidR="00DF4A43" w:rsidRPr="00A51779">
        <w:rPr>
          <w:vertAlign w:val="subscript"/>
        </w:rPr>
        <w:t>2</w:t>
      </w:r>
      <w:r w:rsidRPr="00A51779">
        <w:t xml:space="preserve"> history accounts for the majority of forecastable one-day signal in all three states. Target-independent operational data contain substantial predictive information when considered alone, but their incremental contribution after emissions history is included is not statistically distinguishable from sampling variation. This is consistent with the two information sources being overlapping manifestations of the same underlying demand, dispatch, and generation processes rather than independent sources of short-term forecasting skill.</w:t>
      </w:r>
    </w:p>
    <w:p w14:paraId="35611CB0" w14:textId="77777777" w:rsidR="00336CF0" w:rsidRPr="00A51779" w:rsidRDefault="00336CF0" w:rsidP="00703316">
      <w:pPr>
        <w:spacing w:line="480" w:lineRule="auto"/>
        <w:jc w:val="both"/>
      </w:pPr>
    </w:p>
    <w:p w14:paraId="7235B695" w14:textId="77777777" w:rsidR="00B919ED" w:rsidRPr="00A51779" w:rsidRDefault="00B919ED" w:rsidP="00703316">
      <w:pPr>
        <w:spacing w:line="480" w:lineRule="auto"/>
        <w:jc w:val="both"/>
        <w:outlineLvl w:val="1"/>
        <w:rPr>
          <w:b/>
          <w:bCs/>
        </w:rPr>
      </w:pPr>
      <w:r w:rsidRPr="00A51779">
        <w:rPr>
          <w:b/>
          <w:bCs/>
        </w:rPr>
        <w:t>3.2 Evaluation design and the primary three-state comparison</w:t>
      </w:r>
    </w:p>
    <w:p w14:paraId="11AA71BC" w14:textId="0E5B0C62" w:rsidR="00B919ED" w:rsidRPr="00A51779" w:rsidRDefault="00B919ED" w:rsidP="00703316">
      <w:pPr>
        <w:spacing w:line="480" w:lineRule="auto"/>
        <w:jc w:val="both"/>
      </w:pPr>
      <w:r w:rsidRPr="00A51779">
        <w:t xml:space="preserve">The influence of evaluation design was first examined by comparing the fixed chronological split with the expanding-window rolling-origin framework. As shown in Table 3, point estimates for ridge and HGB were generally similar across the two designs, with differences of approximately </w:t>
      </w:r>
      <w:r w:rsidRPr="00A51779">
        <w:lastRenderedPageBreak/>
        <w:t xml:space="preserve">0.03–0.06 </w:t>
      </w:r>
      <w:r w:rsidR="00DF4A43" w:rsidRPr="00A51779">
        <w:t>R</w:t>
      </w:r>
      <w:r w:rsidR="00DF4A43" w:rsidRPr="00A51779">
        <w:rPr>
          <w:vertAlign w:val="superscript"/>
        </w:rPr>
        <w:t>2</w:t>
      </w:r>
      <w:r w:rsidR="00DF4A43" w:rsidRPr="00A51779">
        <w:t xml:space="preserve"> </w:t>
      </w:r>
      <w:r w:rsidRPr="00A51779">
        <w:t>or less in most cases. This superficial similarity, however, did not imply that the two designs necessarily supported the same inferential conclusions.</w:t>
      </w:r>
    </w:p>
    <w:p w14:paraId="52DA050C" w14:textId="53463419" w:rsidR="00B919ED" w:rsidRPr="004219A9" w:rsidRDefault="00B919ED" w:rsidP="00703316">
      <w:pPr>
        <w:spacing w:line="480" w:lineRule="auto"/>
        <w:jc w:val="both"/>
      </w:pPr>
      <w:r w:rsidRPr="004219A9">
        <w:t xml:space="preserve">Table </w:t>
      </w:r>
      <w:r w:rsidR="004219A9" w:rsidRPr="004219A9">
        <w:t>4</w:t>
      </w:r>
      <w:r w:rsidRPr="004219A9">
        <w:t>. One-day-ahead R</w:t>
      </w:r>
      <w:r w:rsidR="00DF4A43" w:rsidRPr="004219A9">
        <w:rPr>
          <w:vertAlign w:val="superscript"/>
        </w:rPr>
        <w:t>2</w:t>
      </w:r>
      <w:r w:rsidRPr="004219A9">
        <w:t xml:space="preserve"> under single-split and rolling-origin evaluation.</w:t>
      </w:r>
    </w:p>
    <w:tbl>
      <w:tblPr>
        <w:tblStyle w:val="PlainTable2"/>
        <w:tblW w:w="5000" w:type="pct"/>
        <w:tblLook w:val="04A0" w:firstRow="1" w:lastRow="0" w:firstColumn="1" w:lastColumn="0" w:noHBand="0" w:noVBand="1"/>
      </w:tblPr>
      <w:tblGrid>
        <w:gridCol w:w="860"/>
        <w:gridCol w:w="1735"/>
        <w:gridCol w:w="3137"/>
        <w:gridCol w:w="3628"/>
      </w:tblGrid>
      <w:tr w:rsidR="00B919ED" w:rsidRPr="00A51779" w14:paraId="70FE3DFE"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11008FB4" w14:textId="77777777" w:rsidR="00B919ED" w:rsidRPr="00A51779" w:rsidRDefault="00B919ED" w:rsidP="00703316">
            <w:pPr>
              <w:spacing w:line="480" w:lineRule="auto"/>
              <w:jc w:val="both"/>
            </w:pPr>
            <w:r w:rsidRPr="00A51779">
              <w:t>State</w:t>
            </w:r>
          </w:p>
        </w:tc>
        <w:tc>
          <w:tcPr>
            <w:tcW w:w="904" w:type="pct"/>
            <w:hideMark/>
          </w:tcPr>
          <w:p w14:paraId="5D95A6E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Model</w:t>
            </w:r>
          </w:p>
        </w:tc>
        <w:tc>
          <w:tcPr>
            <w:tcW w:w="1635" w:type="pct"/>
            <w:hideMark/>
          </w:tcPr>
          <w:p w14:paraId="51310D2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Single split (n=161)</w:t>
            </w:r>
          </w:p>
        </w:tc>
        <w:tc>
          <w:tcPr>
            <w:tcW w:w="1890" w:type="pct"/>
            <w:hideMark/>
          </w:tcPr>
          <w:p w14:paraId="61D2D9E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Rolling-origin (n=533)</w:t>
            </w:r>
          </w:p>
        </w:tc>
      </w:tr>
      <w:tr w:rsidR="00B919ED" w:rsidRPr="00A51779" w14:paraId="739E503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649D39A0" w14:textId="77777777" w:rsidR="00B919ED" w:rsidRPr="00A51779" w:rsidRDefault="00B919ED" w:rsidP="00703316">
            <w:pPr>
              <w:spacing w:line="480" w:lineRule="auto"/>
              <w:jc w:val="both"/>
            </w:pPr>
            <w:r w:rsidRPr="00A51779">
              <w:t>TX</w:t>
            </w:r>
          </w:p>
        </w:tc>
        <w:tc>
          <w:tcPr>
            <w:tcW w:w="904" w:type="pct"/>
            <w:hideMark/>
          </w:tcPr>
          <w:p w14:paraId="7EB88EC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635" w:type="pct"/>
            <w:hideMark/>
          </w:tcPr>
          <w:p w14:paraId="094B735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0.699</w:t>
            </w:r>
          </w:p>
        </w:tc>
        <w:tc>
          <w:tcPr>
            <w:tcW w:w="1890" w:type="pct"/>
            <w:hideMark/>
          </w:tcPr>
          <w:p w14:paraId="2E93B54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0.716</w:t>
            </w:r>
          </w:p>
        </w:tc>
      </w:tr>
      <w:tr w:rsidR="00B919ED" w:rsidRPr="00A51779" w14:paraId="4A22A446"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1B792022" w14:textId="77777777" w:rsidR="00B919ED" w:rsidRPr="00A51779" w:rsidRDefault="00B919ED" w:rsidP="00703316">
            <w:pPr>
              <w:spacing w:line="480" w:lineRule="auto"/>
              <w:jc w:val="both"/>
            </w:pPr>
            <w:r w:rsidRPr="00A51779">
              <w:t>TX</w:t>
            </w:r>
          </w:p>
        </w:tc>
        <w:tc>
          <w:tcPr>
            <w:tcW w:w="904" w:type="pct"/>
            <w:hideMark/>
          </w:tcPr>
          <w:p w14:paraId="10D2887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635" w:type="pct"/>
            <w:hideMark/>
          </w:tcPr>
          <w:p w14:paraId="77C9844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0.732</w:t>
            </w:r>
          </w:p>
        </w:tc>
        <w:tc>
          <w:tcPr>
            <w:tcW w:w="1890" w:type="pct"/>
            <w:hideMark/>
          </w:tcPr>
          <w:p w14:paraId="08E4BC9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r>
      <w:tr w:rsidR="00B919ED" w:rsidRPr="00A51779" w14:paraId="59149E6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2E04E19B" w14:textId="77777777" w:rsidR="00B919ED" w:rsidRPr="00A51779" w:rsidRDefault="00B919ED" w:rsidP="00703316">
            <w:pPr>
              <w:spacing w:line="480" w:lineRule="auto"/>
              <w:jc w:val="both"/>
            </w:pPr>
            <w:r w:rsidRPr="00A51779">
              <w:t>TX</w:t>
            </w:r>
          </w:p>
        </w:tc>
        <w:tc>
          <w:tcPr>
            <w:tcW w:w="904" w:type="pct"/>
            <w:hideMark/>
          </w:tcPr>
          <w:p w14:paraId="0C4FB86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635" w:type="pct"/>
            <w:hideMark/>
          </w:tcPr>
          <w:p w14:paraId="6962DB2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0.749</w:t>
            </w:r>
          </w:p>
        </w:tc>
        <w:tc>
          <w:tcPr>
            <w:tcW w:w="1890" w:type="pct"/>
            <w:hideMark/>
          </w:tcPr>
          <w:p w14:paraId="107E51C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r>
      <w:tr w:rsidR="00B919ED" w:rsidRPr="00A51779" w14:paraId="6D2B240A"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070EB8F5" w14:textId="77777777" w:rsidR="00B919ED" w:rsidRPr="00A51779" w:rsidRDefault="00B919ED" w:rsidP="00703316">
            <w:pPr>
              <w:spacing w:line="480" w:lineRule="auto"/>
              <w:jc w:val="both"/>
            </w:pPr>
            <w:r w:rsidRPr="00A51779">
              <w:t>PA</w:t>
            </w:r>
          </w:p>
        </w:tc>
        <w:tc>
          <w:tcPr>
            <w:tcW w:w="904" w:type="pct"/>
            <w:hideMark/>
          </w:tcPr>
          <w:p w14:paraId="5ADA3E0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635" w:type="pct"/>
            <w:hideMark/>
          </w:tcPr>
          <w:p w14:paraId="018BA1F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0.916</w:t>
            </w:r>
          </w:p>
        </w:tc>
        <w:tc>
          <w:tcPr>
            <w:tcW w:w="1890" w:type="pct"/>
            <w:hideMark/>
          </w:tcPr>
          <w:p w14:paraId="64D226E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0.912</w:t>
            </w:r>
          </w:p>
        </w:tc>
      </w:tr>
      <w:tr w:rsidR="00B919ED" w:rsidRPr="00A51779" w14:paraId="172D6D72"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2B127AD0" w14:textId="77777777" w:rsidR="00B919ED" w:rsidRPr="00A51779" w:rsidRDefault="00B919ED" w:rsidP="00703316">
            <w:pPr>
              <w:spacing w:line="480" w:lineRule="auto"/>
              <w:jc w:val="both"/>
            </w:pPr>
            <w:r w:rsidRPr="00A51779">
              <w:t>PA</w:t>
            </w:r>
          </w:p>
        </w:tc>
        <w:tc>
          <w:tcPr>
            <w:tcW w:w="904" w:type="pct"/>
            <w:hideMark/>
          </w:tcPr>
          <w:p w14:paraId="7EFE35A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635" w:type="pct"/>
            <w:hideMark/>
          </w:tcPr>
          <w:p w14:paraId="795E564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0.938</w:t>
            </w:r>
          </w:p>
        </w:tc>
        <w:tc>
          <w:tcPr>
            <w:tcW w:w="1890" w:type="pct"/>
            <w:hideMark/>
          </w:tcPr>
          <w:p w14:paraId="332114F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0.929</w:t>
            </w:r>
          </w:p>
        </w:tc>
      </w:tr>
      <w:tr w:rsidR="00B919ED" w:rsidRPr="00A51779" w14:paraId="36A7F616"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44CC669C" w14:textId="77777777" w:rsidR="00B919ED" w:rsidRPr="00A51779" w:rsidRDefault="00B919ED" w:rsidP="00703316">
            <w:pPr>
              <w:spacing w:line="480" w:lineRule="auto"/>
              <w:jc w:val="both"/>
            </w:pPr>
            <w:r w:rsidRPr="00A51779">
              <w:t>PA</w:t>
            </w:r>
          </w:p>
        </w:tc>
        <w:tc>
          <w:tcPr>
            <w:tcW w:w="904" w:type="pct"/>
            <w:hideMark/>
          </w:tcPr>
          <w:p w14:paraId="7089515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635" w:type="pct"/>
            <w:hideMark/>
          </w:tcPr>
          <w:p w14:paraId="5F02CC0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0.928</w:t>
            </w:r>
          </w:p>
        </w:tc>
        <w:tc>
          <w:tcPr>
            <w:tcW w:w="1890" w:type="pct"/>
            <w:hideMark/>
          </w:tcPr>
          <w:p w14:paraId="095901D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r>
      <w:tr w:rsidR="00B919ED" w:rsidRPr="00A51779" w14:paraId="56ECD2F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64987C30" w14:textId="77777777" w:rsidR="00B919ED" w:rsidRPr="00A51779" w:rsidRDefault="00B919ED" w:rsidP="00703316">
            <w:pPr>
              <w:spacing w:line="480" w:lineRule="auto"/>
              <w:jc w:val="both"/>
            </w:pPr>
            <w:r w:rsidRPr="00A51779">
              <w:t>CA</w:t>
            </w:r>
          </w:p>
        </w:tc>
        <w:tc>
          <w:tcPr>
            <w:tcW w:w="904" w:type="pct"/>
            <w:hideMark/>
          </w:tcPr>
          <w:p w14:paraId="48E1213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635" w:type="pct"/>
            <w:hideMark/>
          </w:tcPr>
          <w:p w14:paraId="7FC51F4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0.674</w:t>
            </w:r>
          </w:p>
        </w:tc>
        <w:tc>
          <w:tcPr>
            <w:tcW w:w="1890" w:type="pct"/>
            <w:hideMark/>
          </w:tcPr>
          <w:p w14:paraId="484D421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0.766</w:t>
            </w:r>
          </w:p>
        </w:tc>
      </w:tr>
      <w:tr w:rsidR="00B919ED" w:rsidRPr="00A51779" w14:paraId="0830B331"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5665C4BD" w14:textId="77777777" w:rsidR="00B919ED" w:rsidRPr="00A51779" w:rsidRDefault="00B919ED" w:rsidP="00703316">
            <w:pPr>
              <w:spacing w:line="480" w:lineRule="auto"/>
              <w:jc w:val="both"/>
            </w:pPr>
            <w:r w:rsidRPr="00A51779">
              <w:t>CA</w:t>
            </w:r>
          </w:p>
        </w:tc>
        <w:tc>
          <w:tcPr>
            <w:tcW w:w="904" w:type="pct"/>
            <w:hideMark/>
          </w:tcPr>
          <w:p w14:paraId="1939684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635" w:type="pct"/>
            <w:hideMark/>
          </w:tcPr>
          <w:p w14:paraId="4A62D2B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0.753</w:t>
            </w:r>
          </w:p>
        </w:tc>
        <w:tc>
          <w:tcPr>
            <w:tcW w:w="1890" w:type="pct"/>
            <w:hideMark/>
          </w:tcPr>
          <w:p w14:paraId="4C3AD60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r>
      <w:tr w:rsidR="00B919ED" w:rsidRPr="00A51779" w14:paraId="26C9CFE6"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4F571593" w14:textId="77777777" w:rsidR="00B919ED" w:rsidRPr="00A51779" w:rsidRDefault="00B919ED" w:rsidP="00703316">
            <w:pPr>
              <w:spacing w:line="480" w:lineRule="auto"/>
              <w:jc w:val="both"/>
            </w:pPr>
            <w:r w:rsidRPr="00A51779">
              <w:t>CA</w:t>
            </w:r>
          </w:p>
        </w:tc>
        <w:tc>
          <w:tcPr>
            <w:tcW w:w="904" w:type="pct"/>
            <w:hideMark/>
          </w:tcPr>
          <w:p w14:paraId="5AE379C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635" w:type="pct"/>
            <w:hideMark/>
          </w:tcPr>
          <w:p w14:paraId="63C384C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0.786</w:t>
            </w:r>
          </w:p>
        </w:tc>
        <w:tc>
          <w:tcPr>
            <w:tcW w:w="1890" w:type="pct"/>
            <w:hideMark/>
          </w:tcPr>
          <w:p w14:paraId="5ECAD7E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r>
    </w:tbl>
    <w:p w14:paraId="49B735DF" w14:textId="77777777" w:rsidR="00336CF0" w:rsidRPr="00A51779" w:rsidRDefault="00336CF0" w:rsidP="00703316">
      <w:pPr>
        <w:spacing w:line="480" w:lineRule="auto"/>
        <w:jc w:val="both"/>
      </w:pPr>
    </w:p>
    <w:p w14:paraId="2739849F" w14:textId="13DD3BC2" w:rsidR="00B919ED" w:rsidRPr="00A51779" w:rsidRDefault="00B919ED" w:rsidP="00703316">
      <w:pPr>
        <w:spacing w:line="480" w:lineRule="auto"/>
        <w:jc w:val="both"/>
      </w:pPr>
      <w:r w:rsidRPr="00A51779">
        <w:t>Using the same HLN-corrected Diebold</w:t>
      </w:r>
      <w:r w:rsidR="00DF4A43" w:rsidRPr="00A51779">
        <w:t>-</w:t>
      </w:r>
      <w:r w:rsidRPr="00A51779">
        <w:t>Mariano procedure under both designs, the largest discrepancy occurred for CA at the one-day horizon. The single-split analysis favored HGB (</w:t>
      </w:r>
      <m:oMath>
        <m:r>
          <w:rPr>
            <w:rFonts w:ascii="Cambria Math" w:hAnsi="Cambria Math"/>
          </w:rPr>
          <m:t>DM=2.199</m:t>
        </m:r>
      </m:oMath>
      <w:r w:rsidRPr="00A51779">
        <w:t xml:space="preserve">, </w:t>
      </w:r>
      <m:oMath>
        <m:r>
          <w:rPr>
            <w:rFonts w:ascii="Cambria Math" w:hAnsi="Cambria Math"/>
          </w:rPr>
          <m:t>p=0.0293</m:t>
        </m:r>
      </m:oMath>
      <w:r w:rsidRPr="00A51779">
        <w:t>), whereas the rolling-origin analysis favored ridge (</w:t>
      </w:r>
      <m:oMath>
        <m:r>
          <w:rPr>
            <w:rFonts w:ascii="Cambria Math" w:hAnsi="Cambria Math"/>
          </w:rPr>
          <m:t>DM=-3.111</m:t>
        </m:r>
      </m:oMath>
      <w:r w:rsidRPr="00A51779">
        <w:t xml:space="preserve">, </w:t>
      </w:r>
      <m:oMath>
        <m:r>
          <w:rPr>
            <w:rFonts w:ascii="Cambria Math" w:hAnsi="Cambria Math"/>
          </w:rPr>
          <m:t>p=0.0020</m:t>
        </m:r>
      </m:oMath>
      <w:r w:rsidRPr="00A51779">
        <w:t>). After Holm correction within each design's six-comparison family, only the rolling-origin result remained significant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=0.0118</m:t>
        </m:r>
      </m:oMath>
      <w:r w:rsidRPr="00A51779">
        <w:t>); the single-split result did not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=0.1757</m:t>
        </m:r>
      </m:oMath>
      <w:r w:rsidRPr="00A51779">
        <w:t>). PA at seven days showed a related difference: the single split found no evidence of different predictive accuracy (</w:t>
      </w:r>
      <m:oMath>
        <m:r>
          <w:rPr>
            <w:rFonts w:ascii="Cambria Math" w:hAnsi="Cambria Math"/>
          </w:rPr>
          <m:t>p=0.5685</m:t>
        </m:r>
      </m:oMath>
      <w:r w:rsidRPr="00A51779">
        <w:t>), whereas the rolling-origin comparison was nominally significant (</w:t>
      </w:r>
      <m:oMath>
        <m:r>
          <w:rPr>
            <w:rFonts w:ascii="Cambria Math" w:hAnsi="Cambria Math"/>
          </w:rPr>
          <m:t>p=0.0249</m:t>
        </m:r>
      </m:oMath>
      <w:r w:rsidRPr="00A51779">
        <w:t>) but did not survive Holm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=0.1246</m:t>
        </m:r>
      </m:oMath>
      <w:r w:rsidRPr="00A51779">
        <w:t>).</w:t>
      </w:r>
    </w:p>
    <w:p w14:paraId="64A187F9" w14:textId="68251F99" w:rsidR="00B919ED" w:rsidRPr="004219A9" w:rsidRDefault="00B919ED" w:rsidP="00703316">
      <w:pPr>
        <w:spacing w:line="480" w:lineRule="auto"/>
        <w:jc w:val="both"/>
      </w:pPr>
      <w:r w:rsidRPr="004219A9">
        <w:lastRenderedPageBreak/>
        <w:t xml:space="preserve">Table </w:t>
      </w:r>
      <w:r w:rsidR="004219A9" w:rsidRPr="004219A9">
        <w:t>5</w:t>
      </w:r>
      <w:r w:rsidRPr="004219A9">
        <w:t>. Ridge-vs-HGB Diebold</w:t>
      </w:r>
      <w:r w:rsidR="00DF4A43" w:rsidRPr="004219A9">
        <w:t>-</w:t>
      </w:r>
      <w:r w:rsidRPr="004219A9">
        <w:t>Mariano test (HLN-corrected), single split vs. rolling-origin, with Holm correction applied within each design’s own family of six tests.</w:t>
      </w:r>
    </w:p>
    <w:tbl>
      <w:tblPr>
        <w:tblStyle w:val="PlainTable2"/>
        <w:tblW w:w="5000" w:type="pct"/>
        <w:tblLook w:val="04A0" w:firstRow="1" w:lastRow="0" w:firstColumn="1" w:lastColumn="0" w:noHBand="0" w:noVBand="1"/>
      </w:tblPr>
      <w:tblGrid>
        <w:gridCol w:w="995"/>
        <w:gridCol w:w="1426"/>
        <w:gridCol w:w="2149"/>
        <w:gridCol w:w="779"/>
        <w:gridCol w:w="1499"/>
        <w:gridCol w:w="1183"/>
        <w:gridCol w:w="1329"/>
      </w:tblGrid>
      <w:tr w:rsidR="00B919ED" w:rsidRPr="00A51779" w14:paraId="607D374A"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23EA4ED9" w14:textId="77777777" w:rsidR="00B919ED" w:rsidRPr="00A51779" w:rsidRDefault="00B919ED" w:rsidP="00703316">
            <w:pPr>
              <w:spacing w:line="480" w:lineRule="auto"/>
              <w:jc w:val="both"/>
            </w:pPr>
            <w:r w:rsidRPr="00A51779">
              <w:t>State</w:t>
            </w:r>
          </w:p>
        </w:tc>
        <w:tc>
          <w:tcPr>
            <w:tcW w:w="762" w:type="pct"/>
            <w:hideMark/>
          </w:tcPr>
          <w:p w14:paraId="6EDFAA2E"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1148" w:type="pct"/>
            <w:hideMark/>
          </w:tcPr>
          <w:p w14:paraId="15908E44"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Design</w:t>
            </w:r>
          </w:p>
        </w:tc>
        <w:tc>
          <w:tcPr>
            <w:tcW w:w="416" w:type="pct"/>
            <w:hideMark/>
          </w:tcPr>
          <w:p w14:paraId="65AE7B3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w:t>
            </w:r>
          </w:p>
        </w:tc>
        <w:tc>
          <w:tcPr>
            <w:tcW w:w="801" w:type="pct"/>
            <w:hideMark/>
          </w:tcPr>
          <w:p w14:paraId="71BA4692"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632" w:type="pct"/>
            <w:hideMark/>
          </w:tcPr>
          <w:p w14:paraId="12323B77"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c>
          <w:tcPr>
            <w:tcW w:w="710" w:type="pct"/>
            <w:hideMark/>
          </w:tcPr>
          <w:p w14:paraId="2C1FF16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2A35A81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3EBEEC2C" w14:textId="77777777" w:rsidR="00B919ED" w:rsidRPr="00A51779" w:rsidRDefault="00B919ED" w:rsidP="00703316">
            <w:pPr>
              <w:spacing w:line="480" w:lineRule="auto"/>
              <w:jc w:val="both"/>
            </w:pPr>
            <w:r w:rsidRPr="00A51779">
              <w:t>TX</w:t>
            </w:r>
          </w:p>
        </w:tc>
        <w:tc>
          <w:tcPr>
            <w:tcW w:w="762" w:type="pct"/>
            <w:hideMark/>
          </w:tcPr>
          <w:p w14:paraId="3D77291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1148" w:type="pct"/>
            <w:hideMark/>
          </w:tcPr>
          <w:p w14:paraId="1F70B17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41553F6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161</w:t>
            </w:r>
          </w:p>
        </w:tc>
        <w:tc>
          <w:tcPr>
            <w:tcW w:w="801" w:type="pct"/>
            <w:hideMark/>
          </w:tcPr>
          <w:p w14:paraId="7E6F3BF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0.801</w:t>
            </w:r>
          </w:p>
        </w:tc>
        <w:tc>
          <w:tcPr>
            <w:tcW w:w="632" w:type="pct"/>
            <w:hideMark/>
          </w:tcPr>
          <w:p w14:paraId="0C5B9CB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0.4245</w:t>
            </w:r>
          </w:p>
        </w:tc>
        <w:tc>
          <w:tcPr>
            <w:tcW w:w="710" w:type="pct"/>
            <w:hideMark/>
          </w:tcPr>
          <w:p w14:paraId="3197DE3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1.0000</w:t>
            </w:r>
          </w:p>
        </w:tc>
      </w:tr>
      <w:tr w:rsidR="00B919ED" w:rsidRPr="00A51779" w14:paraId="7C1C474D"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677F7E8F" w14:textId="77777777" w:rsidR="00B919ED" w:rsidRPr="00A51779" w:rsidRDefault="00B919ED" w:rsidP="00703316">
            <w:pPr>
              <w:spacing w:line="480" w:lineRule="auto"/>
              <w:jc w:val="both"/>
            </w:pPr>
            <w:r w:rsidRPr="00A51779">
              <w:t>TX</w:t>
            </w:r>
          </w:p>
        </w:tc>
        <w:tc>
          <w:tcPr>
            <w:tcW w:w="762" w:type="pct"/>
            <w:hideMark/>
          </w:tcPr>
          <w:p w14:paraId="212710D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1148" w:type="pct"/>
            <w:hideMark/>
          </w:tcPr>
          <w:p w14:paraId="72BEAAC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17A977F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801" w:type="pct"/>
            <w:hideMark/>
          </w:tcPr>
          <w:p w14:paraId="5B6D28D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1.196</w:t>
            </w:r>
          </w:p>
        </w:tc>
        <w:tc>
          <w:tcPr>
            <w:tcW w:w="632" w:type="pct"/>
            <w:hideMark/>
          </w:tcPr>
          <w:p w14:paraId="05C554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0.2324</w:t>
            </w:r>
          </w:p>
        </w:tc>
        <w:tc>
          <w:tcPr>
            <w:tcW w:w="710" w:type="pct"/>
            <w:hideMark/>
          </w:tcPr>
          <w:p w14:paraId="7E50C82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r w:rsidR="00B919ED" w:rsidRPr="00A51779" w14:paraId="7835A98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63E856D2" w14:textId="77777777" w:rsidR="00B919ED" w:rsidRPr="00A51779" w:rsidRDefault="00B919ED" w:rsidP="00703316">
            <w:pPr>
              <w:spacing w:line="480" w:lineRule="auto"/>
              <w:jc w:val="both"/>
            </w:pPr>
            <w:r w:rsidRPr="00A51779">
              <w:t>PA</w:t>
            </w:r>
          </w:p>
        </w:tc>
        <w:tc>
          <w:tcPr>
            <w:tcW w:w="762" w:type="pct"/>
            <w:hideMark/>
          </w:tcPr>
          <w:p w14:paraId="6357AE3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1148" w:type="pct"/>
            <w:hideMark/>
          </w:tcPr>
          <w:p w14:paraId="35C49FA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532E5BD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161</w:t>
            </w:r>
          </w:p>
        </w:tc>
        <w:tc>
          <w:tcPr>
            <w:tcW w:w="801" w:type="pct"/>
            <w:hideMark/>
          </w:tcPr>
          <w:p w14:paraId="3485C5C2" w14:textId="7390F83F"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1.250</w:t>
            </w:r>
          </w:p>
        </w:tc>
        <w:tc>
          <w:tcPr>
            <w:tcW w:w="632" w:type="pct"/>
            <w:hideMark/>
          </w:tcPr>
          <w:p w14:paraId="0B0072F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0.2133</w:t>
            </w:r>
          </w:p>
        </w:tc>
        <w:tc>
          <w:tcPr>
            <w:tcW w:w="710" w:type="pct"/>
            <w:hideMark/>
          </w:tcPr>
          <w:p w14:paraId="2B47AFF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0.8531</w:t>
            </w:r>
          </w:p>
        </w:tc>
      </w:tr>
      <w:tr w:rsidR="00B919ED" w:rsidRPr="00A51779" w14:paraId="04349937"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3DB6BA33" w14:textId="77777777" w:rsidR="00B919ED" w:rsidRPr="00A51779" w:rsidRDefault="00B919ED" w:rsidP="00703316">
            <w:pPr>
              <w:spacing w:line="480" w:lineRule="auto"/>
              <w:jc w:val="both"/>
            </w:pPr>
            <w:r w:rsidRPr="00A51779">
              <w:t>PA</w:t>
            </w:r>
          </w:p>
        </w:tc>
        <w:tc>
          <w:tcPr>
            <w:tcW w:w="762" w:type="pct"/>
            <w:hideMark/>
          </w:tcPr>
          <w:p w14:paraId="26121BE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1148" w:type="pct"/>
            <w:hideMark/>
          </w:tcPr>
          <w:p w14:paraId="1FC563E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72967FD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801" w:type="pct"/>
            <w:hideMark/>
          </w:tcPr>
          <w:p w14:paraId="12B33CAA" w14:textId="0F44C9EF"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1.191</w:t>
            </w:r>
          </w:p>
        </w:tc>
        <w:tc>
          <w:tcPr>
            <w:tcW w:w="632" w:type="pct"/>
            <w:hideMark/>
          </w:tcPr>
          <w:p w14:paraId="012B0C4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0.2343</w:t>
            </w:r>
          </w:p>
        </w:tc>
        <w:tc>
          <w:tcPr>
            <w:tcW w:w="710" w:type="pct"/>
            <w:hideMark/>
          </w:tcPr>
          <w:p w14:paraId="6B82639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r w:rsidR="00B919ED" w:rsidRPr="00A51779" w14:paraId="42C8213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70E698BC" w14:textId="77777777" w:rsidR="00B919ED" w:rsidRPr="00A51779" w:rsidRDefault="00B919ED" w:rsidP="00703316">
            <w:pPr>
              <w:spacing w:line="480" w:lineRule="auto"/>
              <w:jc w:val="both"/>
            </w:pPr>
            <w:r w:rsidRPr="00A51779">
              <w:t>CA</w:t>
            </w:r>
          </w:p>
        </w:tc>
        <w:tc>
          <w:tcPr>
            <w:tcW w:w="762" w:type="pct"/>
            <w:hideMark/>
          </w:tcPr>
          <w:p w14:paraId="597E689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1148" w:type="pct"/>
            <w:hideMark/>
          </w:tcPr>
          <w:p w14:paraId="61806D0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16E4B55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161</w:t>
            </w:r>
          </w:p>
        </w:tc>
        <w:tc>
          <w:tcPr>
            <w:tcW w:w="801" w:type="pct"/>
            <w:hideMark/>
          </w:tcPr>
          <w:p w14:paraId="5F0E6D4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2.199</w:t>
            </w:r>
          </w:p>
        </w:tc>
        <w:tc>
          <w:tcPr>
            <w:tcW w:w="632" w:type="pct"/>
            <w:hideMark/>
          </w:tcPr>
          <w:p w14:paraId="478220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0.0293</w:t>
            </w:r>
          </w:p>
        </w:tc>
        <w:tc>
          <w:tcPr>
            <w:tcW w:w="710" w:type="pct"/>
            <w:hideMark/>
          </w:tcPr>
          <w:p w14:paraId="66255F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0.1757</w:t>
            </w:r>
          </w:p>
        </w:tc>
      </w:tr>
      <w:tr w:rsidR="00B919ED" w:rsidRPr="00A51779" w14:paraId="582E381B"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12B012AE" w14:textId="77777777" w:rsidR="00B919ED" w:rsidRPr="00A51779" w:rsidRDefault="00B919ED" w:rsidP="00703316">
            <w:pPr>
              <w:spacing w:line="480" w:lineRule="auto"/>
              <w:jc w:val="both"/>
            </w:pPr>
            <w:r w:rsidRPr="00A51779">
              <w:t>CA</w:t>
            </w:r>
          </w:p>
        </w:tc>
        <w:tc>
          <w:tcPr>
            <w:tcW w:w="762" w:type="pct"/>
            <w:hideMark/>
          </w:tcPr>
          <w:p w14:paraId="07C957C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1148" w:type="pct"/>
            <w:hideMark/>
          </w:tcPr>
          <w:p w14:paraId="523A555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22E822A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801" w:type="pct"/>
            <w:hideMark/>
          </w:tcPr>
          <w:p w14:paraId="3E87124D" w14:textId="422CCCE7"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3.111</w:t>
            </w:r>
          </w:p>
        </w:tc>
        <w:tc>
          <w:tcPr>
            <w:tcW w:w="632" w:type="pct"/>
            <w:hideMark/>
          </w:tcPr>
          <w:p w14:paraId="5ED5EA7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0.0020</w:t>
            </w:r>
          </w:p>
        </w:tc>
        <w:tc>
          <w:tcPr>
            <w:tcW w:w="710" w:type="pct"/>
            <w:hideMark/>
          </w:tcPr>
          <w:p w14:paraId="4F8FBC0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0.0118</w:t>
            </w:r>
          </w:p>
        </w:tc>
      </w:tr>
      <w:tr w:rsidR="00B919ED" w:rsidRPr="00A51779" w14:paraId="2717B4B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002B478B" w14:textId="77777777" w:rsidR="00B919ED" w:rsidRPr="00A51779" w:rsidRDefault="00B919ED" w:rsidP="00703316">
            <w:pPr>
              <w:spacing w:line="480" w:lineRule="auto"/>
              <w:jc w:val="both"/>
            </w:pPr>
            <w:r w:rsidRPr="00A51779">
              <w:t>TX</w:t>
            </w:r>
          </w:p>
        </w:tc>
        <w:tc>
          <w:tcPr>
            <w:tcW w:w="762" w:type="pct"/>
            <w:hideMark/>
          </w:tcPr>
          <w:p w14:paraId="176449E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1148" w:type="pct"/>
            <w:hideMark/>
          </w:tcPr>
          <w:p w14:paraId="7D741BC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6A5A88F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160</w:t>
            </w:r>
          </w:p>
        </w:tc>
        <w:tc>
          <w:tcPr>
            <w:tcW w:w="801" w:type="pct"/>
            <w:hideMark/>
          </w:tcPr>
          <w:p w14:paraId="2E45A91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1.701</w:t>
            </w:r>
          </w:p>
        </w:tc>
        <w:tc>
          <w:tcPr>
            <w:tcW w:w="632" w:type="pct"/>
            <w:hideMark/>
          </w:tcPr>
          <w:p w14:paraId="417417F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0.0909</w:t>
            </w:r>
          </w:p>
        </w:tc>
        <w:tc>
          <w:tcPr>
            <w:tcW w:w="710" w:type="pct"/>
            <w:hideMark/>
          </w:tcPr>
          <w:p w14:paraId="1DC8454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0.4543</w:t>
            </w:r>
          </w:p>
        </w:tc>
      </w:tr>
      <w:tr w:rsidR="00B919ED" w:rsidRPr="00A51779" w14:paraId="417093B7"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537D12EB" w14:textId="77777777" w:rsidR="00B919ED" w:rsidRPr="00A51779" w:rsidRDefault="00B919ED" w:rsidP="00703316">
            <w:pPr>
              <w:spacing w:line="480" w:lineRule="auto"/>
              <w:jc w:val="both"/>
            </w:pPr>
            <w:r w:rsidRPr="00A51779">
              <w:t>TX</w:t>
            </w:r>
          </w:p>
        </w:tc>
        <w:tc>
          <w:tcPr>
            <w:tcW w:w="762" w:type="pct"/>
            <w:hideMark/>
          </w:tcPr>
          <w:p w14:paraId="004BA8E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1148" w:type="pct"/>
            <w:hideMark/>
          </w:tcPr>
          <w:p w14:paraId="719C40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1267FA4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530</w:t>
            </w:r>
          </w:p>
        </w:tc>
        <w:tc>
          <w:tcPr>
            <w:tcW w:w="801" w:type="pct"/>
            <w:hideMark/>
          </w:tcPr>
          <w:p w14:paraId="39F8D72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1.000</w:t>
            </w:r>
          </w:p>
        </w:tc>
        <w:tc>
          <w:tcPr>
            <w:tcW w:w="632" w:type="pct"/>
            <w:hideMark/>
          </w:tcPr>
          <w:p w14:paraId="1A629B7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0.3176</w:t>
            </w:r>
          </w:p>
        </w:tc>
        <w:tc>
          <w:tcPr>
            <w:tcW w:w="710" w:type="pct"/>
            <w:hideMark/>
          </w:tcPr>
          <w:p w14:paraId="53F38CE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r w:rsidR="00B919ED" w:rsidRPr="00A51779" w14:paraId="675D75A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16DFB69D" w14:textId="77777777" w:rsidR="00B919ED" w:rsidRPr="00A51779" w:rsidRDefault="00B919ED" w:rsidP="00703316">
            <w:pPr>
              <w:spacing w:line="480" w:lineRule="auto"/>
              <w:jc w:val="both"/>
            </w:pPr>
            <w:r w:rsidRPr="00A51779">
              <w:t>PA</w:t>
            </w:r>
          </w:p>
        </w:tc>
        <w:tc>
          <w:tcPr>
            <w:tcW w:w="762" w:type="pct"/>
            <w:hideMark/>
          </w:tcPr>
          <w:p w14:paraId="1F6D646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1148" w:type="pct"/>
            <w:hideMark/>
          </w:tcPr>
          <w:p w14:paraId="42B276B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5380875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160</w:t>
            </w:r>
          </w:p>
        </w:tc>
        <w:tc>
          <w:tcPr>
            <w:tcW w:w="801" w:type="pct"/>
            <w:hideMark/>
          </w:tcPr>
          <w:p w14:paraId="04D51E67" w14:textId="4022AA72"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0.571</w:t>
            </w:r>
          </w:p>
        </w:tc>
        <w:tc>
          <w:tcPr>
            <w:tcW w:w="632" w:type="pct"/>
            <w:hideMark/>
          </w:tcPr>
          <w:p w14:paraId="7EFC0A5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0.5685</w:t>
            </w:r>
          </w:p>
        </w:tc>
        <w:tc>
          <w:tcPr>
            <w:tcW w:w="710" w:type="pct"/>
            <w:hideMark/>
          </w:tcPr>
          <w:p w14:paraId="2624A86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1.0000</w:t>
            </w:r>
          </w:p>
        </w:tc>
      </w:tr>
      <w:tr w:rsidR="00B919ED" w:rsidRPr="00A51779" w14:paraId="2A98D0AE"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077823CD" w14:textId="77777777" w:rsidR="00B919ED" w:rsidRPr="00A51779" w:rsidRDefault="00B919ED" w:rsidP="00703316">
            <w:pPr>
              <w:spacing w:line="480" w:lineRule="auto"/>
              <w:jc w:val="both"/>
            </w:pPr>
            <w:r w:rsidRPr="00A51779">
              <w:t>PA</w:t>
            </w:r>
          </w:p>
        </w:tc>
        <w:tc>
          <w:tcPr>
            <w:tcW w:w="762" w:type="pct"/>
            <w:hideMark/>
          </w:tcPr>
          <w:p w14:paraId="27021A8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1148" w:type="pct"/>
            <w:hideMark/>
          </w:tcPr>
          <w:p w14:paraId="16C1A47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1DCE10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530</w:t>
            </w:r>
          </w:p>
        </w:tc>
        <w:tc>
          <w:tcPr>
            <w:tcW w:w="801" w:type="pct"/>
            <w:hideMark/>
          </w:tcPr>
          <w:p w14:paraId="056BABA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2.249</w:t>
            </w:r>
          </w:p>
        </w:tc>
        <w:tc>
          <w:tcPr>
            <w:tcW w:w="632" w:type="pct"/>
            <w:hideMark/>
          </w:tcPr>
          <w:p w14:paraId="0EA462C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0.0249</w:t>
            </w:r>
          </w:p>
        </w:tc>
        <w:tc>
          <w:tcPr>
            <w:tcW w:w="710" w:type="pct"/>
            <w:hideMark/>
          </w:tcPr>
          <w:p w14:paraId="536D7E7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0.1246</w:t>
            </w:r>
          </w:p>
        </w:tc>
      </w:tr>
      <w:tr w:rsidR="00B919ED" w:rsidRPr="00A51779" w14:paraId="486D244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438A60F4" w14:textId="77777777" w:rsidR="00B919ED" w:rsidRPr="00A51779" w:rsidRDefault="00B919ED" w:rsidP="00703316">
            <w:pPr>
              <w:spacing w:line="480" w:lineRule="auto"/>
              <w:jc w:val="both"/>
            </w:pPr>
            <w:r w:rsidRPr="00A51779">
              <w:t>CA</w:t>
            </w:r>
          </w:p>
        </w:tc>
        <w:tc>
          <w:tcPr>
            <w:tcW w:w="762" w:type="pct"/>
            <w:hideMark/>
          </w:tcPr>
          <w:p w14:paraId="2EB63DE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1148" w:type="pct"/>
            <w:hideMark/>
          </w:tcPr>
          <w:p w14:paraId="2071381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328158D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160</w:t>
            </w:r>
          </w:p>
        </w:tc>
        <w:tc>
          <w:tcPr>
            <w:tcW w:w="801" w:type="pct"/>
            <w:hideMark/>
          </w:tcPr>
          <w:p w14:paraId="273925F1" w14:textId="2F12DD52"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0.931</w:t>
            </w:r>
          </w:p>
        </w:tc>
        <w:tc>
          <w:tcPr>
            <w:tcW w:w="632" w:type="pct"/>
            <w:hideMark/>
          </w:tcPr>
          <w:p w14:paraId="5671442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0.3532</w:t>
            </w:r>
          </w:p>
        </w:tc>
        <w:tc>
          <w:tcPr>
            <w:tcW w:w="710" w:type="pct"/>
            <w:hideMark/>
          </w:tcPr>
          <w:p w14:paraId="524F549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1.0000</w:t>
            </w:r>
          </w:p>
        </w:tc>
      </w:tr>
      <w:tr w:rsidR="00B919ED" w:rsidRPr="00A51779" w14:paraId="5189C0E1"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1E16C36B" w14:textId="77777777" w:rsidR="00B919ED" w:rsidRPr="00A51779" w:rsidRDefault="00B919ED" w:rsidP="00703316">
            <w:pPr>
              <w:spacing w:line="480" w:lineRule="auto"/>
              <w:jc w:val="both"/>
            </w:pPr>
            <w:r w:rsidRPr="00A51779">
              <w:t>CA</w:t>
            </w:r>
          </w:p>
        </w:tc>
        <w:tc>
          <w:tcPr>
            <w:tcW w:w="762" w:type="pct"/>
            <w:hideMark/>
          </w:tcPr>
          <w:p w14:paraId="6A5395B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1148" w:type="pct"/>
            <w:hideMark/>
          </w:tcPr>
          <w:p w14:paraId="23A48AD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7A702F4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530</w:t>
            </w:r>
          </w:p>
        </w:tc>
        <w:tc>
          <w:tcPr>
            <w:tcW w:w="801" w:type="pct"/>
            <w:hideMark/>
          </w:tcPr>
          <w:p w14:paraId="3CD1AAD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0.717</w:t>
            </w:r>
          </w:p>
        </w:tc>
        <w:tc>
          <w:tcPr>
            <w:tcW w:w="632" w:type="pct"/>
            <w:hideMark/>
          </w:tcPr>
          <w:p w14:paraId="5293552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0.4737</w:t>
            </w:r>
          </w:p>
        </w:tc>
        <w:tc>
          <w:tcPr>
            <w:tcW w:w="710" w:type="pct"/>
            <w:hideMark/>
          </w:tcPr>
          <w:p w14:paraId="7937176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bl>
    <w:p w14:paraId="08488325" w14:textId="77777777" w:rsidR="00336CF0" w:rsidRPr="00A51779" w:rsidRDefault="00336CF0" w:rsidP="00703316">
      <w:pPr>
        <w:spacing w:before="160" w:line="480" w:lineRule="auto"/>
        <w:jc w:val="both"/>
      </w:pPr>
    </w:p>
    <w:p w14:paraId="783072BF" w14:textId="7C093523" w:rsidR="00450A61" w:rsidRPr="00A51779" w:rsidRDefault="00450A61" w:rsidP="00703316">
      <w:pPr>
        <w:spacing w:before="160" w:line="480" w:lineRule="auto"/>
        <w:jc w:val="both"/>
      </w:pPr>
      <w:r w:rsidRPr="00A51779">
        <w:rPr>
          <w:noProof/>
        </w:rPr>
        <w:drawing>
          <wp:inline distT="0" distB="0" distL="0" distR="0" wp14:anchorId="560D033E" wp14:editId="4C423538">
            <wp:extent cx="5334000" cy="1924050"/>
            <wp:effectExtent l="0" t="0" r="0" b="0"/>
            <wp:docPr id="1141288894" name="Picture 114128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24050"/>
                    </a:xfrm>
                    <a:prstGeom prst="rect">
                      <a:avLst/>
                    </a:prstGeom>
                  </pic:spPr>
                </pic:pic>
              </a:graphicData>
            </a:graphic>
          </wp:inline>
        </w:drawing>
      </w:r>
    </w:p>
    <w:p w14:paraId="151FE4DD" w14:textId="0472D10D" w:rsidR="00D076A3" w:rsidRPr="00A51779" w:rsidRDefault="00450A61" w:rsidP="00D076A3">
      <w:pPr>
        <w:spacing w:line="480" w:lineRule="auto"/>
        <w:jc w:val="both"/>
      </w:pPr>
      <w:r w:rsidRPr="00A51779">
        <w:lastRenderedPageBreak/>
        <w:t>Fig</w:t>
      </w:r>
      <w:r w:rsidR="00D076A3" w:rsidRPr="00A51779">
        <w:t xml:space="preserve">. </w:t>
      </w:r>
      <w:r w:rsidR="0079599D">
        <w:t>5</w:t>
      </w:r>
      <w:r w:rsidR="00D076A3" w:rsidRPr="00A51779">
        <w:t>.</w:t>
      </w:r>
      <w:r w:rsidRPr="00A51779">
        <w:t xml:space="preserve"> </w:t>
      </w:r>
      <w:r w:rsidR="00D076A3" w:rsidRPr="00A51779">
        <w:t xml:space="preserve">Ridge-versus-HGB Diebold–Mariano p-values under single-split and rolling-origin evaluation </w:t>
      </w:r>
    </w:p>
    <w:p w14:paraId="5D7E20CC" w14:textId="2506E8DB" w:rsidR="00B919ED" w:rsidRPr="00A51779" w:rsidRDefault="00B919ED" w:rsidP="00D076A3">
      <w:pPr>
        <w:spacing w:line="480" w:lineRule="auto"/>
        <w:jc w:val="both"/>
      </w:pPr>
      <w:r w:rsidRPr="00A51779">
        <w:t>The comparison in Table 4 alone cannot isolate the effect of retraining because the single-split and rolling-origin designs also differ in sample size and in the historical periods represented in the test data. The aligned-window analysis removes these two confounding factors. Using the same already-frozen hyperparameters, the fixed model was trained once on the initial window and then used to forecast all 533 dates contained in the one-day rolling-origin evaluation, whereas the rolling model was refitted every seven days. The two protocols therefore used identical forecast dates, targets, horizons, and hyperparameters, leaving the retraining schedule as the primary difference.</w:t>
      </w:r>
    </w:p>
    <w:p w14:paraId="4ABD183C" w14:textId="77777777" w:rsidR="00B919ED" w:rsidRPr="00A51779" w:rsidRDefault="00B919ED" w:rsidP="00703316">
      <w:pPr>
        <w:spacing w:line="480" w:lineRule="auto"/>
        <w:jc w:val="both"/>
      </w:pPr>
      <w:r w:rsidRPr="00A51779">
        <w:t xml:space="preserve">In CA, both aligned protocols favored ridge, although only the rolling protocol reached conventional significance: fixed </w:t>
      </w:r>
      <m:oMath>
        <m:r>
          <w:rPr>
            <w:rFonts w:ascii="Cambria Math" w:hAnsi="Cambria Math"/>
          </w:rPr>
          <m:t>DM=-1.722</m:t>
        </m:r>
      </m:oMath>
      <w:r w:rsidRPr="00A51779">
        <w:t xml:space="preserve">, </w:t>
      </w:r>
      <m:oMath>
        <m:r>
          <w:rPr>
            <w:rFonts w:ascii="Cambria Math" w:hAnsi="Cambria Math"/>
          </w:rPr>
          <m:t>p=0.0856</m:t>
        </m:r>
      </m:oMath>
      <w:r w:rsidRPr="00A51779">
        <w:t xml:space="preserve">; rolling </w:t>
      </w:r>
      <m:oMath>
        <m:r>
          <w:rPr>
            <w:rFonts w:ascii="Cambria Math" w:hAnsi="Cambria Math"/>
          </w:rPr>
          <m:t>DM=-3.111</m:t>
        </m:r>
      </m:oMath>
      <w:r w:rsidRPr="00A51779">
        <w:t xml:space="preserve">, </w:t>
      </w:r>
      <m:oMath>
        <m:r>
          <w:rPr>
            <w:rFonts w:ascii="Cambria Math" w:hAnsi="Cambria Math"/>
          </w:rPr>
          <m:t>p=0.0020</m:t>
        </m:r>
      </m:oMath>
      <w:r w:rsidRPr="00A51779">
        <w:t>. In TX, both protocols favored HGB, but the fixed protocol was nominally significant (</w:t>
      </w:r>
      <m:oMath>
        <m:r>
          <w:rPr>
            <w:rFonts w:ascii="Cambria Math" w:hAnsi="Cambria Math"/>
          </w:rPr>
          <m:t>DM=2.056</m:t>
        </m:r>
      </m:oMath>
      <w:r w:rsidRPr="00A51779">
        <w:t xml:space="preserve">, </w:t>
      </w:r>
      <m:oMath>
        <m:r>
          <w:rPr>
            <w:rFonts w:ascii="Cambria Math" w:hAnsi="Cambria Math"/>
          </w:rPr>
          <m:t>p=0.0403</m:t>
        </m:r>
      </m:oMath>
      <w:r w:rsidRPr="00A51779">
        <w:t>), whereas the rolling protocol was not (</w:t>
      </w:r>
      <m:oMath>
        <m:r>
          <w:rPr>
            <w:rFonts w:ascii="Cambria Math" w:hAnsi="Cambria Math"/>
          </w:rPr>
          <m:t>DM=1.196</m:t>
        </m:r>
      </m:oMath>
      <w:r w:rsidRPr="00A51779">
        <w:t xml:space="preserve">, </w:t>
      </w:r>
      <m:oMath>
        <m:r>
          <w:rPr>
            <w:rFonts w:ascii="Cambria Math" w:hAnsi="Cambria Math"/>
          </w:rPr>
          <m:t>p=0.2324</m:t>
        </m:r>
      </m:oMath>
      <w:r w:rsidRPr="00A51779">
        <w:t>). Thus, the direction of the point estimate remained unchanged within each state, but the significance classification changed with the protocol.</w:t>
      </w:r>
    </w:p>
    <w:p w14:paraId="5357A5BD" w14:textId="77777777" w:rsidR="00B919ED" w:rsidRPr="00A51779" w:rsidRDefault="00B919ED" w:rsidP="00703316">
      <w:pPr>
        <w:spacing w:line="480" w:lineRule="auto"/>
        <w:jc w:val="both"/>
      </w:pPr>
      <w:r w:rsidRPr="00A51779">
        <w:t>To test directly whether retraining altered the underlying relative comparison rather than only its statistical precision, the date-level change in the squared-error differential was defined as</w:t>
      </w:r>
    </w:p>
    <w:p w14:paraId="647E2BBC" w14:textId="476D2A68" w:rsidR="00B919ED"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rolling</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fixed</m:t>
                    </m:r>
                  </m:sup>
                </m:sSubSup>
              </m:e>
              <m:e/>
              <m:e>
                <m:r>
                  <m:rPr>
                    <m:nor/>
                  </m:rPr>
                  <m:t>(12)</m:t>
                </m:r>
              </m:e>
            </m:mr>
          </m:m>
        </m:oMath>
      </m:oMathPara>
    </w:p>
    <w:p w14:paraId="5760B099" w14:textId="6EEA5BC9" w:rsidR="00B919ED" w:rsidRPr="00A51779" w:rsidRDefault="00B919ED" w:rsidP="00703316">
      <w:pPr>
        <w:spacing w:line="480" w:lineRule="auto"/>
        <w:jc w:val="both"/>
      </w:pPr>
      <w:r w:rsidRPr="00A51779">
        <w:t>and tested separately for each state using Newey</w:t>
      </w:r>
      <w:r w:rsidR="00DF4A43" w:rsidRPr="00A51779">
        <w:t>-</w:t>
      </w:r>
      <w:r w:rsidRPr="00A51779">
        <w:t>West HAC inference. The difference was nominally significant only in TX (</w:t>
      </w:r>
      <m:oMath>
        <m:r>
          <w:rPr>
            <w:rFonts w:ascii="Cambria Math" w:hAnsi="Cambria Math"/>
          </w:rPr>
          <m:t>t=-1.989</m:t>
        </m:r>
      </m:oMath>
      <w:r w:rsidRPr="00A51779">
        <w:t xml:space="preserve">, </w:t>
      </w:r>
      <m:oMath>
        <m:r>
          <w:rPr>
            <w:rFonts w:ascii="Cambria Math" w:hAnsi="Cambria Math"/>
          </w:rPr>
          <m:t>p=0.0467</m:t>
        </m:r>
      </m:oMath>
      <w:r w:rsidRPr="00A51779">
        <w:t>) and did not survive Holm correction across the three states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=0.1400</m:t>
        </m:r>
      </m:oMath>
      <w:r w:rsidRPr="00A51779">
        <w:t>). PA (</w:t>
      </w:r>
      <m:oMath>
        <m:r>
          <w:rPr>
            <w:rFonts w:ascii="Cambria Math" w:hAnsi="Cambria Math"/>
          </w:rPr>
          <m:t>p=0.8095</m:t>
        </m:r>
      </m:oMath>
      <w:r w:rsidRPr="00A51779">
        <w:t>) and CA (</w:t>
      </w:r>
      <m:oMath>
        <m:r>
          <w:rPr>
            <w:rFonts w:ascii="Cambria Math" w:hAnsi="Cambria Math"/>
          </w:rPr>
          <m:t>p=0.4259</m:t>
        </m:r>
      </m:oMath>
      <w:r w:rsidRPr="00A51779">
        <w:t>) were nonsignificant even before correction.</w:t>
      </w:r>
    </w:p>
    <w:p w14:paraId="3363CD9A" w14:textId="4629F73B" w:rsidR="00B919ED" w:rsidRPr="004219A9" w:rsidRDefault="00B919ED" w:rsidP="00703316">
      <w:pPr>
        <w:spacing w:line="480" w:lineRule="auto"/>
        <w:jc w:val="both"/>
      </w:pPr>
      <w:r w:rsidRPr="004219A9">
        <w:lastRenderedPageBreak/>
        <w:t xml:space="preserve">Table </w:t>
      </w:r>
      <w:r w:rsidR="004219A9" w:rsidRPr="004219A9">
        <w:t>6</w:t>
      </w:r>
      <w:r w:rsidRPr="004219A9">
        <w:t xml:space="preserve">. Direct test of the retraining-protocol effect: </w:t>
      </w:r>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rolling</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fixed</m:t>
            </m:r>
          </m:sup>
        </m:sSubSup>
      </m:oMath>
      <w:r w:rsidRPr="004219A9">
        <w:t>, Newey</w:t>
      </w:r>
      <w:r w:rsidR="00DF4A43" w:rsidRPr="004219A9">
        <w:t>-</w:t>
      </w:r>
      <w:r w:rsidRPr="004219A9">
        <w:t>West HAC test, per state.</w:t>
      </w:r>
    </w:p>
    <w:tbl>
      <w:tblPr>
        <w:tblStyle w:val="PlainTable2"/>
        <w:tblW w:w="5000" w:type="pct"/>
        <w:tblLook w:val="04A0" w:firstRow="1" w:lastRow="0" w:firstColumn="1" w:lastColumn="0" w:noHBand="0" w:noVBand="1"/>
      </w:tblPr>
      <w:tblGrid>
        <w:gridCol w:w="1240"/>
        <w:gridCol w:w="971"/>
        <w:gridCol w:w="1932"/>
        <w:gridCol w:w="1926"/>
        <w:gridCol w:w="1634"/>
        <w:gridCol w:w="1657"/>
      </w:tblGrid>
      <w:tr w:rsidR="00B919ED" w:rsidRPr="00A51779" w14:paraId="22D87E95"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pct"/>
            <w:hideMark/>
          </w:tcPr>
          <w:p w14:paraId="16D355A1" w14:textId="77777777" w:rsidR="00B919ED" w:rsidRPr="00A51779" w:rsidRDefault="00B919ED" w:rsidP="00703316">
            <w:pPr>
              <w:spacing w:line="480" w:lineRule="auto"/>
              <w:jc w:val="both"/>
            </w:pPr>
            <w:r w:rsidRPr="00A51779">
              <w:t>State</w:t>
            </w:r>
          </w:p>
        </w:tc>
        <w:tc>
          <w:tcPr>
            <w:tcW w:w="518" w:type="pct"/>
            <w:hideMark/>
          </w:tcPr>
          <w:p w14:paraId="4488BC4F"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w:t>
            </w:r>
          </w:p>
        </w:tc>
        <w:tc>
          <w:tcPr>
            <w:tcW w:w="1032" w:type="pct"/>
            <w:hideMark/>
          </w:tcPr>
          <w:p w14:paraId="4CACECB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Mean Δd</w:t>
            </w:r>
          </w:p>
        </w:tc>
        <w:tc>
          <w:tcPr>
            <w:tcW w:w="1029" w:type="pct"/>
            <w:hideMark/>
          </w:tcPr>
          <w:p w14:paraId="2102871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t statistic</w:t>
            </w:r>
          </w:p>
        </w:tc>
        <w:tc>
          <w:tcPr>
            <w:tcW w:w="873" w:type="pct"/>
            <w:hideMark/>
          </w:tcPr>
          <w:p w14:paraId="7905704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 (raw)</w:t>
            </w:r>
          </w:p>
        </w:tc>
        <w:tc>
          <w:tcPr>
            <w:tcW w:w="885" w:type="pct"/>
            <w:hideMark/>
          </w:tcPr>
          <w:p w14:paraId="60B1DF8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6FD5D846"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pct"/>
            <w:hideMark/>
          </w:tcPr>
          <w:p w14:paraId="667CD35F" w14:textId="77777777" w:rsidR="00B919ED" w:rsidRPr="00A51779" w:rsidRDefault="00B919ED" w:rsidP="00703316">
            <w:pPr>
              <w:spacing w:line="480" w:lineRule="auto"/>
              <w:jc w:val="both"/>
            </w:pPr>
            <w:r w:rsidRPr="00A51779">
              <w:t>TX</w:t>
            </w:r>
          </w:p>
        </w:tc>
        <w:tc>
          <w:tcPr>
            <w:tcW w:w="518" w:type="pct"/>
            <w:hideMark/>
          </w:tcPr>
          <w:p w14:paraId="5DC5DB0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1032" w:type="pct"/>
            <w:hideMark/>
          </w:tcPr>
          <w:p w14:paraId="0A704428" w14:textId="5CEF5BE4"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5.22e8</w:t>
            </w:r>
          </w:p>
        </w:tc>
        <w:tc>
          <w:tcPr>
            <w:tcW w:w="1029" w:type="pct"/>
            <w:hideMark/>
          </w:tcPr>
          <w:p w14:paraId="0FF3773E" w14:textId="1E8CB6CF"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1.989</w:t>
            </w:r>
          </w:p>
        </w:tc>
        <w:tc>
          <w:tcPr>
            <w:tcW w:w="873" w:type="pct"/>
            <w:hideMark/>
          </w:tcPr>
          <w:p w14:paraId="0A324EA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0.0467</w:t>
            </w:r>
          </w:p>
        </w:tc>
        <w:tc>
          <w:tcPr>
            <w:tcW w:w="885" w:type="pct"/>
            <w:hideMark/>
          </w:tcPr>
          <w:p w14:paraId="4700414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0.1400</w:t>
            </w:r>
          </w:p>
        </w:tc>
      </w:tr>
      <w:tr w:rsidR="00B919ED" w:rsidRPr="00A51779" w14:paraId="77A7F936" w14:textId="77777777" w:rsidTr="00450A61">
        <w:tc>
          <w:tcPr>
            <w:cnfStyle w:val="001000000000" w:firstRow="0" w:lastRow="0" w:firstColumn="1" w:lastColumn="0" w:oddVBand="0" w:evenVBand="0" w:oddHBand="0" w:evenHBand="0" w:firstRowFirstColumn="0" w:firstRowLastColumn="0" w:lastRowFirstColumn="0" w:lastRowLastColumn="0"/>
            <w:tcW w:w="662" w:type="pct"/>
            <w:hideMark/>
          </w:tcPr>
          <w:p w14:paraId="79D6E332" w14:textId="77777777" w:rsidR="00B919ED" w:rsidRPr="00A51779" w:rsidRDefault="00B919ED" w:rsidP="00703316">
            <w:pPr>
              <w:spacing w:line="480" w:lineRule="auto"/>
              <w:jc w:val="both"/>
            </w:pPr>
            <w:r w:rsidRPr="00A51779">
              <w:t>PA</w:t>
            </w:r>
          </w:p>
        </w:tc>
        <w:tc>
          <w:tcPr>
            <w:tcW w:w="518" w:type="pct"/>
            <w:hideMark/>
          </w:tcPr>
          <w:p w14:paraId="43D6F96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1032" w:type="pct"/>
            <w:hideMark/>
          </w:tcPr>
          <w:p w14:paraId="292B21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2.59e6</w:t>
            </w:r>
          </w:p>
        </w:tc>
        <w:tc>
          <w:tcPr>
            <w:tcW w:w="1029" w:type="pct"/>
            <w:hideMark/>
          </w:tcPr>
          <w:p w14:paraId="76C0CFA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0.241</w:t>
            </w:r>
          </w:p>
        </w:tc>
        <w:tc>
          <w:tcPr>
            <w:tcW w:w="873" w:type="pct"/>
            <w:hideMark/>
          </w:tcPr>
          <w:p w14:paraId="5DEACB4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0.8095</w:t>
            </w:r>
          </w:p>
        </w:tc>
        <w:tc>
          <w:tcPr>
            <w:tcW w:w="885" w:type="pct"/>
            <w:hideMark/>
          </w:tcPr>
          <w:p w14:paraId="138530A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0.8519</w:t>
            </w:r>
          </w:p>
        </w:tc>
      </w:tr>
      <w:tr w:rsidR="00B919ED" w:rsidRPr="00A51779" w14:paraId="552B67C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pct"/>
            <w:hideMark/>
          </w:tcPr>
          <w:p w14:paraId="02109391" w14:textId="77777777" w:rsidR="00B919ED" w:rsidRPr="00A51779" w:rsidRDefault="00B919ED" w:rsidP="00703316">
            <w:pPr>
              <w:spacing w:line="480" w:lineRule="auto"/>
              <w:jc w:val="both"/>
            </w:pPr>
            <w:r w:rsidRPr="00A51779">
              <w:t>CA</w:t>
            </w:r>
          </w:p>
        </w:tc>
        <w:tc>
          <w:tcPr>
            <w:tcW w:w="518" w:type="pct"/>
            <w:hideMark/>
          </w:tcPr>
          <w:p w14:paraId="50F9DA6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1032" w:type="pct"/>
            <w:hideMark/>
          </w:tcPr>
          <w:p w14:paraId="1C3C41CB" w14:textId="0BA519A1"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7.28e6</w:t>
            </w:r>
          </w:p>
        </w:tc>
        <w:tc>
          <w:tcPr>
            <w:tcW w:w="1029" w:type="pct"/>
            <w:hideMark/>
          </w:tcPr>
          <w:p w14:paraId="4EB4BED8" w14:textId="231FBAC4"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0.796</w:t>
            </w:r>
          </w:p>
        </w:tc>
        <w:tc>
          <w:tcPr>
            <w:tcW w:w="873" w:type="pct"/>
            <w:hideMark/>
          </w:tcPr>
          <w:p w14:paraId="070A43D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0.4259</w:t>
            </w:r>
          </w:p>
        </w:tc>
        <w:tc>
          <w:tcPr>
            <w:tcW w:w="885" w:type="pct"/>
            <w:hideMark/>
          </w:tcPr>
          <w:p w14:paraId="2FD9E4C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0.8519</w:t>
            </w:r>
          </w:p>
        </w:tc>
      </w:tr>
    </w:tbl>
    <w:p w14:paraId="058F7F12" w14:textId="77777777" w:rsidR="00336CF0" w:rsidRPr="00A51779" w:rsidRDefault="00336CF0" w:rsidP="00703316">
      <w:pPr>
        <w:spacing w:line="480" w:lineRule="auto"/>
        <w:jc w:val="both"/>
        <w:rPr>
          <w:b/>
          <w:bCs/>
        </w:rPr>
      </w:pPr>
    </w:p>
    <w:p w14:paraId="7D3A5A25" w14:textId="57741A3B" w:rsidR="00B919ED" w:rsidRPr="004219A9" w:rsidRDefault="00B919ED" w:rsidP="00703316">
      <w:pPr>
        <w:spacing w:line="480" w:lineRule="auto"/>
        <w:jc w:val="both"/>
      </w:pPr>
      <w:r w:rsidRPr="004219A9">
        <w:t xml:space="preserve">Table </w:t>
      </w:r>
      <w:r w:rsidR="004219A9" w:rsidRPr="004219A9">
        <w:t>7</w:t>
      </w:r>
      <w:r w:rsidRPr="004219A9">
        <w:t>. Aligned-window protocol comparison: identical forecast dates and hyperparameters, fixed vs. rolling retraining (one-day horizon).</w:t>
      </w:r>
    </w:p>
    <w:tbl>
      <w:tblPr>
        <w:tblStyle w:val="PlainTable2"/>
        <w:tblW w:w="5000" w:type="pct"/>
        <w:tblLook w:val="04A0" w:firstRow="1" w:lastRow="0" w:firstColumn="1" w:lastColumn="0" w:noHBand="0" w:noVBand="1"/>
      </w:tblPr>
      <w:tblGrid>
        <w:gridCol w:w="870"/>
        <w:gridCol w:w="2893"/>
        <w:gridCol w:w="680"/>
        <w:gridCol w:w="1325"/>
        <w:gridCol w:w="1247"/>
        <w:gridCol w:w="1310"/>
        <w:gridCol w:w="1035"/>
      </w:tblGrid>
      <w:tr w:rsidR="00B919ED" w:rsidRPr="00A51779" w14:paraId="42BF8367"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42A13780" w14:textId="77777777" w:rsidR="00B919ED" w:rsidRPr="00A51779" w:rsidRDefault="00B919ED" w:rsidP="00703316">
            <w:pPr>
              <w:spacing w:line="480" w:lineRule="auto"/>
              <w:jc w:val="both"/>
            </w:pPr>
            <w:r w:rsidRPr="00A51779">
              <w:t>State</w:t>
            </w:r>
          </w:p>
        </w:tc>
        <w:tc>
          <w:tcPr>
            <w:tcW w:w="1545" w:type="pct"/>
            <w:hideMark/>
          </w:tcPr>
          <w:p w14:paraId="3DDAFF4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Protocol</w:t>
            </w:r>
          </w:p>
        </w:tc>
        <w:tc>
          <w:tcPr>
            <w:tcW w:w="363" w:type="pct"/>
            <w:hideMark/>
          </w:tcPr>
          <w:p w14:paraId="1580B944"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w:t>
            </w:r>
          </w:p>
        </w:tc>
        <w:tc>
          <w:tcPr>
            <w:tcW w:w="708" w:type="pct"/>
            <w:hideMark/>
          </w:tcPr>
          <w:p w14:paraId="06501117" w14:textId="40EAF5BF"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Ridge</w:t>
            </w:r>
          </w:p>
        </w:tc>
        <w:tc>
          <w:tcPr>
            <w:tcW w:w="666" w:type="pct"/>
            <w:hideMark/>
          </w:tcPr>
          <w:p w14:paraId="48AC595A" w14:textId="5B0D798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HGB</w:t>
            </w:r>
          </w:p>
        </w:tc>
        <w:tc>
          <w:tcPr>
            <w:tcW w:w="700" w:type="pct"/>
            <w:hideMark/>
          </w:tcPr>
          <w:p w14:paraId="16EC9BCD"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553" w:type="pct"/>
            <w:hideMark/>
          </w:tcPr>
          <w:p w14:paraId="0E21D39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r>
      <w:tr w:rsidR="00B919ED" w:rsidRPr="00A51779" w14:paraId="0AC1ADB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4820D2B2" w14:textId="77777777" w:rsidR="00B919ED" w:rsidRPr="00A51779" w:rsidRDefault="00B919ED" w:rsidP="00703316">
            <w:pPr>
              <w:spacing w:line="480" w:lineRule="auto"/>
              <w:jc w:val="both"/>
            </w:pPr>
            <w:r w:rsidRPr="00A51779">
              <w:t>TX</w:t>
            </w:r>
          </w:p>
        </w:tc>
        <w:tc>
          <w:tcPr>
            <w:tcW w:w="1545" w:type="pct"/>
            <w:hideMark/>
          </w:tcPr>
          <w:p w14:paraId="2E3FCD0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Fixed (no retraining)</w:t>
            </w:r>
          </w:p>
        </w:tc>
        <w:tc>
          <w:tcPr>
            <w:tcW w:w="363" w:type="pct"/>
            <w:hideMark/>
          </w:tcPr>
          <w:p w14:paraId="60AA7C7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708" w:type="pct"/>
            <w:hideMark/>
          </w:tcPr>
          <w:p w14:paraId="0776783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0.704</w:t>
            </w:r>
          </w:p>
        </w:tc>
        <w:tc>
          <w:tcPr>
            <w:tcW w:w="666" w:type="pct"/>
            <w:hideMark/>
          </w:tcPr>
          <w:p w14:paraId="66EDACC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0.744</w:t>
            </w:r>
          </w:p>
        </w:tc>
        <w:tc>
          <w:tcPr>
            <w:tcW w:w="700" w:type="pct"/>
            <w:hideMark/>
          </w:tcPr>
          <w:p w14:paraId="470ABC0A" w14:textId="43F32AFF"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2.056</w:t>
            </w:r>
          </w:p>
        </w:tc>
        <w:tc>
          <w:tcPr>
            <w:tcW w:w="553" w:type="pct"/>
            <w:hideMark/>
          </w:tcPr>
          <w:p w14:paraId="01DCB2B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0.0403</w:t>
            </w:r>
          </w:p>
        </w:tc>
      </w:tr>
      <w:tr w:rsidR="00B919ED" w:rsidRPr="00A51779" w14:paraId="5B5FD737" w14:textId="77777777" w:rsidTr="00450A61">
        <w:tc>
          <w:tcPr>
            <w:cnfStyle w:val="001000000000" w:firstRow="0" w:lastRow="0" w:firstColumn="1" w:lastColumn="0" w:oddVBand="0" w:evenVBand="0" w:oddHBand="0" w:evenHBand="0" w:firstRowFirstColumn="0" w:firstRowLastColumn="0" w:lastRowFirstColumn="0" w:lastRowLastColumn="0"/>
            <w:tcW w:w="464" w:type="pct"/>
            <w:hideMark/>
          </w:tcPr>
          <w:p w14:paraId="43330487" w14:textId="77777777" w:rsidR="00B919ED" w:rsidRPr="00A51779" w:rsidRDefault="00B919ED" w:rsidP="00703316">
            <w:pPr>
              <w:spacing w:line="480" w:lineRule="auto"/>
              <w:jc w:val="both"/>
            </w:pPr>
            <w:r w:rsidRPr="00A51779">
              <w:t>TX</w:t>
            </w:r>
          </w:p>
        </w:tc>
        <w:tc>
          <w:tcPr>
            <w:tcW w:w="1545" w:type="pct"/>
            <w:hideMark/>
          </w:tcPr>
          <w:p w14:paraId="174189D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 (refit every 7d)</w:t>
            </w:r>
          </w:p>
        </w:tc>
        <w:tc>
          <w:tcPr>
            <w:tcW w:w="363" w:type="pct"/>
            <w:hideMark/>
          </w:tcPr>
          <w:p w14:paraId="48521A1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708" w:type="pct"/>
            <w:hideMark/>
          </w:tcPr>
          <w:p w14:paraId="10BF5FB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c>
          <w:tcPr>
            <w:tcW w:w="666" w:type="pct"/>
            <w:hideMark/>
          </w:tcPr>
          <w:p w14:paraId="18C798E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0.758</w:t>
            </w:r>
          </w:p>
        </w:tc>
        <w:tc>
          <w:tcPr>
            <w:tcW w:w="700" w:type="pct"/>
            <w:hideMark/>
          </w:tcPr>
          <w:p w14:paraId="3C42340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1.196</w:t>
            </w:r>
          </w:p>
        </w:tc>
        <w:tc>
          <w:tcPr>
            <w:tcW w:w="553" w:type="pct"/>
            <w:hideMark/>
          </w:tcPr>
          <w:p w14:paraId="52D1F2E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0.2324</w:t>
            </w:r>
          </w:p>
        </w:tc>
      </w:tr>
      <w:tr w:rsidR="00B919ED" w:rsidRPr="00A51779" w14:paraId="423F069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06D03047" w14:textId="77777777" w:rsidR="00B919ED" w:rsidRPr="00A51779" w:rsidRDefault="00B919ED" w:rsidP="00703316">
            <w:pPr>
              <w:spacing w:line="480" w:lineRule="auto"/>
              <w:jc w:val="both"/>
            </w:pPr>
            <w:r w:rsidRPr="00A51779">
              <w:t>PA</w:t>
            </w:r>
          </w:p>
        </w:tc>
        <w:tc>
          <w:tcPr>
            <w:tcW w:w="1545" w:type="pct"/>
            <w:hideMark/>
          </w:tcPr>
          <w:p w14:paraId="7BD8B8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Fixed (no retraining)</w:t>
            </w:r>
          </w:p>
        </w:tc>
        <w:tc>
          <w:tcPr>
            <w:tcW w:w="363" w:type="pct"/>
            <w:hideMark/>
          </w:tcPr>
          <w:p w14:paraId="44256D7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708" w:type="pct"/>
            <w:hideMark/>
          </w:tcPr>
          <w:p w14:paraId="6AE5A2E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0.924</w:t>
            </w:r>
          </w:p>
        </w:tc>
        <w:tc>
          <w:tcPr>
            <w:tcW w:w="666" w:type="pct"/>
            <w:hideMark/>
          </w:tcPr>
          <w:p w14:paraId="06A68F7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0.919</w:t>
            </w:r>
          </w:p>
        </w:tc>
        <w:tc>
          <w:tcPr>
            <w:tcW w:w="700" w:type="pct"/>
            <w:hideMark/>
          </w:tcPr>
          <w:p w14:paraId="3EDAC07E" w14:textId="15DD573C"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0.951</w:t>
            </w:r>
          </w:p>
        </w:tc>
        <w:tc>
          <w:tcPr>
            <w:tcW w:w="553" w:type="pct"/>
            <w:hideMark/>
          </w:tcPr>
          <w:p w14:paraId="691769B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0.3420</w:t>
            </w:r>
          </w:p>
        </w:tc>
      </w:tr>
      <w:tr w:rsidR="00B919ED" w:rsidRPr="00A51779" w14:paraId="7048E295" w14:textId="77777777" w:rsidTr="00450A61">
        <w:tc>
          <w:tcPr>
            <w:cnfStyle w:val="001000000000" w:firstRow="0" w:lastRow="0" w:firstColumn="1" w:lastColumn="0" w:oddVBand="0" w:evenVBand="0" w:oddHBand="0" w:evenHBand="0" w:firstRowFirstColumn="0" w:firstRowLastColumn="0" w:lastRowFirstColumn="0" w:lastRowLastColumn="0"/>
            <w:tcW w:w="464" w:type="pct"/>
            <w:hideMark/>
          </w:tcPr>
          <w:p w14:paraId="06EDA847" w14:textId="77777777" w:rsidR="00B919ED" w:rsidRPr="00A51779" w:rsidRDefault="00B919ED" w:rsidP="00703316">
            <w:pPr>
              <w:spacing w:line="480" w:lineRule="auto"/>
              <w:jc w:val="both"/>
            </w:pPr>
            <w:r w:rsidRPr="00A51779">
              <w:t>PA</w:t>
            </w:r>
          </w:p>
        </w:tc>
        <w:tc>
          <w:tcPr>
            <w:tcW w:w="1545" w:type="pct"/>
            <w:hideMark/>
          </w:tcPr>
          <w:p w14:paraId="665D6D3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 (refit every 7d)</w:t>
            </w:r>
          </w:p>
        </w:tc>
        <w:tc>
          <w:tcPr>
            <w:tcW w:w="363" w:type="pct"/>
            <w:hideMark/>
          </w:tcPr>
          <w:p w14:paraId="293353A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708" w:type="pct"/>
            <w:hideMark/>
          </w:tcPr>
          <w:p w14:paraId="311E3AB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w:t>
            </w:r>
          </w:p>
        </w:tc>
        <w:tc>
          <w:tcPr>
            <w:tcW w:w="666" w:type="pct"/>
            <w:hideMark/>
          </w:tcPr>
          <w:p w14:paraId="6FBF45A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c>
          <w:tcPr>
            <w:tcW w:w="700" w:type="pct"/>
            <w:hideMark/>
          </w:tcPr>
          <w:p w14:paraId="17E053AA" w14:textId="276E092A"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1.191</w:t>
            </w:r>
          </w:p>
        </w:tc>
        <w:tc>
          <w:tcPr>
            <w:tcW w:w="553" w:type="pct"/>
            <w:hideMark/>
          </w:tcPr>
          <w:p w14:paraId="13F6708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0.2343</w:t>
            </w:r>
          </w:p>
        </w:tc>
      </w:tr>
      <w:tr w:rsidR="00B919ED" w:rsidRPr="00A51779" w14:paraId="449DC1D5"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372956A8" w14:textId="77777777" w:rsidR="00B919ED" w:rsidRPr="00A51779" w:rsidRDefault="00B919ED" w:rsidP="00703316">
            <w:pPr>
              <w:spacing w:line="480" w:lineRule="auto"/>
              <w:jc w:val="both"/>
            </w:pPr>
            <w:r w:rsidRPr="00A51779">
              <w:t>CA</w:t>
            </w:r>
          </w:p>
        </w:tc>
        <w:tc>
          <w:tcPr>
            <w:tcW w:w="1545" w:type="pct"/>
            <w:hideMark/>
          </w:tcPr>
          <w:p w14:paraId="47EE2D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Fixed (no retraining)</w:t>
            </w:r>
          </w:p>
        </w:tc>
        <w:tc>
          <w:tcPr>
            <w:tcW w:w="363" w:type="pct"/>
            <w:hideMark/>
          </w:tcPr>
          <w:p w14:paraId="1754190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708" w:type="pct"/>
            <w:hideMark/>
          </w:tcPr>
          <w:p w14:paraId="1051351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0.819</w:t>
            </w:r>
          </w:p>
        </w:tc>
        <w:tc>
          <w:tcPr>
            <w:tcW w:w="666" w:type="pct"/>
            <w:hideMark/>
          </w:tcPr>
          <w:p w14:paraId="166E0CB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0.803</w:t>
            </w:r>
          </w:p>
        </w:tc>
        <w:tc>
          <w:tcPr>
            <w:tcW w:w="700" w:type="pct"/>
            <w:hideMark/>
          </w:tcPr>
          <w:p w14:paraId="16E9C6A2" w14:textId="2DF81C03"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1.722</w:t>
            </w:r>
          </w:p>
        </w:tc>
        <w:tc>
          <w:tcPr>
            <w:tcW w:w="553" w:type="pct"/>
            <w:hideMark/>
          </w:tcPr>
          <w:p w14:paraId="2175F0A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0.0856</w:t>
            </w:r>
          </w:p>
        </w:tc>
      </w:tr>
      <w:tr w:rsidR="00B919ED" w:rsidRPr="00A51779" w14:paraId="509368BD" w14:textId="77777777" w:rsidTr="00450A61">
        <w:tc>
          <w:tcPr>
            <w:cnfStyle w:val="001000000000" w:firstRow="0" w:lastRow="0" w:firstColumn="1" w:lastColumn="0" w:oddVBand="0" w:evenVBand="0" w:oddHBand="0" w:evenHBand="0" w:firstRowFirstColumn="0" w:firstRowLastColumn="0" w:lastRowFirstColumn="0" w:lastRowLastColumn="0"/>
            <w:tcW w:w="464" w:type="pct"/>
            <w:hideMark/>
          </w:tcPr>
          <w:p w14:paraId="7321E4B0" w14:textId="77777777" w:rsidR="00B919ED" w:rsidRPr="00A51779" w:rsidRDefault="00B919ED" w:rsidP="00703316">
            <w:pPr>
              <w:spacing w:line="480" w:lineRule="auto"/>
              <w:jc w:val="both"/>
            </w:pPr>
            <w:r w:rsidRPr="00A51779">
              <w:t>CA</w:t>
            </w:r>
          </w:p>
        </w:tc>
        <w:tc>
          <w:tcPr>
            <w:tcW w:w="1545" w:type="pct"/>
            <w:hideMark/>
          </w:tcPr>
          <w:p w14:paraId="764F2B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 (refit every 7d)</w:t>
            </w:r>
          </w:p>
        </w:tc>
        <w:tc>
          <w:tcPr>
            <w:tcW w:w="363" w:type="pct"/>
            <w:hideMark/>
          </w:tcPr>
          <w:p w14:paraId="564E294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708" w:type="pct"/>
            <w:hideMark/>
          </w:tcPr>
          <w:p w14:paraId="0F939D5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c>
          <w:tcPr>
            <w:tcW w:w="666" w:type="pct"/>
            <w:hideMark/>
          </w:tcPr>
          <w:p w14:paraId="2D07935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0.813</w:t>
            </w:r>
          </w:p>
        </w:tc>
        <w:tc>
          <w:tcPr>
            <w:tcW w:w="700" w:type="pct"/>
            <w:hideMark/>
          </w:tcPr>
          <w:p w14:paraId="16ACDCDB" w14:textId="0C7FE569"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3.111</w:t>
            </w:r>
          </w:p>
        </w:tc>
        <w:tc>
          <w:tcPr>
            <w:tcW w:w="553" w:type="pct"/>
            <w:hideMark/>
          </w:tcPr>
          <w:p w14:paraId="00A18C6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0.0020</w:t>
            </w:r>
          </w:p>
        </w:tc>
      </w:tr>
    </w:tbl>
    <w:p w14:paraId="49CC7DE4" w14:textId="77777777" w:rsidR="00336CF0" w:rsidRPr="00A51779" w:rsidRDefault="00336CF0" w:rsidP="00703316">
      <w:pPr>
        <w:spacing w:line="480" w:lineRule="auto"/>
        <w:jc w:val="both"/>
      </w:pPr>
    </w:p>
    <w:p w14:paraId="4225EC09" w14:textId="44B81DFD" w:rsidR="00B919ED" w:rsidRPr="00A51779" w:rsidRDefault="00B919ED" w:rsidP="00703316">
      <w:pPr>
        <w:spacing w:line="480" w:lineRule="auto"/>
        <w:jc w:val="both"/>
      </w:pPr>
      <w:r w:rsidRPr="00A51779">
        <w:t>The aligned-window results therefore support a more measured interpretation than a simple “protocol effect.” Retraining changes which comparisons would be declared statistically significant, as observed for CA and TX, but the direct test of whether retraining changes the underlying ridge</w:t>
      </w:r>
      <w:r w:rsidR="00DF4A43" w:rsidRPr="00A51779">
        <w:t>-</w:t>
      </w:r>
      <w:r w:rsidRPr="00A51779">
        <w:t xml:space="preserve">HGB loss differential does not survive multiplicity correction in any state. The evidence is therefore consistent with evaluation design affecting the precision and detectability of an existing performance difference at least as strongly as it affects the difference itself. A single, </w:t>
      </w:r>
      <w:r w:rsidRPr="00A51779">
        <w:lastRenderedPageBreak/>
        <w:t>non-repeated evaluation can consequently lead to a different inferential conclusion from rolling-origin evaluation without demonstrating that retraining fundamentally changes the underlying relative performance of the two models.</w:t>
      </w:r>
    </w:p>
    <w:p w14:paraId="43DCDE40" w14:textId="673C5FC1" w:rsidR="00B919ED" w:rsidRPr="00A51779" w:rsidRDefault="00B919ED" w:rsidP="00703316">
      <w:pPr>
        <w:spacing w:line="480" w:lineRule="auto"/>
        <w:jc w:val="both"/>
      </w:pPr>
      <w:r w:rsidRPr="00A51779">
        <w:t>The rolling-origin results were retained as the primary three-state evidence. After Holm and Benjamini</w:t>
      </w:r>
      <w:r w:rsidR="00DF4A43" w:rsidRPr="00A51779">
        <w:t>-</w:t>
      </w:r>
      <w:r w:rsidRPr="00A51779">
        <w:t>Hochberg correction across the six ridge</w:t>
      </w:r>
      <w:r w:rsidR="00DF4A43" w:rsidRPr="00A51779">
        <w:t>-</w:t>
      </w:r>
      <w:r w:rsidRPr="00A51779">
        <w:t>HGB comparisons, only CA at one day remained statistically significant, and that comparison favored ridge rather than HGB. TX showed no statistically distinguishable difference at either horizon. PA was similarly nonsignificant at one day, whereas its seven-day HGB advantage was nominally significant (</w:t>
      </w:r>
      <m:oMath>
        <m:r>
          <w:rPr>
            <w:rFonts w:ascii="Cambria Math" w:hAnsi="Cambria Math"/>
          </w:rPr>
          <m:t>p=0.0249</m:t>
        </m:r>
      </m:oMath>
      <w:r w:rsidRPr="00A51779">
        <w:t>) but did not survive Holm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=0.1246</m:t>
        </m:r>
      </m:oMath>
      <w:r w:rsidRPr="00A51779">
        <w:t xml:space="preserve">; BH </w:t>
      </w:r>
      <m:oMath>
        <m:r>
          <w:rPr>
            <w:rFonts w:ascii="Cambria Math" w:hAnsi="Cambria Math"/>
          </w:rPr>
          <m:t>q=0.0748</m:t>
        </m:r>
      </m:oMath>
      <w:r w:rsidRPr="00A51779">
        <w:t>).</w:t>
      </w:r>
    </w:p>
    <w:p w14:paraId="0B4713F2" w14:textId="708AD241" w:rsidR="00B919ED" w:rsidRPr="004219A9" w:rsidRDefault="00B919ED" w:rsidP="00703316">
      <w:pPr>
        <w:spacing w:line="480" w:lineRule="auto"/>
        <w:jc w:val="both"/>
      </w:pPr>
      <w:r w:rsidRPr="004219A9">
        <w:t xml:space="preserve">Table </w:t>
      </w:r>
      <w:r w:rsidR="004219A9" w:rsidRPr="004219A9">
        <w:t>8</w:t>
      </w:r>
      <w:r w:rsidRPr="004219A9">
        <w:t>. Rolling-origin ridge-vs-HGB comparison with multiplicity correction (6 principal tests).</w:t>
      </w:r>
    </w:p>
    <w:tbl>
      <w:tblPr>
        <w:tblStyle w:val="PlainTable2"/>
        <w:tblW w:w="5000" w:type="pct"/>
        <w:tblLook w:val="04A0" w:firstRow="1" w:lastRow="0" w:firstColumn="1" w:lastColumn="0" w:noHBand="0" w:noVBand="1"/>
      </w:tblPr>
      <w:tblGrid>
        <w:gridCol w:w="950"/>
        <w:gridCol w:w="1362"/>
        <w:gridCol w:w="1447"/>
        <w:gridCol w:w="1361"/>
        <w:gridCol w:w="1844"/>
        <w:gridCol w:w="1267"/>
        <w:gridCol w:w="1129"/>
      </w:tblGrid>
      <w:tr w:rsidR="00B919ED" w:rsidRPr="00A51779" w14:paraId="51FCFE61"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40D4E476" w14:textId="77777777" w:rsidR="00B919ED" w:rsidRPr="00A51779" w:rsidRDefault="00B919ED" w:rsidP="00703316">
            <w:pPr>
              <w:spacing w:line="480" w:lineRule="auto"/>
              <w:jc w:val="both"/>
            </w:pPr>
            <w:r w:rsidRPr="00A51779">
              <w:t>State</w:t>
            </w:r>
          </w:p>
        </w:tc>
        <w:tc>
          <w:tcPr>
            <w:tcW w:w="727" w:type="pct"/>
            <w:hideMark/>
          </w:tcPr>
          <w:p w14:paraId="424D498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773" w:type="pct"/>
            <w:hideMark/>
          </w:tcPr>
          <w:p w14:paraId="2A0A7E89" w14:textId="3047B1BE"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Ridge</w:t>
            </w:r>
          </w:p>
        </w:tc>
        <w:tc>
          <w:tcPr>
            <w:tcW w:w="727" w:type="pct"/>
            <w:hideMark/>
          </w:tcPr>
          <w:p w14:paraId="6FA513FA" w14:textId="7DE6CEE3"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HGB</w:t>
            </w:r>
          </w:p>
        </w:tc>
        <w:tc>
          <w:tcPr>
            <w:tcW w:w="985" w:type="pct"/>
            <w:hideMark/>
          </w:tcPr>
          <w:p w14:paraId="2AFC3F3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p (raw)</w:t>
            </w:r>
          </w:p>
        </w:tc>
        <w:tc>
          <w:tcPr>
            <w:tcW w:w="677" w:type="pct"/>
            <w:hideMark/>
          </w:tcPr>
          <w:p w14:paraId="2A127302"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c>
          <w:tcPr>
            <w:tcW w:w="603" w:type="pct"/>
            <w:hideMark/>
          </w:tcPr>
          <w:p w14:paraId="20D2CC8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BH q</w:t>
            </w:r>
          </w:p>
        </w:tc>
      </w:tr>
      <w:tr w:rsidR="00B919ED" w:rsidRPr="00A51779" w14:paraId="1FE871B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71B7B6F0" w14:textId="77777777" w:rsidR="00B919ED" w:rsidRPr="00A51779" w:rsidRDefault="00B919ED" w:rsidP="00703316">
            <w:pPr>
              <w:spacing w:line="480" w:lineRule="auto"/>
              <w:jc w:val="both"/>
            </w:pPr>
            <w:r w:rsidRPr="00A51779">
              <w:t>TX</w:t>
            </w:r>
          </w:p>
        </w:tc>
        <w:tc>
          <w:tcPr>
            <w:tcW w:w="727" w:type="pct"/>
            <w:hideMark/>
          </w:tcPr>
          <w:p w14:paraId="2FF1FE0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773" w:type="pct"/>
            <w:hideMark/>
          </w:tcPr>
          <w:p w14:paraId="71AA976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0.745</w:t>
            </w:r>
          </w:p>
        </w:tc>
        <w:tc>
          <w:tcPr>
            <w:tcW w:w="727" w:type="pct"/>
            <w:hideMark/>
          </w:tcPr>
          <w:p w14:paraId="387FFE6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c>
          <w:tcPr>
            <w:tcW w:w="985" w:type="pct"/>
            <w:hideMark/>
          </w:tcPr>
          <w:p w14:paraId="214E712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0.2324</w:t>
            </w:r>
          </w:p>
        </w:tc>
        <w:tc>
          <w:tcPr>
            <w:tcW w:w="677" w:type="pct"/>
            <w:hideMark/>
          </w:tcPr>
          <w:p w14:paraId="5958D66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0.9295</w:t>
            </w:r>
          </w:p>
        </w:tc>
        <w:tc>
          <w:tcPr>
            <w:tcW w:w="603" w:type="pct"/>
            <w:hideMark/>
          </w:tcPr>
          <w:p w14:paraId="40267F2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0.3514</w:t>
            </w:r>
          </w:p>
        </w:tc>
      </w:tr>
      <w:tr w:rsidR="00B919ED" w:rsidRPr="00A51779" w14:paraId="30003022" w14:textId="77777777" w:rsidTr="00450A61">
        <w:tc>
          <w:tcPr>
            <w:cnfStyle w:val="001000000000" w:firstRow="0" w:lastRow="0" w:firstColumn="1" w:lastColumn="0" w:oddVBand="0" w:evenVBand="0" w:oddHBand="0" w:evenHBand="0" w:firstRowFirstColumn="0" w:firstRowLastColumn="0" w:lastRowFirstColumn="0" w:lastRowLastColumn="0"/>
            <w:tcW w:w="507" w:type="pct"/>
            <w:hideMark/>
          </w:tcPr>
          <w:p w14:paraId="335FCAC2" w14:textId="77777777" w:rsidR="00B919ED" w:rsidRPr="00A51779" w:rsidRDefault="00B919ED" w:rsidP="00703316">
            <w:pPr>
              <w:spacing w:line="480" w:lineRule="auto"/>
              <w:jc w:val="both"/>
            </w:pPr>
            <w:r w:rsidRPr="00A51779">
              <w:t>PA</w:t>
            </w:r>
          </w:p>
        </w:tc>
        <w:tc>
          <w:tcPr>
            <w:tcW w:w="727" w:type="pct"/>
            <w:hideMark/>
          </w:tcPr>
          <w:p w14:paraId="7CF2345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773" w:type="pct"/>
            <w:hideMark/>
          </w:tcPr>
          <w:p w14:paraId="72CDD7F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w:t>
            </w:r>
          </w:p>
        </w:tc>
        <w:tc>
          <w:tcPr>
            <w:tcW w:w="727" w:type="pct"/>
            <w:hideMark/>
          </w:tcPr>
          <w:p w14:paraId="5DE34F7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c>
          <w:tcPr>
            <w:tcW w:w="985" w:type="pct"/>
            <w:hideMark/>
          </w:tcPr>
          <w:p w14:paraId="746D34C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0.2343</w:t>
            </w:r>
          </w:p>
        </w:tc>
        <w:tc>
          <w:tcPr>
            <w:tcW w:w="677" w:type="pct"/>
            <w:hideMark/>
          </w:tcPr>
          <w:p w14:paraId="1C8E328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c>
          <w:tcPr>
            <w:tcW w:w="603" w:type="pct"/>
            <w:hideMark/>
          </w:tcPr>
          <w:p w14:paraId="1635FB8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0.3514</w:t>
            </w:r>
          </w:p>
        </w:tc>
      </w:tr>
      <w:tr w:rsidR="00B919ED" w:rsidRPr="00A51779" w14:paraId="06976E1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12434F03" w14:textId="77777777" w:rsidR="00B919ED" w:rsidRPr="00A51779" w:rsidRDefault="00B919ED" w:rsidP="00703316">
            <w:pPr>
              <w:spacing w:line="480" w:lineRule="auto"/>
              <w:jc w:val="both"/>
            </w:pPr>
            <w:r w:rsidRPr="00A51779">
              <w:t>CA</w:t>
            </w:r>
          </w:p>
        </w:tc>
        <w:tc>
          <w:tcPr>
            <w:tcW w:w="727" w:type="pct"/>
            <w:hideMark/>
          </w:tcPr>
          <w:p w14:paraId="3B3AE49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773" w:type="pct"/>
            <w:hideMark/>
          </w:tcPr>
          <w:p w14:paraId="5D5FEE5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0.834</w:t>
            </w:r>
          </w:p>
        </w:tc>
        <w:tc>
          <w:tcPr>
            <w:tcW w:w="727" w:type="pct"/>
            <w:hideMark/>
          </w:tcPr>
          <w:p w14:paraId="44473AA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c>
          <w:tcPr>
            <w:tcW w:w="985" w:type="pct"/>
            <w:hideMark/>
          </w:tcPr>
          <w:p w14:paraId="7BA1D13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0.0020</w:t>
            </w:r>
          </w:p>
        </w:tc>
        <w:tc>
          <w:tcPr>
            <w:tcW w:w="677" w:type="pct"/>
            <w:hideMark/>
          </w:tcPr>
          <w:p w14:paraId="09E4F05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0.0118</w:t>
            </w:r>
          </w:p>
        </w:tc>
        <w:tc>
          <w:tcPr>
            <w:tcW w:w="603" w:type="pct"/>
            <w:hideMark/>
          </w:tcPr>
          <w:p w14:paraId="2EE447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0.0118</w:t>
            </w:r>
          </w:p>
        </w:tc>
      </w:tr>
      <w:tr w:rsidR="00B919ED" w:rsidRPr="00A51779" w14:paraId="1DD65D46" w14:textId="77777777" w:rsidTr="00450A61">
        <w:tc>
          <w:tcPr>
            <w:cnfStyle w:val="001000000000" w:firstRow="0" w:lastRow="0" w:firstColumn="1" w:lastColumn="0" w:oddVBand="0" w:evenVBand="0" w:oddHBand="0" w:evenHBand="0" w:firstRowFirstColumn="0" w:firstRowLastColumn="0" w:lastRowFirstColumn="0" w:lastRowLastColumn="0"/>
            <w:tcW w:w="507" w:type="pct"/>
            <w:hideMark/>
          </w:tcPr>
          <w:p w14:paraId="7A6810FE" w14:textId="77777777" w:rsidR="00B919ED" w:rsidRPr="00A51779" w:rsidRDefault="00B919ED" w:rsidP="00703316">
            <w:pPr>
              <w:spacing w:line="480" w:lineRule="auto"/>
              <w:jc w:val="both"/>
            </w:pPr>
            <w:r w:rsidRPr="00A51779">
              <w:t>TX</w:t>
            </w:r>
          </w:p>
        </w:tc>
        <w:tc>
          <w:tcPr>
            <w:tcW w:w="727" w:type="pct"/>
            <w:hideMark/>
          </w:tcPr>
          <w:p w14:paraId="0560E4E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773" w:type="pct"/>
            <w:hideMark/>
          </w:tcPr>
          <w:p w14:paraId="713A125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0.458</w:t>
            </w:r>
          </w:p>
        </w:tc>
        <w:tc>
          <w:tcPr>
            <w:tcW w:w="727" w:type="pct"/>
            <w:hideMark/>
          </w:tcPr>
          <w:p w14:paraId="5BDF463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0.501</w:t>
            </w:r>
          </w:p>
        </w:tc>
        <w:tc>
          <w:tcPr>
            <w:tcW w:w="985" w:type="pct"/>
            <w:hideMark/>
          </w:tcPr>
          <w:p w14:paraId="1F9569F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0.3176</w:t>
            </w:r>
          </w:p>
        </w:tc>
        <w:tc>
          <w:tcPr>
            <w:tcW w:w="677" w:type="pct"/>
            <w:hideMark/>
          </w:tcPr>
          <w:p w14:paraId="420E4B1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c>
          <w:tcPr>
            <w:tcW w:w="603" w:type="pct"/>
            <w:hideMark/>
          </w:tcPr>
          <w:p w14:paraId="3962C96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0.3811</w:t>
            </w:r>
          </w:p>
        </w:tc>
      </w:tr>
      <w:tr w:rsidR="00B919ED" w:rsidRPr="00A51779" w14:paraId="1D56598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43C517E0" w14:textId="77777777" w:rsidR="00B919ED" w:rsidRPr="00A51779" w:rsidRDefault="00B919ED" w:rsidP="00703316">
            <w:pPr>
              <w:spacing w:line="480" w:lineRule="auto"/>
              <w:jc w:val="both"/>
            </w:pPr>
            <w:r w:rsidRPr="00A51779">
              <w:t>PA</w:t>
            </w:r>
          </w:p>
        </w:tc>
        <w:tc>
          <w:tcPr>
            <w:tcW w:w="727" w:type="pct"/>
            <w:hideMark/>
          </w:tcPr>
          <w:p w14:paraId="7B31D73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773" w:type="pct"/>
            <w:hideMark/>
          </w:tcPr>
          <w:p w14:paraId="421A804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0.486</w:t>
            </w:r>
          </w:p>
        </w:tc>
        <w:tc>
          <w:tcPr>
            <w:tcW w:w="727" w:type="pct"/>
            <w:hideMark/>
          </w:tcPr>
          <w:p w14:paraId="0DB8AE5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0.584</w:t>
            </w:r>
          </w:p>
        </w:tc>
        <w:tc>
          <w:tcPr>
            <w:tcW w:w="985" w:type="pct"/>
            <w:hideMark/>
          </w:tcPr>
          <w:p w14:paraId="0104109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0.0249</w:t>
            </w:r>
          </w:p>
        </w:tc>
        <w:tc>
          <w:tcPr>
            <w:tcW w:w="677" w:type="pct"/>
            <w:hideMark/>
          </w:tcPr>
          <w:p w14:paraId="13FCA54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0.1246</w:t>
            </w:r>
          </w:p>
        </w:tc>
        <w:tc>
          <w:tcPr>
            <w:tcW w:w="603" w:type="pct"/>
            <w:hideMark/>
          </w:tcPr>
          <w:p w14:paraId="5E5C7DE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0.0748</w:t>
            </w:r>
          </w:p>
        </w:tc>
      </w:tr>
      <w:tr w:rsidR="00B919ED" w:rsidRPr="00A51779" w14:paraId="7B79D6B5" w14:textId="77777777" w:rsidTr="00450A61">
        <w:tc>
          <w:tcPr>
            <w:cnfStyle w:val="001000000000" w:firstRow="0" w:lastRow="0" w:firstColumn="1" w:lastColumn="0" w:oddVBand="0" w:evenVBand="0" w:oddHBand="0" w:evenHBand="0" w:firstRowFirstColumn="0" w:firstRowLastColumn="0" w:lastRowFirstColumn="0" w:lastRowLastColumn="0"/>
            <w:tcW w:w="507" w:type="pct"/>
            <w:hideMark/>
          </w:tcPr>
          <w:p w14:paraId="14B63D8F" w14:textId="77777777" w:rsidR="00B919ED" w:rsidRPr="00A51779" w:rsidRDefault="00B919ED" w:rsidP="00703316">
            <w:pPr>
              <w:spacing w:line="480" w:lineRule="auto"/>
              <w:jc w:val="both"/>
            </w:pPr>
            <w:r w:rsidRPr="00A51779">
              <w:t>CA</w:t>
            </w:r>
          </w:p>
        </w:tc>
        <w:tc>
          <w:tcPr>
            <w:tcW w:w="727" w:type="pct"/>
            <w:hideMark/>
          </w:tcPr>
          <w:p w14:paraId="2E64476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773" w:type="pct"/>
            <w:hideMark/>
          </w:tcPr>
          <w:p w14:paraId="58150E7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0.325</w:t>
            </w:r>
          </w:p>
        </w:tc>
        <w:tc>
          <w:tcPr>
            <w:tcW w:w="727" w:type="pct"/>
            <w:hideMark/>
          </w:tcPr>
          <w:p w14:paraId="3AD7E9D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0.386</w:t>
            </w:r>
          </w:p>
        </w:tc>
        <w:tc>
          <w:tcPr>
            <w:tcW w:w="985" w:type="pct"/>
            <w:hideMark/>
          </w:tcPr>
          <w:p w14:paraId="08324F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0.4737</w:t>
            </w:r>
          </w:p>
        </w:tc>
        <w:tc>
          <w:tcPr>
            <w:tcW w:w="677" w:type="pct"/>
            <w:hideMark/>
          </w:tcPr>
          <w:p w14:paraId="0D2545E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c>
          <w:tcPr>
            <w:tcW w:w="603" w:type="pct"/>
            <w:hideMark/>
          </w:tcPr>
          <w:p w14:paraId="69F873A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0.4737</w:t>
            </w:r>
          </w:p>
        </w:tc>
      </w:tr>
    </w:tbl>
    <w:p w14:paraId="21C41524" w14:textId="77777777" w:rsidR="00336CF0" w:rsidRPr="00A51779" w:rsidRDefault="00336CF0" w:rsidP="00703316">
      <w:pPr>
        <w:spacing w:line="480" w:lineRule="auto"/>
        <w:jc w:val="both"/>
      </w:pPr>
    </w:p>
    <w:p w14:paraId="0C2EE66D" w14:textId="450667AC" w:rsidR="00B919ED" w:rsidRPr="00A51779" w:rsidRDefault="00B919ED" w:rsidP="00703316">
      <w:pPr>
        <w:spacing w:line="480" w:lineRule="auto"/>
        <w:jc w:val="both"/>
      </w:pPr>
      <w:r w:rsidRPr="00A51779">
        <w:t xml:space="preserve">Effect-size estimates provide a complementary view of the same comparisons. At one day, HGB reduced RMSE relative to ridge by 2.56% in TX, whereas ridge reduced RMSE relative to HGB by 3.17% in PA and 6.17% in CA. The 95% bootstrap confidence interval excluded zero only for CA. At seven days, the point estimate favored HGB in all three states, with RMSE improvements of 4.04% in TX, 10.06% in PA, and 4.59% in CA. Only PA had a confidence interval excluding </w:t>
      </w:r>
      <w:r w:rsidRPr="00A51779">
        <w:lastRenderedPageBreak/>
        <w:t>zero. This result is locally stable but differs from family-wise inference: the PA seven-day effect estimate excludes zero, yet the corresponding DM comparison does not survive correction across all six state–horizon tests.</w:t>
      </w:r>
    </w:p>
    <w:p w14:paraId="7E4AA30F" w14:textId="5B0428FB" w:rsidR="00B919ED" w:rsidRPr="004219A9" w:rsidRDefault="00B919ED" w:rsidP="00703316">
      <w:pPr>
        <w:spacing w:line="480" w:lineRule="auto"/>
        <w:jc w:val="both"/>
      </w:pPr>
      <w:r w:rsidRPr="004219A9">
        <w:t xml:space="preserve">Table </w:t>
      </w:r>
      <w:r w:rsidR="004219A9" w:rsidRPr="004219A9">
        <w:t>9</w:t>
      </w:r>
      <w:r w:rsidRPr="004219A9">
        <w:t>. Effect size (ΔRMSE%, HGB relative to ridge) with block-bootstrap 95% CI (block=7 days).</w:t>
      </w:r>
    </w:p>
    <w:tbl>
      <w:tblPr>
        <w:tblStyle w:val="PlainTable2"/>
        <w:tblW w:w="5000" w:type="pct"/>
        <w:tblLook w:val="04A0" w:firstRow="1" w:lastRow="0" w:firstColumn="1" w:lastColumn="0" w:noHBand="0" w:noVBand="1"/>
      </w:tblPr>
      <w:tblGrid>
        <w:gridCol w:w="864"/>
        <w:gridCol w:w="1237"/>
        <w:gridCol w:w="1808"/>
        <w:gridCol w:w="3570"/>
        <w:gridCol w:w="1881"/>
      </w:tblGrid>
      <w:tr w:rsidR="00B919ED" w:rsidRPr="00A51779" w14:paraId="29B251D1"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105E70E3" w14:textId="77777777" w:rsidR="00B919ED" w:rsidRPr="00A51779" w:rsidRDefault="00B919ED" w:rsidP="00703316">
            <w:pPr>
              <w:spacing w:line="480" w:lineRule="auto"/>
              <w:jc w:val="both"/>
            </w:pPr>
            <w:r w:rsidRPr="00A51779">
              <w:t>State</w:t>
            </w:r>
          </w:p>
        </w:tc>
        <w:tc>
          <w:tcPr>
            <w:tcW w:w="661" w:type="pct"/>
            <w:hideMark/>
          </w:tcPr>
          <w:p w14:paraId="121D604D"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966" w:type="pct"/>
            <w:hideMark/>
          </w:tcPr>
          <w:p w14:paraId="0C04276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Better model</w:t>
            </w:r>
          </w:p>
        </w:tc>
        <w:tc>
          <w:tcPr>
            <w:tcW w:w="1907" w:type="pct"/>
            <w:hideMark/>
          </w:tcPr>
          <w:p w14:paraId="1668E54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ΔRMSE% (HGB vs. Ridge)</w:t>
            </w:r>
          </w:p>
        </w:tc>
        <w:tc>
          <w:tcPr>
            <w:tcW w:w="1006" w:type="pct"/>
            <w:hideMark/>
          </w:tcPr>
          <w:p w14:paraId="512F96A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95% CI</w:t>
            </w:r>
          </w:p>
        </w:tc>
      </w:tr>
      <w:tr w:rsidR="00B919ED" w:rsidRPr="00A51779" w14:paraId="13FF391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38F982A9" w14:textId="77777777" w:rsidR="00B919ED" w:rsidRPr="00A51779" w:rsidRDefault="00B919ED" w:rsidP="00703316">
            <w:pPr>
              <w:spacing w:line="480" w:lineRule="auto"/>
              <w:jc w:val="both"/>
            </w:pPr>
            <w:r w:rsidRPr="00A51779">
              <w:t>TX</w:t>
            </w:r>
          </w:p>
        </w:tc>
        <w:tc>
          <w:tcPr>
            <w:tcW w:w="661" w:type="pct"/>
            <w:hideMark/>
          </w:tcPr>
          <w:p w14:paraId="57166F0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66" w:type="pct"/>
            <w:hideMark/>
          </w:tcPr>
          <w:p w14:paraId="12AE2D0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907" w:type="pct"/>
            <w:hideMark/>
          </w:tcPr>
          <w:p w14:paraId="3F01EB9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2.56</w:t>
            </w:r>
          </w:p>
        </w:tc>
        <w:tc>
          <w:tcPr>
            <w:tcW w:w="1006" w:type="pct"/>
            <w:hideMark/>
          </w:tcPr>
          <w:p w14:paraId="47B8B4DC" w14:textId="6A6CE0E9"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DF4A43" w:rsidRPr="00A51779">
              <w:t>-</w:t>
            </w:r>
            <w:r w:rsidRPr="00A51779">
              <w:t>1.60, 6.87]</w:t>
            </w:r>
          </w:p>
        </w:tc>
      </w:tr>
      <w:tr w:rsidR="00B919ED" w:rsidRPr="00A51779" w14:paraId="754DBF15" w14:textId="77777777" w:rsidTr="00450A61">
        <w:tc>
          <w:tcPr>
            <w:cnfStyle w:val="001000000000" w:firstRow="0" w:lastRow="0" w:firstColumn="1" w:lastColumn="0" w:oddVBand="0" w:evenVBand="0" w:oddHBand="0" w:evenHBand="0" w:firstRowFirstColumn="0" w:firstRowLastColumn="0" w:lastRowFirstColumn="0" w:lastRowLastColumn="0"/>
            <w:tcW w:w="461" w:type="pct"/>
            <w:hideMark/>
          </w:tcPr>
          <w:p w14:paraId="413CC5D2" w14:textId="77777777" w:rsidR="00B919ED" w:rsidRPr="00A51779" w:rsidRDefault="00B919ED" w:rsidP="00703316">
            <w:pPr>
              <w:spacing w:line="480" w:lineRule="auto"/>
              <w:jc w:val="both"/>
            </w:pPr>
            <w:r w:rsidRPr="00A51779">
              <w:t>PA</w:t>
            </w:r>
          </w:p>
        </w:tc>
        <w:tc>
          <w:tcPr>
            <w:tcW w:w="661" w:type="pct"/>
            <w:hideMark/>
          </w:tcPr>
          <w:p w14:paraId="537DED2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966" w:type="pct"/>
            <w:hideMark/>
          </w:tcPr>
          <w:p w14:paraId="2100695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907" w:type="pct"/>
            <w:hideMark/>
          </w:tcPr>
          <w:p w14:paraId="27D5AC22" w14:textId="693A5731"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3.17</w:t>
            </w:r>
          </w:p>
        </w:tc>
        <w:tc>
          <w:tcPr>
            <w:tcW w:w="1006" w:type="pct"/>
            <w:hideMark/>
          </w:tcPr>
          <w:p w14:paraId="4B396E6A" w14:textId="578C161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DF4A43" w:rsidRPr="00A51779">
              <w:t>-</w:t>
            </w:r>
            <w:r w:rsidRPr="00A51779">
              <w:t>9.08, 0.94]</w:t>
            </w:r>
          </w:p>
        </w:tc>
      </w:tr>
      <w:tr w:rsidR="00B919ED" w:rsidRPr="00A51779" w14:paraId="11565D33"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42A87C05" w14:textId="77777777" w:rsidR="00B919ED" w:rsidRPr="00A51779" w:rsidRDefault="00B919ED" w:rsidP="00703316">
            <w:pPr>
              <w:spacing w:line="480" w:lineRule="auto"/>
              <w:jc w:val="both"/>
            </w:pPr>
            <w:r w:rsidRPr="00A51779">
              <w:t>CA</w:t>
            </w:r>
          </w:p>
        </w:tc>
        <w:tc>
          <w:tcPr>
            <w:tcW w:w="661" w:type="pct"/>
            <w:hideMark/>
          </w:tcPr>
          <w:p w14:paraId="54AA9B2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66" w:type="pct"/>
            <w:hideMark/>
          </w:tcPr>
          <w:p w14:paraId="300F81C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907" w:type="pct"/>
            <w:hideMark/>
          </w:tcPr>
          <w:p w14:paraId="5DF3BD16" w14:textId="0E7C36B5"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6.17</w:t>
            </w:r>
          </w:p>
        </w:tc>
        <w:tc>
          <w:tcPr>
            <w:tcW w:w="1006" w:type="pct"/>
            <w:hideMark/>
          </w:tcPr>
          <w:p w14:paraId="6AA9DB7E" w14:textId="498E11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DF4A43" w:rsidRPr="00A51779">
              <w:t>-</w:t>
            </w:r>
            <w:r w:rsidRPr="00A51779">
              <w:t xml:space="preserve">9.93, </w:t>
            </w:r>
            <w:r w:rsidR="00DF4A43" w:rsidRPr="00A51779">
              <w:t>-</w:t>
            </w:r>
            <w:r w:rsidRPr="00A51779">
              <w:t>2.43]</w:t>
            </w:r>
          </w:p>
        </w:tc>
      </w:tr>
      <w:tr w:rsidR="00B919ED" w:rsidRPr="00A51779" w14:paraId="158B07E3" w14:textId="77777777" w:rsidTr="00450A61">
        <w:tc>
          <w:tcPr>
            <w:cnfStyle w:val="001000000000" w:firstRow="0" w:lastRow="0" w:firstColumn="1" w:lastColumn="0" w:oddVBand="0" w:evenVBand="0" w:oddHBand="0" w:evenHBand="0" w:firstRowFirstColumn="0" w:firstRowLastColumn="0" w:lastRowFirstColumn="0" w:lastRowLastColumn="0"/>
            <w:tcW w:w="461" w:type="pct"/>
            <w:hideMark/>
          </w:tcPr>
          <w:p w14:paraId="39421AA3" w14:textId="77777777" w:rsidR="00B919ED" w:rsidRPr="00A51779" w:rsidRDefault="00B919ED" w:rsidP="00703316">
            <w:pPr>
              <w:spacing w:line="480" w:lineRule="auto"/>
              <w:jc w:val="both"/>
            </w:pPr>
            <w:r w:rsidRPr="00A51779">
              <w:t>TX</w:t>
            </w:r>
          </w:p>
        </w:tc>
        <w:tc>
          <w:tcPr>
            <w:tcW w:w="661" w:type="pct"/>
            <w:hideMark/>
          </w:tcPr>
          <w:p w14:paraId="3804A00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66" w:type="pct"/>
            <w:hideMark/>
          </w:tcPr>
          <w:p w14:paraId="247C0AF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907" w:type="pct"/>
            <w:hideMark/>
          </w:tcPr>
          <w:p w14:paraId="45BD076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4.04</w:t>
            </w:r>
          </w:p>
        </w:tc>
        <w:tc>
          <w:tcPr>
            <w:tcW w:w="1006" w:type="pct"/>
            <w:hideMark/>
          </w:tcPr>
          <w:p w14:paraId="7FD12525" w14:textId="3D3E4D62"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DF4A43" w:rsidRPr="00A51779">
              <w:t>-</w:t>
            </w:r>
            <w:r w:rsidRPr="00A51779">
              <w:t>3.67, 11.30]</w:t>
            </w:r>
          </w:p>
        </w:tc>
      </w:tr>
      <w:tr w:rsidR="00B919ED" w:rsidRPr="00A51779" w14:paraId="57F39E6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11BA444B" w14:textId="77777777" w:rsidR="00B919ED" w:rsidRPr="00A51779" w:rsidRDefault="00B919ED" w:rsidP="00703316">
            <w:pPr>
              <w:spacing w:line="480" w:lineRule="auto"/>
              <w:jc w:val="both"/>
            </w:pPr>
            <w:r w:rsidRPr="00A51779">
              <w:t>PA</w:t>
            </w:r>
          </w:p>
        </w:tc>
        <w:tc>
          <w:tcPr>
            <w:tcW w:w="661" w:type="pct"/>
            <w:hideMark/>
          </w:tcPr>
          <w:p w14:paraId="31DAA6E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966" w:type="pct"/>
            <w:hideMark/>
          </w:tcPr>
          <w:p w14:paraId="2C417B2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907" w:type="pct"/>
            <w:hideMark/>
          </w:tcPr>
          <w:p w14:paraId="671D75F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10.06</w:t>
            </w:r>
          </w:p>
        </w:tc>
        <w:tc>
          <w:tcPr>
            <w:tcW w:w="1006" w:type="pct"/>
            <w:hideMark/>
          </w:tcPr>
          <w:p w14:paraId="7043111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[2.38, 17.15]</w:t>
            </w:r>
          </w:p>
        </w:tc>
      </w:tr>
      <w:tr w:rsidR="00B919ED" w:rsidRPr="00A51779" w14:paraId="57558AE4" w14:textId="77777777" w:rsidTr="00450A61">
        <w:tc>
          <w:tcPr>
            <w:cnfStyle w:val="001000000000" w:firstRow="0" w:lastRow="0" w:firstColumn="1" w:lastColumn="0" w:oddVBand="0" w:evenVBand="0" w:oddHBand="0" w:evenHBand="0" w:firstRowFirstColumn="0" w:firstRowLastColumn="0" w:lastRowFirstColumn="0" w:lastRowLastColumn="0"/>
            <w:tcW w:w="461" w:type="pct"/>
            <w:hideMark/>
          </w:tcPr>
          <w:p w14:paraId="3811E490" w14:textId="77777777" w:rsidR="00B919ED" w:rsidRPr="00A51779" w:rsidRDefault="00B919ED" w:rsidP="00703316">
            <w:pPr>
              <w:spacing w:line="480" w:lineRule="auto"/>
              <w:jc w:val="both"/>
            </w:pPr>
            <w:r w:rsidRPr="00A51779">
              <w:t>CA</w:t>
            </w:r>
          </w:p>
        </w:tc>
        <w:tc>
          <w:tcPr>
            <w:tcW w:w="661" w:type="pct"/>
            <w:hideMark/>
          </w:tcPr>
          <w:p w14:paraId="217A32C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66" w:type="pct"/>
            <w:hideMark/>
          </w:tcPr>
          <w:p w14:paraId="67FB5E5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907" w:type="pct"/>
            <w:hideMark/>
          </w:tcPr>
          <w:p w14:paraId="315F7CE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4.59</w:t>
            </w:r>
          </w:p>
        </w:tc>
        <w:tc>
          <w:tcPr>
            <w:tcW w:w="1006" w:type="pct"/>
            <w:hideMark/>
          </w:tcPr>
          <w:p w14:paraId="3747C4CC" w14:textId="23F1B4C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DF4A43" w:rsidRPr="00A51779">
              <w:t>-</w:t>
            </w:r>
            <w:r w:rsidRPr="00A51779">
              <w:t>7.47, 15.00]</w:t>
            </w:r>
          </w:p>
        </w:tc>
      </w:tr>
    </w:tbl>
    <w:p w14:paraId="0BA661CF" w14:textId="77777777" w:rsidR="00450A61" w:rsidRPr="00A51779" w:rsidRDefault="00450A61" w:rsidP="00703316">
      <w:pPr>
        <w:spacing w:line="480" w:lineRule="auto"/>
        <w:jc w:val="both"/>
        <w:rPr>
          <w:b/>
          <w:bCs/>
        </w:rPr>
      </w:pPr>
    </w:p>
    <w:p w14:paraId="2E90C2CC" w14:textId="77777777" w:rsidR="00D076A3" w:rsidRPr="00A51779" w:rsidRDefault="00D076A3" w:rsidP="00D076A3">
      <w:pPr>
        <w:keepNext/>
        <w:jc w:val="center"/>
      </w:pPr>
      <w:r w:rsidRPr="00A51779">
        <w:rPr>
          <w:noProof/>
        </w:rPr>
        <w:drawing>
          <wp:inline distT="0" distB="0" distL="0" distR="0" wp14:anchorId="146E7E7C" wp14:editId="6DF7138B">
            <wp:extent cx="5806440" cy="2870600"/>
            <wp:effectExtent l="0" t="0" r="0" b="0"/>
            <wp:docPr id="2102536267" name="Picture 210253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9c151c-80b0-4dba-8dbc-03970e9f1457.png"/>
                    <pic:cNvPicPr/>
                  </pic:nvPicPr>
                  <pic:blipFill>
                    <a:blip r:embed="rId12"/>
                    <a:stretch>
                      <a:fillRect/>
                    </a:stretch>
                  </pic:blipFill>
                  <pic:spPr>
                    <a:xfrm>
                      <a:off x="0" y="0"/>
                      <a:ext cx="5806440" cy="2870600"/>
                    </a:xfrm>
                    <a:prstGeom prst="rect">
                      <a:avLst/>
                    </a:prstGeom>
                  </pic:spPr>
                </pic:pic>
              </a:graphicData>
            </a:graphic>
          </wp:inline>
        </w:drawing>
      </w:r>
    </w:p>
    <w:p w14:paraId="18CA93B2" w14:textId="4C41AB6D" w:rsidR="00D076A3" w:rsidRPr="00A51779" w:rsidRDefault="00D076A3" w:rsidP="00D076A3">
      <w:pPr>
        <w:keepLines/>
        <w:spacing w:line="480" w:lineRule="auto"/>
        <w:jc w:val="both"/>
      </w:pPr>
      <w:r w:rsidRPr="00A51779">
        <w:t xml:space="preserve">Fig. </w:t>
      </w:r>
      <w:r w:rsidR="0079599D">
        <w:t>6</w:t>
      </w:r>
      <w:r w:rsidRPr="00A51779">
        <w:t xml:space="preserve">. HGB-versus-ridge effect sizes for Texas, Pennsylvania, and California at one- and seven-day horizons. </w:t>
      </w:r>
    </w:p>
    <w:p w14:paraId="0A542A5F" w14:textId="3B33A96E" w:rsidR="00B919ED" w:rsidRPr="00A51779" w:rsidRDefault="00B919ED" w:rsidP="00703316">
      <w:pPr>
        <w:spacing w:line="480" w:lineRule="auto"/>
        <w:jc w:val="both"/>
      </w:pPr>
      <w:r w:rsidRPr="00A51779">
        <w:lastRenderedPageBreak/>
        <w:t>Applying dependent-error testing and multiplicity correction across these six state–horizon comparisons, the evidence for a general nonlinear advantage is therefore limited. Five of the six principal ridge</w:t>
      </w:r>
      <w:r w:rsidR="00274578" w:rsidRPr="00A51779">
        <w:t>-</w:t>
      </w:r>
      <w:r w:rsidRPr="00A51779">
        <w:t>HGB comparisons provide no statistically significant evidence of different predictive accuracy after correction. The sixth, CA at one day, favors the linear model. As examined below, however, even this result is sensitive to feature representation, hyperparameter-selection chronology, and hyperparameter-search budget. No initially significant state-level comparison remains invariant to all of the methodological checks to which it is subjected.</w:t>
      </w:r>
    </w:p>
    <w:p w14:paraId="59EA4265" w14:textId="38E69531" w:rsidR="00B919ED" w:rsidRPr="00A51779" w:rsidRDefault="00B919ED" w:rsidP="00703316">
      <w:pPr>
        <w:spacing w:line="480" w:lineRule="auto"/>
        <w:jc w:val="both"/>
      </w:pPr>
      <w:r w:rsidRPr="00A51779">
        <w:t xml:space="preserve">These findings qualify, rather than contradict, previous reports of improved point accuracy from nonlinear and ensemble forecasting models </w:t>
      </w:r>
      <w:r w:rsidR="00295BA3" w:rsidRPr="00295BA3">
        <w:rPr>
          <w:color w:val="EE0000"/>
        </w:rPr>
        <w:fldChar w:fldCharType="begin" w:fldLock="1"/>
      </w:r>
      <w:r w:rsidR="00295BA3">
        <w:rPr>
          <w:color w:val="EE0000"/>
        </w:rPr>
        <w:instrText>ADDIN CSL_CITATION {"citationItems":[{"id":"ITEM-1","itemData":{"DOI":"10.1016/j.apenergy.2020.116061","ISSN":"0306-2619","abstract":"The world is facing major challenges related to global warming and emissions of greenhouse gases is a major causing factor. In 2017, energy industries accounted for 46% of all CO2 emissions globally, which shows a large potential for reduction. This paper proposes a novel short-term CO2 emissions forecast to enable intelligent scheduling of flexible electricity consumption to minimize the resulting CO2 emissions. Two proposed time series decomposition methods are developed for short-term forecasting of the CO2 emissions of electricity. These are in turn bench-marked against a set of state-of-the-art models. The result is a new forecasting method with a 48-hour horizon targeted the day-ahead electricity market. Forecasting benchmarks for France show that the new method has a mean absolute percentage error that is 25% lower than the best performing state-of-the-art model. Further, application of the forecast for scheduling flexible electricity consumption is studied for five European countries. Scheduling a flexible block of 4 h of electricity consumption in a 24 h interval can on average reduce the resulting CO2 emissions by 25% in France, 17% in Germany, 69% in Norway, 20% in Denmark, and just 3% in Poland when compared to consuming at random intervals during the day.","author":[{"dropping-particle":"","family":"Bokde","given":"Neeraj Dhanraj","non-dropping-particle":"","parse-names":false,"suffix":""},{"dropping-particle":"","family":"Tranberg","given":"Bo","non-dropping-particle":"","parse-names":false,"suffix":""},{"dropping-particle":"","family":"Andresen","given":"Gorm Bruun","non-dropping-particle":"","parse-names":false,"suffix":""}],"container-title":"Applied Energy","id":"ITEM-1","issued":{"date-parts":[["2021"]]},"page":"116061","title":"Short-term CO2 emissions forecasting based on decomposition approaches and its impact on electricity market scheduling","type":"article-journal","volume":"281"},"uris":["http://www.mendeley.com/documents/?uuid=be404a05-8124-49a5-b7e7-31d8009488b9"]},{"id":"ITEM-2","itemData":{"DOI":"https://doi.org/10.1016/j.scitotenv.2024.172319","ISSN":"0048-9697","abstract":"Amidst growing concerns over the greenhouse effect, especially its consequential impacts, establishing effective Carbon Emission Prediction Models (CEPMs) to comprehend and predict CO2 emission trends is imperative for climate change mitigation. A review of 147 Carbon Emission Prediction Model (CEPM) studies revealed three predominant functions—prediction, optimization, and prediction factor selection. Statistical models, comprising 75 instances, were the most prevalent among prediction models, followed by neural network models at 21.8 %. The consistent rise in neural network model usage, particularly feedforward architectures, was observed from 2019 to 2022. A majority of CEPMs incorporated optimized approaches, with 94.4 % utilizing metaheuristic models. Parameter optimization was the primary focus, followed by structure optimization. Prediction factor selection models, employing Grey Relational Analysis (GRA) and Principal Component Analysis (PCA) for statistical and machine learning models, respectively, filtered factors effectively. Scrutinizing accuracy, pre-optimized CEPMs exhibited varied performance, Root Mean Square Error (RMSE) values spanned from 0.112 to 1635 Mt, while post-optimization led to a notable improvement, the minimum RMSE reached 0.0003 Mt, and the maximum was 95.14 Mt. Finally, we summarized the pros and cons of existing models, classified and counted the factors that influence carbon emissions, clarified the research objectives in CEPM and assessed the applied model evaluation methods and the spatial and temporal scales of existing research.","author":[{"dropping-particle":"","family":"Jin","given":"Yukai","non-dropping-particle":"","parse-names":false,"suffix":""},{"dropping-particle":"","family":"Sharifi","given":"Ayyoob","non-dropping-particle":"","parse-names":false,"suffix":""},{"dropping-particle":"","family":"Li","given":"Zhisheng","non-dropping-particle":"","parse-names":false,"suffix":""},{"dropping-particle":"","family":"Chen","given":"Sirui","non-dropping-particle":"","parse-names":false,"suffix":""},{"dropping-particle":"","family":"Zeng","given":"Suzhen","non-dropping-particle":"","parse-names":false,"suffix":""},{"dropping-particle":"","family":"Zhao","given":"Shanlun","non-dropping-particle":"","parse-names":false,"suffix":""}],"container-title":"Science of The Total Environment","id":"ITEM-2","issued":{"date-parts":[["2024"]]},"page":"172319","title":"Carbon emission prediction models: A review","type":"article-journal","volume":"927"},"uris":["http://www.mendeley.com/documents/?uuid=03406d79-c5d4-495a-8244-e02b615e53ba"]},{"id":"ITEM-3","itemData":{"DOI":"10.1007/s11356-024-32083-w","ISSN":"1614-7499","abstract":"Accurately predicting future carbon emissions is of great significance for the government to scientifically promote carbon emission reduction policies. Among the current technologies for forecasting carbon emissions, the most prominent ones are econometric models and deep learning, but few works have systematically compared and analyzed the forecasting performance of the methods. Therefore, the paper makes a comparison for deep learning model, machine learning model, and the econometric model to demonstrate whether deep learning is an efficient method for carbon emission prediction research. In model mechanism, neural network for deep learning refers to an information processing model established by simulating biological neural system, and the model can be further extended through bionic characteristics. So the paper further optimizes the model from the perspective of bionics and proposes an innovative deep learning model based on the memory behavior mechanism of group creatures. Comparison results show that the prediction accuracy of the heuristic neural network is higher than that of the econometric model. Through in-depth analysis, the heuristic neural network is more suitable for predicting future carbon emissions, while the econometric model is more suitable for clarifying the impact of influencing factors on carbon emissions.","author":[{"dropping-particle":"","family":"Yao","given":"Xiao","non-dropping-particle":"","parse-names":false,"suffix":""},{"dropping-particle":"","family":"Zhang","given":"Hong","non-dropping-particle":"","parse-names":false,"suffix":""},{"dropping-particle":"","family":"Wang","given":"Xiyue","non-dropping-particle":"","parse-names":false,"suffix":""},{"dropping-particle":"","family":"Jiang","given":"Yadong","non-dropping-particle":"","parse-names":false,"suffix":""},{"dropping-particle":"","family":"Zhang","given":"Yuxi","non-dropping-particle":"","parse-names":false,"suffix":""},{"dropping-particle":"","family":"Na","given":"Xiaohong","non-dropping-particle":"","parse-names":false,"suffix":""}],"container-title":"Environmental Science and Pollution Research","id":"ITEM-3","issue":"13","issued":{"date-parts":[["2024"]]},"page":"19500-19515","title":"Which model is more efficient in carbon emission prediction research? A comparative study of deep learning models, machine learning models, and econometric models","type":"article-journal","volume":"31"},"uris":["http://www.mendeley.com/documents/?uuid=07ef998a-4ccd-4dc0-896d-c67cf9e9f7dd"]},{"id":"ITEM-4","itemData":{"DOI":"10.1038/s41598-022-22024-3","ISSN":"2045-2322","abstract":"Load forecast provides effective and reliable guidance for power construction and grid operation. It is essential for the power utility to forecast the exact in-future coming energy demand. Advanced machine learning methods can support competently for load forecasting, and extreme gradient boosting is an algorithm with great research potential. But there is less research about the energy time series itself as only an internal variable, especially for feature engineering of time univariate. And the machine learning tuning is another issue to applicate boosting method in energy demand, which has more significant effects than improving the core of the model. We take the extreme gradient boosting algorithm as the original model and combine the Tree-structured Parzen Estimator method to design the TPE-XGBoost model for completing the high-performance single-lag power load forecasting task. We resample the power load data of the Île-de-France Region Grid provided by Réseau de Transport d’Électricité in the day, train and optimise the TPE-XGBoost model by samples from 2016 to 2018, and test and evaluate in samples of 2019. The optimal window width of the time series data is determined in this study through Discrete Fourier Transform and Pearson Correlation Coefficient Methods, and five additional date features are introduced to complete feature engineering. By 500 iterations, TPE optimisation ensures nine hyperparameters’ values of XGBoost and improves the models obviously. In the dataset of 2019, the TPE-XGBoost model we designed has an excellent performance of MAE = 166.020 and MAPE = 2.61%. Compared with the original model, the two metrics are respectively improved by 14.23 and 14.14%; compared with the other eight machine learning algorithms, the model performs with the best metrics as well.","author":[{"dropping-particle":"","family":"Qinghe","given":"Zhao","non-dropping-particle":"","parse-names":false,"suffix":""},{"dropping-particle":"","family":"Wen","given":"Xiang","non-dropping-particle":"","parse-names":false,"suffix":""},{"dropping-particle":"","family":"Boyan","given":"Huang","non-dropping-particle":"","parse-names":false,"suffix":""},{"dropping-particle":"","family":"Jong","given":"Wang","non-dropping-particle":"","parse-names":false,"suffix":""},{"dropping-particle":"","family":"Junlong","given":"Fang","non-dropping-particle":"","parse-names":false,"suffix":""}],"container-title":"Scientific Reports","id":"ITEM-4","issue":"1","issued":{"date-parts":[["2022"]]},"page":"19282","title":"Optimised extreme gradient boosting model for short term electric load demand forecasting of regional grid system","type":"article-journal","volume":"12"},"uris":["http://www.mendeley.com/documents/?uuid=b9feb973-3e92-435d-b1f8-25c6a04e57eb"]}],"mendeley":{"formattedCitation":"[1,7,8,11]","plainTextFormattedCitation":"[1,7,8,11]","previouslyFormattedCitation":"[1,7,8,11]"},"properties":{"noteIndex":0},"schema":"https://github.com/citation-style-language/schema/raw/master/csl-citation.json"}</w:instrText>
      </w:r>
      <w:r w:rsidR="00295BA3" w:rsidRPr="00295BA3">
        <w:rPr>
          <w:color w:val="EE0000"/>
        </w:rPr>
        <w:fldChar w:fldCharType="separate"/>
      </w:r>
      <w:r w:rsidR="00295BA3" w:rsidRPr="00295BA3">
        <w:rPr>
          <w:noProof/>
          <w:color w:val="EE0000"/>
        </w:rPr>
        <w:t>[1,7,8,11]</w:t>
      </w:r>
      <w:r w:rsidR="00295BA3" w:rsidRPr="00295BA3">
        <w:rPr>
          <w:color w:val="EE0000"/>
        </w:rPr>
        <w:fldChar w:fldCharType="end"/>
      </w:r>
      <w:r w:rsidRPr="00A51779">
        <w:t>. An apparent advantage at a particular state and forecast horizon can weaken once competing models are subjected to prospective tuning, dependent-error inference, and correction for multiple comparisons. Differences in reported performance across the literature may consequently reflect not only algorithmic capability but also the horizon and evaluation framework under which models are compared.</w:t>
      </w:r>
    </w:p>
    <w:p w14:paraId="1512E7B9" w14:textId="77777777" w:rsidR="00336CF0" w:rsidRPr="00A51779" w:rsidRDefault="00336CF0" w:rsidP="00703316">
      <w:pPr>
        <w:spacing w:line="480" w:lineRule="auto"/>
        <w:jc w:val="both"/>
      </w:pPr>
    </w:p>
    <w:p w14:paraId="0B020C43" w14:textId="77777777" w:rsidR="00B919ED" w:rsidRPr="00A51779" w:rsidRDefault="00B919ED" w:rsidP="00703316">
      <w:pPr>
        <w:spacing w:line="480" w:lineRule="auto"/>
        <w:jc w:val="both"/>
        <w:outlineLvl w:val="1"/>
        <w:rPr>
          <w:b/>
          <w:bCs/>
        </w:rPr>
      </w:pPr>
      <w:r w:rsidRPr="00A51779">
        <w:rPr>
          <w:b/>
          <w:bCs/>
        </w:rPr>
        <w:t>3.3 Robustness and diagnostic analyses</w:t>
      </w:r>
    </w:p>
    <w:p w14:paraId="689D2B92" w14:textId="0B6A6D0E" w:rsidR="00B919ED" w:rsidRPr="00A51779" w:rsidRDefault="00B919ED" w:rsidP="00703316">
      <w:pPr>
        <w:spacing w:line="480" w:lineRule="auto"/>
        <w:jc w:val="both"/>
      </w:pPr>
      <w:r w:rsidRPr="00A51779">
        <w:t>The first diagnostic examined whether nonlinear-model performance improves preferentially during large day-to-day changes in emissions. Fig</w:t>
      </w:r>
      <w:r w:rsidR="0079599D">
        <w:t>. 7</w:t>
      </w:r>
      <w:r w:rsidRPr="00A51779">
        <w:t xml:space="preserve"> relates the squared-error differential</w:t>
      </w:r>
    </w:p>
    <w:p w14:paraId="709D79F2" w14:textId="2C586405" w:rsidR="00B919ED" w:rsidRPr="00A51779" w:rsidRDefault="00000000" w:rsidP="00703316">
      <w:pPr>
        <w:spacing w:line="480" w:lineRule="auto"/>
        <w:jc w:val="both"/>
      </w:pPr>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ridge</m:t>
              </m:r>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HGB</m:t>
              </m:r>
              <m:r>
                <w:rPr>
                  <w:rFonts w:ascii="Cambria Math" w:hAnsi="Cambria Math"/>
                </w:rPr>
                <m:t>,t</m:t>
              </m:r>
            </m:sub>
            <m:sup>
              <m:r>
                <w:rPr>
                  <w:rFonts w:ascii="Cambria Math" w:hAnsi="Cambria Math"/>
                </w:rPr>
                <m:t>2</m:t>
              </m:r>
            </m:sup>
          </m:sSubSup>
        </m:oMath>
      </m:oMathPara>
    </w:p>
    <w:p w14:paraId="645C270F" w14:textId="7319BA13" w:rsidR="00B919ED" w:rsidRPr="00A51779" w:rsidRDefault="00B919ED" w:rsidP="00703316">
      <w:pPr>
        <w:spacing w:line="480" w:lineRule="auto"/>
        <w:jc w:val="both"/>
      </w:pPr>
      <w:r w:rsidRPr="00A51779">
        <w:t>to the magnitude of the day-to-day CO</w:t>
      </w:r>
      <w:r w:rsidR="00274578" w:rsidRPr="00A51779">
        <w:rPr>
          <w:vertAlign w:val="subscript"/>
        </w:rPr>
        <w:t>2</w:t>
      </w:r>
      <w:r w:rsidRPr="00A51779">
        <w:t xml:space="preserve"> ramp. The estimated slope was not significant in TX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=-5708</m:t>
        </m:r>
      </m:oMath>
      <w:r w:rsidRPr="00A51779">
        <w:t xml:space="preserve">, </w:t>
      </w:r>
      <m:oMath>
        <m:r>
          <w:rPr>
            <w:rFonts w:ascii="Cambria Math" w:hAnsi="Cambria Math"/>
          </w:rPr>
          <m:t>p=0.4024</m:t>
        </m:r>
      </m:oMath>
      <w:r w:rsidRPr="00A51779">
        <w:t xml:space="preserve">, Holm </w:t>
      </w:r>
      <m:oMath>
        <m:r>
          <w:rPr>
            <w:rFonts w:ascii="Cambria Math" w:hAnsi="Cambria Math"/>
          </w:rPr>
          <m:t>p=0.8048</m:t>
        </m:r>
      </m:oMath>
      <w:r w:rsidRPr="00A51779">
        <w:t>) or PA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=1429</m:t>
        </m:r>
      </m:oMath>
      <w:r w:rsidRPr="00A51779">
        <w:t xml:space="preserve">, </w:t>
      </w:r>
      <m:oMath>
        <m:r>
          <w:rPr>
            <w:rFonts w:ascii="Cambria Math" w:hAnsi="Cambria Math"/>
          </w:rPr>
          <m:t>p=0.5240</m:t>
        </m:r>
      </m:oMath>
      <w:r w:rsidRPr="00A51779">
        <w:t xml:space="preserve">, Holm </w:t>
      </w:r>
      <m:oMath>
        <m:r>
          <w:rPr>
            <w:rFonts w:ascii="Cambria Math" w:hAnsi="Cambria Math"/>
          </w:rPr>
          <m:t>p=0.8048</m:t>
        </m:r>
      </m:oMath>
      <w:r w:rsidRPr="00A51779">
        <w:t>). In CA, the relationship was significant and survived Holm correction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=-4516</m:t>
        </m:r>
      </m:oMath>
      <w:r w:rsidRPr="00A51779">
        <w:t xml:space="preserve">, </w:t>
      </w:r>
      <m:oMath>
        <m:r>
          <w:rPr>
            <w:rFonts w:ascii="Cambria Math" w:hAnsi="Cambria Math"/>
          </w:rPr>
          <m:t>p=0.0001</m:t>
        </m:r>
      </m:oMath>
      <w:r w:rsidRPr="00A51779">
        <w:t xml:space="preserve">, Holm </w:t>
      </w:r>
      <m:oMath>
        <m:r>
          <w:rPr>
            <w:rFonts w:ascii="Cambria Math" w:hAnsi="Cambria Math"/>
          </w:rPr>
          <m:t>p=0.0003</m:t>
        </m:r>
      </m:oMath>
      <w:r w:rsidRPr="00A51779">
        <w:t xml:space="preserve">). Its direction, however, was opposite to the intuitive expectation that a nonlinear model should benefit more strongly during large emission changes: ridge's advantage </w:t>
      </w:r>
      <w:r w:rsidRPr="00A51779">
        <w:lastRenderedPageBreak/>
        <w:t>increased rather than diminished as ramp magnitude increased. Large day-to-day emission changes therefore do not provide a general mechanism for explaining the relative advantage of HGB.</w:t>
      </w:r>
    </w:p>
    <w:p w14:paraId="746AE95A" w14:textId="77777777" w:rsidR="00450A61" w:rsidRPr="00A51779" w:rsidRDefault="00450A61" w:rsidP="00703316">
      <w:pPr>
        <w:spacing w:before="160" w:line="480" w:lineRule="auto"/>
        <w:jc w:val="both"/>
      </w:pPr>
      <w:r w:rsidRPr="00A51779">
        <w:rPr>
          <w:noProof/>
        </w:rPr>
        <w:drawing>
          <wp:inline distT="0" distB="0" distL="0" distR="0" wp14:anchorId="0C12EA00" wp14:editId="4CA7AE82">
            <wp:extent cx="5334000" cy="2133600"/>
            <wp:effectExtent l="0" t="0" r="0" b="0"/>
            <wp:docPr id="463435050" name="Picture 46343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33600"/>
                    </a:xfrm>
                    <a:prstGeom prst="rect">
                      <a:avLst/>
                    </a:prstGeom>
                  </pic:spPr>
                </pic:pic>
              </a:graphicData>
            </a:graphic>
          </wp:inline>
        </w:drawing>
      </w:r>
    </w:p>
    <w:p w14:paraId="5A29011C" w14:textId="5E03ABB6" w:rsidR="00D076A3" w:rsidRPr="00A51779" w:rsidRDefault="00450A61" w:rsidP="00D076A3">
      <w:pPr>
        <w:spacing w:line="480" w:lineRule="auto"/>
        <w:jc w:val="both"/>
      </w:pPr>
      <w:r w:rsidRPr="00A51779">
        <w:t>Fig.</w:t>
      </w:r>
      <w:r w:rsidR="00D076A3" w:rsidRPr="00A51779">
        <w:t xml:space="preserve"> </w:t>
      </w:r>
      <w:r w:rsidR="0079599D">
        <w:t>7</w:t>
      </w:r>
      <w:r w:rsidR="00D076A3" w:rsidRPr="00A51779">
        <w:t>. HAC regression of ridge-versus-HGB loss differential on absolute day-over-day CO</w:t>
      </w:r>
      <w:r w:rsidR="00D076A3" w:rsidRPr="00A51779">
        <w:rPr>
          <w:vertAlign w:val="subscript"/>
        </w:rPr>
        <w:t>2</w:t>
      </w:r>
      <w:r w:rsidR="00D076A3" w:rsidRPr="00A51779">
        <w:t xml:space="preserve"> ramp magnitude in Texas, Pennsylvania, and California.</w:t>
      </w:r>
    </w:p>
    <w:p w14:paraId="1B80DBC8" w14:textId="06D44FFE" w:rsidR="00B919ED" w:rsidRPr="00A51779" w:rsidRDefault="00B919ED" w:rsidP="00703316">
      <w:pPr>
        <w:spacing w:line="480" w:lineRule="auto"/>
        <w:jc w:val="both"/>
      </w:pPr>
      <w:r w:rsidRPr="00A51779">
        <w:t>A second diagnostic examined the joint influence of feature representation and hyperparameter-selection chronology on the CA one-day result. The 2×2 design compared ratio-encoded and explicit-CO</w:t>
      </w:r>
      <w:r w:rsidR="00274578" w:rsidRPr="00A51779">
        <w:rPr>
          <w:vertAlign w:val="subscript"/>
        </w:rPr>
        <w:t>2</w:t>
      </w:r>
      <w:r w:rsidRPr="00A51779">
        <w:t xml:space="preserve"> specifications under retrospective and prospective ridge regularization selection while holding HGB at a fixed configuration.</w:t>
      </w:r>
    </w:p>
    <w:p w14:paraId="397C4852" w14:textId="24921BC4" w:rsidR="00B919ED" w:rsidRPr="004219A9" w:rsidRDefault="00B919ED" w:rsidP="00703316">
      <w:pPr>
        <w:spacing w:line="480" w:lineRule="auto"/>
        <w:jc w:val="both"/>
      </w:pPr>
      <w:r w:rsidRPr="004219A9">
        <w:t xml:space="preserve">Table </w:t>
      </w:r>
      <w:r w:rsidR="004219A9" w:rsidRPr="004219A9">
        <w:t>10</w:t>
      </w:r>
      <w:r w:rsidRPr="004219A9">
        <w:t>. Sensitivity of the CA one-day ridge-vs-HGB comparison to feature representation and hyperparameter-selection chronology (HGB held at a fixed configuration), with Holm correction across the four cells.</w:t>
      </w:r>
    </w:p>
    <w:tbl>
      <w:tblPr>
        <w:tblStyle w:val="PlainTable2"/>
        <w:tblW w:w="5000" w:type="pct"/>
        <w:tblLook w:val="04A0" w:firstRow="1" w:lastRow="0" w:firstColumn="1" w:lastColumn="0" w:noHBand="0" w:noVBand="1"/>
      </w:tblPr>
      <w:tblGrid>
        <w:gridCol w:w="1582"/>
        <w:gridCol w:w="1537"/>
        <w:gridCol w:w="1200"/>
        <w:gridCol w:w="1063"/>
        <w:gridCol w:w="998"/>
        <w:gridCol w:w="1069"/>
        <w:gridCol w:w="953"/>
        <w:gridCol w:w="958"/>
      </w:tblGrid>
      <w:tr w:rsidR="00B919ED" w:rsidRPr="00A51779" w14:paraId="1B0AB81B"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hideMark/>
          </w:tcPr>
          <w:p w14:paraId="6FEF4242" w14:textId="77777777" w:rsidR="00B919ED" w:rsidRPr="00A51779" w:rsidRDefault="00B919ED" w:rsidP="00703316">
            <w:pPr>
              <w:spacing w:line="480" w:lineRule="auto"/>
              <w:jc w:val="both"/>
            </w:pPr>
            <w:r w:rsidRPr="00A51779">
              <w:t>Features</w:t>
            </w:r>
          </w:p>
        </w:tc>
        <w:tc>
          <w:tcPr>
            <w:tcW w:w="821" w:type="pct"/>
            <w:hideMark/>
          </w:tcPr>
          <w:p w14:paraId="48CDE15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α selection</w:t>
            </w:r>
          </w:p>
        </w:tc>
        <w:tc>
          <w:tcPr>
            <w:tcW w:w="641" w:type="pct"/>
            <w:hideMark/>
          </w:tcPr>
          <w:p w14:paraId="1D4A1707"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Selected λ</w:t>
            </w:r>
          </w:p>
        </w:tc>
        <w:tc>
          <w:tcPr>
            <w:tcW w:w="568" w:type="pct"/>
            <w:hideMark/>
          </w:tcPr>
          <w:p w14:paraId="3E623445" w14:textId="10F07CAB"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Ridge</w:t>
            </w:r>
          </w:p>
        </w:tc>
        <w:tc>
          <w:tcPr>
            <w:tcW w:w="533" w:type="pct"/>
            <w:hideMark/>
          </w:tcPr>
          <w:p w14:paraId="587C14E7" w14:textId="04C50200"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HGB</w:t>
            </w:r>
          </w:p>
        </w:tc>
        <w:tc>
          <w:tcPr>
            <w:tcW w:w="571" w:type="pct"/>
            <w:hideMark/>
          </w:tcPr>
          <w:p w14:paraId="2B3AD9F4"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509" w:type="pct"/>
            <w:hideMark/>
          </w:tcPr>
          <w:p w14:paraId="0BC83F0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 (raw)</w:t>
            </w:r>
          </w:p>
        </w:tc>
        <w:tc>
          <w:tcPr>
            <w:tcW w:w="514" w:type="pct"/>
            <w:hideMark/>
          </w:tcPr>
          <w:p w14:paraId="1C26E422"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7903377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hideMark/>
          </w:tcPr>
          <w:p w14:paraId="0545AFCA" w14:textId="77777777" w:rsidR="00B919ED" w:rsidRPr="00A51779" w:rsidRDefault="00B919ED" w:rsidP="00703316">
            <w:pPr>
              <w:spacing w:line="480" w:lineRule="auto"/>
              <w:jc w:val="both"/>
            </w:pPr>
            <w:r w:rsidRPr="00A51779">
              <w:t>Ratio-encoded</w:t>
            </w:r>
          </w:p>
        </w:tc>
        <w:tc>
          <w:tcPr>
            <w:tcW w:w="821" w:type="pct"/>
            <w:hideMark/>
          </w:tcPr>
          <w:p w14:paraId="5D7592E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Retrospective</w:t>
            </w:r>
          </w:p>
        </w:tc>
        <w:tc>
          <w:tcPr>
            <w:tcW w:w="641" w:type="pct"/>
            <w:hideMark/>
          </w:tcPr>
          <w:p w14:paraId="02917C7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30</w:t>
            </w:r>
          </w:p>
        </w:tc>
        <w:tc>
          <w:tcPr>
            <w:tcW w:w="568" w:type="pct"/>
            <w:hideMark/>
          </w:tcPr>
          <w:p w14:paraId="225FAA5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0.820</w:t>
            </w:r>
          </w:p>
        </w:tc>
        <w:tc>
          <w:tcPr>
            <w:tcW w:w="533" w:type="pct"/>
            <w:hideMark/>
          </w:tcPr>
          <w:p w14:paraId="4B1649F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0.818</w:t>
            </w:r>
          </w:p>
        </w:tc>
        <w:tc>
          <w:tcPr>
            <w:tcW w:w="571" w:type="pct"/>
            <w:hideMark/>
          </w:tcPr>
          <w:p w14:paraId="31202CFF" w14:textId="7F2941FE"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0.303</w:t>
            </w:r>
          </w:p>
        </w:tc>
        <w:tc>
          <w:tcPr>
            <w:tcW w:w="509" w:type="pct"/>
            <w:hideMark/>
          </w:tcPr>
          <w:p w14:paraId="3A6B092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0.7618</w:t>
            </w:r>
          </w:p>
        </w:tc>
        <w:tc>
          <w:tcPr>
            <w:tcW w:w="514" w:type="pct"/>
            <w:hideMark/>
          </w:tcPr>
          <w:p w14:paraId="374BFBA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0.7618</w:t>
            </w:r>
          </w:p>
        </w:tc>
      </w:tr>
      <w:tr w:rsidR="00B919ED" w:rsidRPr="00A51779" w14:paraId="04D81507" w14:textId="77777777" w:rsidTr="00450A61">
        <w:tc>
          <w:tcPr>
            <w:cnfStyle w:val="001000000000" w:firstRow="0" w:lastRow="0" w:firstColumn="1" w:lastColumn="0" w:oddVBand="0" w:evenVBand="0" w:oddHBand="0" w:evenHBand="0" w:firstRowFirstColumn="0" w:firstRowLastColumn="0" w:lastRowFirstColumn="0" w:lastRowLastColumn="0"/>
            <w:tcW w:w="845" w:type="pct"/>
            <w:hideMark/>
          </w:tcPr>
          <w:p w14:paraId="0B740111" w14:textId="77777777" w:rsidR="00B919ED" w:rsidRPr="00A51779" w:rsidRDefault="00B919ED" w:rsidP="00703316">
            <w:pPr>
              <w:spacing w:line="480" w:lineRule="auto"/>
              <w:jc w:val="both"/>
            </w:pPr>
            <w:r w:rsidRPr="00A51779">
              <w:lastRenderedPageBreak/>
              <w:t>Ratio-encoded</w:t>
            </w:r>
          </w:p>
        </w:tc>
        <w:tc>
          <w:tcPr>
            <w:tcW w:w="821" w:type="pct"/>
            <w:hideMark/>
          </w:tcPr>
          <w:p w14:paraId="7C59900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Prospective</w:t>
            </w:r>
          </w:p>
        </w:tc>
        <w:tc>
          <w:tcPr>
            <w:tcW w:w="641" w:type="pct"/>
            <w:hideMark/>
          </w:tcPr>
          <w:p w14:paraId="12F89A1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w:t>
            </w:r>
          </w:p>
        </w:tc>
        <w:tc>
          <w:tcPr>
            <w:tcW w:w="568" w:type="pct"/>
            <w:hideMark/>
          </w:tcPr>
          <w:p w14:paraId="663B595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0.837</w:t>
            </w:r>
          </w:p>
        </w:tc>
        <w:tc>
          <w:tcPr>
            <w:tcW w:w="533" w:type="pct"/>
            <w:hideMark/>
          </w:tcPr>
          <w:p w14:paraId="0DE020C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0.818</w:t>
            </w:r>
          </w:p>
        </w:tc>
        <w:tc>
          <w:tcPr>
            <w:tcW w:w="571" w:type="pct"/>
            <w:hideMark/>
          </w:tcPr>
          <w:p w14:paraId="6A570E0B" w14:textId="59425789"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2.548</w:t>
            </w:r>
          </w:p>
        </w:tc>
        <w:tc>
          <w:tcPr>
            <w:tcW w:w="509" w:type="pct"/>
            <w:hideMark/>
          </w:tcPr>
          <w:p w14:paraId="28C2B75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0.0111</w:t>
            </w:r>
          </w:p>
        </w:tc>
        <w:tc>
          <w:tcPr>
            <w:tcW w:w="514" w:type="pct"/>
            <w:hideMark/>
          </w:tcPr>
          <w:p w14:paraId="50FFEA9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0.0444</w:t>
            </w:r>
          </w:p>
        </w:tc>
      </w:tr>
      <w:tr w:rsidR="00B919ED" w:rsidRPr="00A51779" w14:paraId="7BB566E5"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hideMark/>
          </w:tcPr>
          <w:p w14:paraId="70AB636A" w14:textId="1336952A" w:rsidR="00B919ED" w:rsidRPr="00A51779" w:rsidRDefault="00B919ED" w:rsidP="00703316">
            <w:pPr>
              <w:spacing w:line="480" w:lineRule="auto"/>
              <w:jc w:val="both"/>
            </w:pPr>
            <w:r w:rsidRPr="00A51779">
              <w:t>Explicit-CO</w:t>
            </w:r>
            <w:r w:rsidR="00274578" w:rsidRPr="00A51779">
              <w:rPr>
                <w:vertAlign w:val="subscript"/>
              </w:rPr>
              <w:t>2</w:t>
            </w:r>
          </w:p>
        </w:tc>
        <w:tc>
          <w:tcPr>
            <w:tcW w:w="821" w:type="pct"/>
            <w:hideMark/>
          </w:tcPr>
          <w:p w14:paraId="7A11CA5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Retrospective</w:t>
            </w:r>
          </w:p>
        </w:tc>
        <w:tc>
          <w:tcPr>
            <w:tcW w:w="641" w:type="pct"/>
            <w:hideMark/>
          </w:tcPr>
          <w:p w14:paraId="178CA74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200</w:t>
            </w:r>
          </w:p>
        </w:tc>
        <w:tc>
          <w:tcPr>
            <w:tcW w:w="568" w:type="pct"/>
            <w:hideMark/>
          </w:tcPr>
          <w:p w14:paraId="09FB0F4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0.807</w:t>
            </w:r>
          </w:p>
        </w:tc>
        <w:tc>
          <w:tcPr>
            <w:tcW w:w="533" w:type="pct"/>
            <w:hideMark/>
          </w:tcPr>
          <w:p w14:paraId="7F85527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0.824</w:t>
            </w:r>
          </w:p>
        </w:tc>
        <w:tc>
          <w:tcPr>
            <w:tcW w:w="571" w:type="pct"/>
            <w:hideMark/>
          </w:tcPr>
          <w:p w14:paraId="38B93988" w14:textId="36C69AE8"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2.078</w:t>
            </w:r>
          </w:p>
        </w:tc>
        <w:tc>
          <w:tcPr>
            <w:tcW w:w="509" w:type="pct"/>
            <w:hideMark/>
          </w:tcPr>
          <w:p w14:paraId="34E0E6F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0.0382</w:t>
            </w:r>
          </w:p>
        </w:tc>
        <w:tc>
          <w:tcPr>
            <w:tcW w:w="514" w:type="pct"/>
            <w:hideMark/>
          </w:tcPr>
          <w:p w14:paraId="3309029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0.1146</w:t>
            </w:r>
          </w:p>
        </w:tc>
      </w:tr>
      <w:tr w:rsidR="00B919ED" w:rsidRPr="00A51779" w14:paraId="6FAAF678" w14:textId="77777777" w:rsidTr="00450A61">
        <w:tc>
          <w:tcPr>
            <w:cnfStyle w:val="001000000000" w:firstRow="0" w:lastRow="0" w:firstColumn="1" w:lastColumn="0" w:oddVBand="0" w:evenVBand="0" w:oddHBand="0" w:evenHBand="0" w:firstRowFirstColumn="0" w:firstRowLastColumn="0" w:lastRowFirstColumn="0" w:lastRowLastColumn="0"/>
            <w:tcW w:w="845" w:type="pct"/>
            <w:hideMark/>
          </w:tcPr>
          <w:p w14:paraId="79394BAF" w14:textId="4C66DF9F" w:rsidR="00B919ED" w:rsidRPr="00A51779" w:rsidRDefault="00B919ED" w:rsidP="00703316">
            <w:pPr>
              <w:spacing w:line="480" w:lineRule="auto"/>
              <w:jc w:val="both"/>
            </w:pPr>
            <w:r w:rsidRPr="00A51779">
              <w:t>Explicit-CO</w:t>
            </w:r>
            <w:r w:rsidR="00274578" w:rsidRPr="00A51779">
              <w:rPr>
                <w:vertAlign w:val="subscript"/>
              </w:rPr>
              <w:t>2</w:t>
            </w:r>
          </w:p>
        </w:tc>
        <w:tc>
          <w:tcPr>
            <w:tcW w:w="821" w:type="pct"/>
            <w:hideMark/>
          </w:tcPr>
          <w:p w14:paraId="2619796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Prospective</w:t>
            </w:r>
          </w:p>
        </w:tc>
        <w:tc>
          <w:tcPr>
            <w:tcW w:w="641" w:type="pct"/>
            <w:hideMark/>
          </w:tcPr>
          <w:p w14:paraId="3A523B0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w:t>
            </w:r>
          </w:p>
        </w:tc>
        <w:tc>
          <w:tcPr>
            <w:tcW w:w="568" w:type="pct"/>
            <w:hideMark/>
          </w:tcPr>
          <w:p w14:paraId="7FAE7B1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c>
          <w:tcPr>
            <w:tcW w:w="533" w:type="pct"/>
            <w:hideMark/>
          </w:tcPr>
          <w:p w14:paraId="63B5FAF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0.824</w:t>
            </w:r>
          </w:p>
        </w:tc>
        <w:tc>
          <w:tcPr>
            <w:tcW w:w="571" w:type="pct"/>
            <w:hideMark/>
          </w:tcPr>
          <w:p w14:paraId="576B0564" w14:textId="65A7DF90"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1.335</w:t>
            </w:r>
          </w:p>
        </w:tc>
        <w:tc>
          <w:tcPr>
            <w:tcW w:w="509" w:type="pct"/>
            <w:hideMark/>
          </w:tcPr>
          <w:p w14:paraId="3FBAB7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0.1824</w:t>
            </w:r>
          </w:p>
        </w:tc>
        <w:tc>
          <w:tcPr>
            <w:tcW w:w="514" w:type="pct"/>
            <w:hideMark/>
          </w:tcPr>
          <w:p w14:paraId="792731B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0.1824</w:t>
            </w:r>
          </w:p>
        </w:tc>
      </w:tr>
    </w:tbl>
    <w:p w14:paraId="6A5A44AF" w14:textId="77777777" w:rsidR="00336CF0" w:rsidRPr="00A51779" w:rsidRDefault="00336CF0" w:rsidP="00703316">
      <w:pPr>
        <w:spacing w:line="480" w:lineRule="auto"/>
        <w:jc w:val="both"/>
      </w:pPr>
    </w:p>
    <w:p w14:paraId="0CBE5441" w14:textId="2BED01DB" w:rsidR="00B919ED" w:rsidRPr="00A51779" w:rsidRDefault="00B919ED" w:rsidP="00703316">
      <w:pPr>
        <w:spacing w:line="480" w:lineRule="auto"/>
        <w:jc w:val="both"/>
      </w:pPr>
      <w:r w:rsidRPr="00A51779">
        <w:t xml:space="preserve">None of the four cells produced a statistically significant HGB advantage after Holm correction. The ratio-encoded/retrospective specification produced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=0.820</m:t>
        </m:r>
      </m:oMath>
      <w:r w:rsidR="00274578" w:rsidRPr="00A51779">
        <w:t xml:space="preserve"> </w:t>
      </w:r>
      <w:r w:rsidRPr="00A51779">
        <w:t>for ridge and 0.818 for HGB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=0.7618</m:t>
        </m:r>
      </m:oMath>
      <w:r w:rsidRPr="00A51779">
        <w:t>), providing no evidence that the least constrained combination systematically favors HGB.</w:t>
      </w:r>
    </w:p>
    <w:p w14:paraId="7CB3026C" w14:textId="39BAD38C" w:rsidR="00B919ED" w:rsidRPr="00A51779" w:rsidRDefault="00B919ED" w:rsidP="00703316">
      <w:pPr>
        <w:spacing w:line="480" w:lineRule="auto"/>
        <w:jc w:val="both"/>
      </w:pPr>
      <w:r w:rsidRPr="00A51779">
        <w:t>The factorial analysis therefore does not support a simple causal explanation in which redundant target encoding and retrospective hyperparameter selection independently generate an HGB advantage. Instead, the comparison is sensitive to their interaction. Under retrospective regularization selection, changing from the ratio-encoded to the explicit-CO</w:t>
      </w:r>
      <w:r w:rsidR="00274578" w:rsidRPr="00A51779">
        <w:rPr>
          <w:vertAlign w:val="subscript"/>
        </w:rPr>
        <w:t>2</w:t>
      </w:r>
      <w:r w:rsidRPr="00A51779">
        <w:t xml:space="preserve"> representation shifted the point estimate toward HGB, although the difference did not survive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=0.1146</m:t>
        </m:r>
      </m:oMath>
      <w:r w:rsidRPr="00A51779">
        <w:t>). Conversely, prospective selection under the ratio-encoded representation shifted the comparison toward ridge and remained significant after Holm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=0.0444</m:t>
        </m:r>
      </m:oMath>
      <w:r w:rsidRPr="00A51779">
        <w:t>). Feature representation and model-selection chronology therefore interact rather than contributing additively.</w:t>
      </w:r>
    </w:p>
    <w:p w14:paraId="7A70EE01" w14:textId="309401EA" w:rsidR="00B919ED" w:rsidRPr="00A51779" w:rsidRDefault="00B919ED" w:rsidP="00703316">
      <w:pPr>
        <w:spacing w:line="480" w:lineRule="auto"/>
        <w:jc w:val="both"/>
      </w:pPr>
      <w:r w:rsidRPr="00A51779">
        <w:t xml:space="preserve">The fixed HGB configuration used in this diagnostic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=0.824</m:t>
        </m:r>
      </m:oMath>
      <w:r w:rsidR="00274578" w:rsidRPr="00A51779">
        <w:t xml:space="preserve"> </w:t>
      </w:r>
      <w:r w:rsidRPr="00A51779">
        <w:t>under the explicit-CO</w:t>
      </w:r>
      <w:r w:rsidR="00274578" w:rsidRPr="00A51779">
        <w:rPr>
          <w:vertAlign w:val="subscript"/>
        </w:rPr>
        <w:t>2</w:t>
      </w:r>
      <w:r w:rsidRPr="00A51779">
        <w:t xml:space="preserve">/prospective specification, slightly exceeding the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=0.813</m:t>
        </m:r>
      </m:oMath>
      <w:r w:rsidR="00274578" w:rsidRPr="00A51779">
        <w:t xml:space="preserve"> </w:t>
      </w:r>
      <w:r w:rsidRPr="00A51779">
        <w:t>obtained by the prospectively tuned HGB in the primary analysis. Validation-based model selection therefore selected an HGB configuration that generalized somewhat less effectively to the rolling-origin evaluation than the fixed configuration. Prospective tuning is thus not guaranteed to improve a particular realized out-</w:t>
      </w:r>
      <w:r w:rsidRPr="00A51779">
        <w:lastRenderedPageBreak/>
        <w:t>of-sample estimate and may itself be influenced by temporal changes between the validation and subsequent forecast periods.</w:t>
      </w:r>
    </w:p>
    <w:p w14:paraId="59679778" w14:textId="77777777" w:rsidR="00B919ED" w:rsidRPr="00A51779" w:rsidRDefault="00B919ED" w:rsidP="00703316">
      <w:pPr>
        <w:spacing w:line="480" w:lineRule="auto"/>
        <w:jc w:val="both"/>
      </w:pPr>
      <w:r w:rsidRPr="00A51779">
        <w:t>The sensitivity of the CA result to model selection was examined more stringently using the expanded hyperparameter search. Ridge was searched over 30 log-spaced regularization values and HGB over 60 configurations using three expanding-window temporal cross-validation folds within the initial selection window.</w:t>
      </w:r>
    </w:p>
    <w:p w14:paraId="762AC137" w14:textId="55A932F8" w:rsidR="00B919ED" w:rsidRPr="004219A9" w:rsidRDefault="00B919ED" w:rsidP="00703316">
      <w:pPr>
        <w:spacing w:line="480" w:lineRule="auto"/>
        <w:jc w:val="both"/>
      </w:pPr>
      <w:r w:rsidRPr="004219A9">
        <w:t xml:space="preserve">Table </w:t>
      </w:r>
      <w:r w:rsidR="004219A9" w:rsidRPr="004219A9">
        <w:t>11</w:t>
      </w:r>
      <w:r w:rsidRPr="004219A9">
        <w:t>. Robustness of the CA and TX one-day comparisons to a substantially larger, nested-temporal-CV hyperparameter search.</w:t>
      </w:r>
    </w:p>
    <w:tbl>
      <w:tblPr>
        <w:tblStyle w:val="PlainTable2"/>
        <w:tblW w:w="5000" w:type="pct"/>
        <w:tblLook w:val="04A0" w:firstRow="1" w:lastRow="0" w:firstColumn="1" w:lastColumn="0" w:noHBand="0" w:noVBand="1"/>
      </w:tblPr>
      <w:tblGrid>
        <w:gridCol w:w="749"/>
        <w:gridCol w:w="4380"/>
        <w:gridCol w:w="1140"/>
        <w:gridCol w:w="1073"/>
        <w:gridCol w:w="1129"/>
        <w:gridCol w:w="889"/>
      </w:tblGrid>
      <w:tr w:rsidR="00B919ED" w:rsidRPr="00A51779" w14:paraId="65D2027F"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hideMark/>
          </w:tcPr>
          <w:p w14:paraId="61434706" w14:textId="77777777" w:rsidR="00B919ED" w:rsidRPr="00A51779" w:rsidRDefault="00B919ED" w:rsidP="00703316">
            <w:pPr>
              <w:spacing w:line="480" w:lineRule="auto"/>
              <w:jc w:val="both"/>
            </w:pPr>
            <w:r w:rsidRPr="00A51779">
              <w:t>State</w:t>
            </w:r>
          </w:p>
        </w:tc>
        <w:tc>
          <w:tcPr>
            <w:tcW w:w="2340" w:type="pct"/>
            <w:hideMark/>
          </w:tcPr>
          <w:p w14:paraId="6D08AE8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Search budget</w:t>
            </w:r>
          </w:p>
        </w:tc>
        <w:tc>
          <w:tcPr>
            <w:tcW w:w="609" w:type="pct"/>
            <w:hideMark/>
          </w:tcPr>
          <w:p w14:paraId="011C9331" w14:textId="3CE4C84D"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Ridge</w:t>
            </w:r>
          </w:p>
        </w:tc>
        <w:tc>
          <w:tcPr>
            <w:tcW w:w="573" w:type="pct"/>
            <w:hideMark/>
          </w:tcPr>
          <w:p w14:paraId="404774F9" w14:textId="023F2E03"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HGB</w:t>
            </w:r>
          </w:p>
        </w:tc>
        <w:tc>
          <w:tcPr>
            <w:tcW w:w="603" w:type="pct"/>
            <w:hideMark/>
          </w:tcPr>
          <w:p w14:paraId="105F5AD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476" w:type="pct"/>
            <w:hideMark/>
          </w:tcPr>
          <w:p w14:paraId="352BA12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r>
      <w:tr w:rsidR="00B919ED" w:rsidRPr="00A51779" w14:paraId="3950814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hideMark/>
          </w:tcPr>
          <w:p w14:paraId="44B6BE38" w14:textId="77777777" w:rsidR="00B919ED" w:rsidRPr="00A51779" w:rsidRDefault="00B919ED" w:rsidP="00703316">
            <w:pPr>
              <w:spacing w:line="480" w:lineRule="auto"/>
              <w:jc w:val="both"/>
            </w:pPr>
            <w:r w:rsidRPr="00A51779">
              <w:t>CA</w:t>
            </w:r>
          </w:p>
        </w:tc>
        <w:tc>
          <w:tcPr>
            <w:tcW w:w="2340" w:type="pct"/>
            <w:hideMark/>
          </w:tcPr>
          <w:p w14:paraId="31AC3C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Primary (12 pts each)</w:t>
            </w:r>
          </w:p>
        </w:tc>
        <w:tc>
          <w:tcPr>
            <w:tcW w:w="609" w:type="pct"/>
            <w:hideMark/>
          </w:tcPr>
          <w:p w14:paraId="37959E3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0.834</w:t>
            </w:r>
          </w:p>
        </w:tc>
        <w:tc>
          <w:tcPr>
            <w:tcW w:w="573" w:type="pct"/>
            <w:hideMark/>
          </w:tcPr>
          <w:p w14:paraId="01E2C42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c>
          <w:tcPr>
            <w:tcW w:w="603" w:type="pct"/>
            <w:hideMark/>
          </w:tcPr>
          <w:p w14:paraId="738BB36D" w14:textId="1E1B6CF9"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3.111</w:t>
            </w:r>
          </w:p>
        </w:tc>
        <w:tc>
          <w:tcPr>
            <w:tcW w:w="476" w:type="pct"/>
            <w:hideMark/>
          </w:tcPr>
          <w:p w14:paraId="516F63B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0.0020</w:t>
            </w:r>
          </w:p>
        </w:tc>
      </w:tr>
      <w:tr w:rsidR="00B919ED" w:rsidRPr="00A51779" w14:paraId="651B7808" w14:textId="77777777" w:rsidTr="00450A61">
        <w:tc>
          <w:tcPr>
            <w:cnfStyle w:val="001000000000" w:firstRow="0" w:lastRow="0" w:firstColumn="1" w:lastColumn="0" w:oddVBand="0" w:evenVBand="0" w:oddHBand="0" w:evenHBand="0" w:firstRowFirstColumn="0" w:firstRowLastColumn="0" w:lastRowFirstColumn="0" w:lastRowLastColumn="0"/>
            <w:tcW w:w="400" w:type="pct"/>
            <w:hideMark/>
          </w:tcPr>
          <w:p w14:paraId="607B4911" w14:textId="77777777" w:rsidR="00B919ED" w:rsidRPr="00A51779" w:rsidRDefault="00B919ED" w:rsidP="00703316">
            <w:pPr>
              <w:spacing w:line="480" w:lineRule="auto"/>
              <w:jc w:val="both"/>
            </w:pPr>
            <w:r w:rsidRPr="00A51779">
              <w:t>CA</w:t>
            </w:r>
          </w:p>
        </w:tc>
        <w:tc>
          <w:tcPr>
            <w:tcW w:w="2340" w:type="pct"/>
            <w:hideMark/>
          </w:tcPr>
          <w:p w14:paraId="74AF02B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Expanded (30 ridge / 60 HGB, nested CV)</w:t>
            </w:r>
          </w:p>
        </w:tc>
        <w:tc>
          <w:tcPr>
            <w:tcW w:w="609" w:type="pct"/>
            <w:hideMark/>
          </w:tcPr>
          <w:p w14:paraId="7907214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0.833</w:t>
            </w:r>
          </w:p>
        </w:tc>
        <w:tc>
          <w:tcPr>
            <w:tcW w:w="573" w:type="pct"/>
            <w:hideMark/>
          </w:tcPr>
          <w:p w14:paraId="2193BC7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0.822</w:t>
            </w:r>
          </w:p>
        </w:tc>
        <w:tc>
          <w:tcPr>
            <w:tcW w:w="603" w:type="pct"/>
            <w:hideMark/>
          </w:tcPr>
          <w:p w14:paraId="3BB1F2D4" w14:textId="5FD7DC92"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1.307</w:t>
            </w:r>
          </w:p>
        </w:tc>
        <w:tc>
          <w:tcPr>
            <w:tcW w:w="476" w:type="pct"/>
            <w:hideMark/>
          </w:tcPr>
          <w:p w14:paraId="34BD817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0.1918</w:t>
            </w:r>
          </w:p>
        </w:tc>
      </w:tr>
      <w:tr w:rsidR="00B919ED" w:rsidRPr="00A51779" w14:paraId="2033358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hideMark/>
          </w:tcPr>
          <w:p w14:paraId="69D8BCA5" w14:textId="77777777" w:rsidR="00B919ED" w:rsidRPr="00A51779" w:rsidRDefault="00B919ED" w:rsidP="00703316">
            <w:pPr>
              <w:spacing w:line="480" w:lineRule="auto"/>
              <w:jc w:val="both"/>
            </w:pPr>
            <w:r w:rsidRPr="00A51779">
              <w:t>TX</w:t>
            </w:r>
          </w:p>
        </w:tc>
        <w:tc>
          <w:tcPr>
            <w:tcW w:w="2340" w:type="pct"/>
            <w:hideMark/>
          </w:tcPr>
          <w:p w14:paraId="3AC9FBC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Primary (12 pts each)</w:t>
            </w:r>
          </w:p>
        </w:tc>
        <w:tc>
          <w:tcPr>
            <w:tcW w:w="609" w:type="pct"/>
            <w:hideMark/>
          </w:tcPr>
          <w:p w14:paraId="71CDDCF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0.745</w:t>
            </w:r>
          </w:p>
        </w:tc>
        <w:tc>
          <w:tcPr>
            <w:tcW w:w="573" w:type="pct"/>
            <w:hideMark/>
          </w:tcPr>
          <w:p w14:paraId="01A29C0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c>
          <w:tcPr>
            <w:tcW w:w="603" w:type="pct"/>
            <w:hideMark/>
          </w:tcPr>
          <w:p w14:paraId="5648066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1.196</w:t>
            </w:r>
          </w:p>
        </w:tc>
        <w:tc>
          <w:tcPr>
            <w:tcW w:w="476" w:type="pct"/>
            <w:hideMark/>
          </w:tcPr>
          <w:p w14:paraId="242AFCD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0.2324</w:t>
            </w:r>
          </w:p>
        </w:tc>
      </w:tr>
      <w:tr w:rsidR="00B919ED" w:rsidRPr="00A51779" w14:paraId="04009FE7" w14:textId="77777777" w:rsidTr="00450A61">
        <w:tc>
          <w:tcPr>
            <w:cnfStyle w:val="001000000000" w:firstRow="0" w:lastRow="0" w:firstColumn="1" w:lastColumn="0" w:oddVBand="0" w:evenVBand="0" w:oddHBand="0" w:evenHBand="0" w:firstRowFirstColumn="0" w:firstRowLastColumn="0" w:lastRowFirstColumn="0" w:lastRowLastColumn="0"/>
            <w:tcW w:w="400" w:type="pct"/>
            <w:hideMark/>
          </w:tcPr>
          <w:p w14:paraId="679938F5" w14:textId="77777777" w:rsidR="00B919ED" w:rsidRPr="00A51779" w:rsidRDefault="00B919ED" w:rsidP="00703316">
            <w:pPr>
              <w:spacing w:line="480" w:lineRule="auto"/>
              <w:jc w:val="both"/>
            </w:pPr>
            <w:r w:rsidRPr="00A51779">
              <w:t>TX</w:t>
            </w:r>
          </w:p>
        </w:tc>
        <w:tc>
          <w:tcPr>
            <w:tcW w:w="2340" w:type="pct"/>
            <w:hideMark/>
          </w:tcPr>
          <w:p w14:paraId="7C2B02B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Expanded (30 ridge / 60 HGB, nested CV)</w:t>
            </w:r>
          </w:p>
        </w:tc>
        <w:tc>
          <w:tcPr>
            <w:tcW w:w="609" w:type="pct"/>
            <w:hideMark/>
          </w:tcPr>
          <w:p w14:paraId="19132B8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0.736</w:t>
            </w:r>
          </w:p>
        </w:tc>
        <w:tc>
          <w:tcPr>
            <w:tcW w:w="573" w:type="pct"/>
            <w:hideMark/>
          </w:tcPr>
          <w:p w14:paraId="0F798AD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0.754</w:t>
            </w:r>
          </w:p>
        </w:tc>
        <w:tc>
          <w:tcPr>
            <w:tcW w:w="603" w:type="pct"/>
            <w:hideMark/>
          </w:tcPr>
          <w:p w14:paraId="44CF7DA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1.268</w:t>
            </w:r>
          </w:p>
        </w:tc>
        <w:tc>
          <w:tcPr>
            <w:tcW w:w="476" w:type="pct"/>
            <w:hideMark/>
          </w:tcPr>
          <w:p w14:paraId="6713F73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0.2053</w:t>
            </w:r>
          </w:p>
        </w:tc>
      </w:tr>
    </w:tbl>
    <w:p w14:paraId="521E27CC" w14:textId="77777777" w:rsidR="00336CF0" w:rsidRPr="00A51779" w:rsidRDefault="00336CF0" w:rsidP="00703316">
      <w:pPr>
        <w:spacing w:line="480" w:lineRule="auto"/>
        <w:jc w:val="both"/>
      </w:pPr>
    </w:p>
    <w:p w14:paraId="270311FF" w14:textId="115056C9" w:rsidR="00B919ED" w:rsidRPr="00A51779" w:rsidRDefault="00B919ED" w:rsidP="00703316">
      <w:pPr>
        <w:spacing w:line="480" w:lineRule="auto"/>
        <w:jc w:val="both"/>
      </w:pPr>
      <w:r w:rsidRPr="00A51779">
        <w:t>Under the substantially larger search, the CA one-day comparison remained directionally ridge-favored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=0.833</m:t>
        </m:r>
      </m:oMath>
      <w:r w:rsidRPr="00A51779">
        <w:t xml:space="preserve"> versus 0.822 for HGB), but the difference was no longer statistically significant (</w:t>
      </w:r>
      <m:oMath>
        <m:r>
          <w:rPr>
            <w:rFonts w:ascii="Cambria Math" w:hAnsi="Cambria Math"/>
          </w:rPr>
          <m:t>DM=-1.307</m:t>
        </m:r>
      </m:oMath>
      <w:r w:rsidRPr="00A51779">
        <w:t xml:space="preserve">, </w:t>
      </w:r>
      <m:oMath>
        <m:r>
          <w:rPr>
            <w:rFonts w:ascii="Cambria Math" w:hAnsi="Cambria Math"/>
          </w:rPr>
          <m:t>p=0.1918</m:t>
        </m:r>
      </m:oMath>
      <w:r w:rsidRPr="00A51779">
        <w:t>). The initially significant CA result therefore does not survive the expanded search. TX remained nonsignificant under the same procedure, consistent with the primary analysis.</w:t>
      </w:r>
    </w:p>
    <w:p w14:paraId="3BD63C81" w14:textId="77777777" w:rsidR="00B919ED" w:rsidRPr="00A51779" w:rsidRDefault="00B919ED" w:rsidP="00703316">
      <w:pPr>
        <w:spacing w:line="480" w:lineRule="auto"/>
        <w:jc w:val="both"/>
      </w:pPr>
      <w:r w:rsidRPr="00A51779">
        <w:t>Whether the change in CA reflects the absence of a genuinely robust ridge advantage or the particular configurations sampled by the larger HGB search cannot be resolved definitively. What is clear, however, is that the only three-state comparison surviving the initial multiplicity correction is not invariant to a materially broader hyperparameter search.</w:t>
      </w:r>
    </w:p>
    <w:p w14:paraId="24DBE4AD" w14:textId="7735BCFB" w:rsidR="00B919ED" w:rsidRPr="00A51779" w:rsidRDefault="00B919ED" w:rsidP="00703316">
      <w:pPr>
        <w:spacing w:line="480" w:lineRule="auto"/>
        <w:jc w:val="both"/>
      </w:pPr>
      <w:r w:rsidRPr="00A51779">
        <w:lastRenderedPageBreak/>
        <w:t xml:space="preserve">The dependence-related sensitivity analyses lead to a complementary conclusion. CA's one-day result remained significant across DM lags of 5, 7, and 14 days, with </w:t>
      </w:r>
      <m:oMath>
        <m:r>
          <w:rPr>
            <w:rFonts w:ascii="Cambria Math" w:hAnsi="Cambria Math"/>
          </w:rPr>
          <m:t>p=0.0020</m:t>
        </m:r>
      </m:oMath>
      <w:r w:rsidRPr="00A51779">
        <w:t xml:space="preserve">, 0.0027, and 0.0046, respectively. Its </w:t>
      </w:r>
      <m:oMath>
        <m:r>
          <m:rPr>
            <m:sty m:val="p"/>
          </m:rPr>
          <w:rPr>
            <w:rFonts w:ascii="Cambria Math" w:hAnsi="Cambria Math"/>
          </w:rPr>
          <m:t>Δ</m:t>
        </m:r>
        <m:r>
          <w:rPr>
            <w:rFonts w:ascii="Cambria Math" w:hAnsi="Cambria Math"/>
          </w:rPr>
          <m:t>RMSE</m:t>
        </m:r>
      </m:oMath>
      <w:r w:rsidR="00274578" w:rsidRPr="00A51779">
        <w:t xml:space="preserve"> </w:t>
      </w:r>
      <w:r w:rsidRPr="00A51779">
        <w:t xml:space="preserve">confidence interval also excluded zero for block-bootstrap lengths of 7, 14, and 28 days. PA at seven days showed comparable stability at the level of the individual comparison, with its DM </w:t>
      </w:r>
      <m:oMath>
        <m:r>
          <w:rPr>
            <w:rFonts w:ascii="Cambria Math" w:hAnsi="Cambria Math"/>
          </w:rPr>
          <m:t>p</m:t>
        </m:r>
      </m:oMath>
      <w:r w:rsidRPr="00A51779">
        <w:t>-value remaining nominally significant across the same lag values and its confidence interval excluding zero at all three block lengths. PA nevertheless remained nonsignificant under Holm correction across the six principal state–horizon comparisons.</w:t>
      </w:r>
    </w:p>
    <w:p w14:paraId="22E08316" w14:textId="0DC05759" w:rsidR="00B919ED" w:rsidRPr="004219A9" w:rsidRDefault="00B919ED" w:rsidP="00703316">
      <w:pPr>
        <w:spacing w:line="480" w:lineRule="auto"/>
        <w:jc w:val="both"/>
      </w:pPr>
      <w:r w:rsidRPr="004219A9">
        <w:t xml:space="preserve">Table </w:t>
      </w:r>
      <w:r w:rsidR="004219A9" w:rsidRPr="004219A9">
        <w:t>12</w:t>
      </w:r>
      <w:r w:rsidRPr="004219A9">
        <w:t>. ΔRMSE% block-bootstrap 95% CI by block length, for the two state-horizon pairs</w:t>
      </w:r>
      <w:r w:rsidR="004219A9">
        <w:t>.</w:t>
      </w:r>
    </w:p>
    <w:tbl>
      <w:tblPr>
        <w:tblStyle w:val="PlainTable2"/>
        <w:tblW w:w="5000" w:type="pct"/>
        <w:tblLook w:val="04A0" w:firstRow="1" w:lastRow="0" w:firstColumn="1" w:lastColumn="0" w:noHBand="0" w:noVBand="1"/>
      </w:tblPr>
      <w:tblGrid>
        <w:gridCol w:w="754"/>
        <w:gridCol w:w="1191"/>
        <w:gridCol w:w="1801"/>
        <w:gridCol w:w="1524"/>
        <w:gridCol w:w="2108"/>
        <w:gridCol w:w="1982"/>
      </w:tblGrid>
      <w:tr w:rsidR="00B919ED" w:rsidRPr="00A51779" w14:paraId="31D246F0"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1A11AC5A" w14:textId="77777777" w:rsidR="00B919ED" w:rsidRPr="00A51779" w:rsidRDefault="00B919ED" w:rsidP="00703316">
            <w:pPr>
              <w:spacing w:line="480" w:lineRule="auto"/>
              <w:jc w:val="both"/>
            </w:pPr>
            <w:r w:rsidRPr="00A51779">
              <w:t>State</w:t>
            </w:r>
          </w:p>
        </w:tc>
        <w:tc>
          <w:tcPr>
            <w:tcW w:w="617" w:type="pct"/>
            <w:hideMark/>
          </w:tcPr>
          <w:p w14:paraId="330DA581"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934" w:type="pct"/>
            <w:hideMark/>
          </w:tcPr>
          <w:p w14:paraId="2D93112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Block length</w:t>
            </w:r>
          </w:p>
        </w:tc>
        <w:tc>
          <w:tcPr>
            <w:tcW w:w="790" w:type="pct"/>
            <w:hideMark/>
          </w:tcPr>
          <w:p w14:paraId="7E06672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ΔRMSE%</w:t>
            </w:r>
          </w:p>
        </w:tc>
        <w:tc>
          <w:tcPr>
            <w:tcW w:w="1093" w:type="pct"/>
            <w:hideMark/>
          </w:tcPr>
          <w:p w14:paraId="56B0166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95% CI</w:t>
            </w:r>
          </w:p>
        </w:tc>
        <w:tc>
          <w:tcPr>
            <w:tcW w:w="1028" w:type="pct"/>
            <w:hideMark/>
          </w:tcPr>
          <w:p w14:paraId="3C58B2D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Excludes zero</w:t>
            </w:r>
          </w:p>
        </w:tc>
      </w:tr>
      <w:tr w:rsidR="00B919ED" w:rsidRPr="00A51779" w14:paraId="4ABA4A9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6AF834AF" w14:textId="77777777" w:rsidR="00B919ED" w:rsidRPr="00A51779" w:rsidRDefault="00B919ED" w:rsidP="00703316">
            <w:pPr>
              <w:spacing w:line="480" w:lineRule="auto"/>
              <w:jc w:val="both"/>
            </w:pPr>
            <w:r w:rsidRPr="00A51779">
              <w:t>CA</w:t>
            </w:r>
          </w:p>
        </w:tc>
        <w:tc>
          <w:tcPr>
            <w:tcW w:w="617" w:type="pct"/>
            <w:hideMark/>
          </w:tcPr>
          <w:p w14:paraId="4F0A131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34" w:type="pct"/>
            <w:hideMark/>
          </w:tcPr>
          <w:p w14:paraId="508A1F7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790" w:type="pct"/>
            <w:hideMark/>
          </w:tcPr>
          <w:p w14:paraId="5DE5B2C1" w14:textId="052BB65C"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6.17</w:t>
            </w:r>
          </w:p>
        </w:tc>
        <w:tc>
          <w:tcPr>
            <w:tcW w:w="1093" w:type="pct"/>
            <w:hideMark/>
          </w:tcPr>
          <w:p w14:paraId="50077B7E" w14:textId="1CD0B596"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74578" w:rsidRPr="00A51779">
              <w:t>-</w:t>
            </w:r>
            <w:r w:rsidRPr="00A51779">
              <w:t xml:space="preserve">9.93, </w:t>
            </w:r>
            <w:r w:rsidR="00274578" w:rsidRPr="00A51779">
              <w:t>-</w:t>
            </w:r>
            <w:r w:rsidRPr="00A51779">
              <w:t>2.43]</w:t>
            </w:r>
          </w:p>
        </w:tc>
        <w:tc>
          <w:tcPr>
            <w:tcW w:w="1028" w:type="pct"/>
            <w:hideMark/>
          </w:tcPr>
          <w:p w14:paraId="4A19616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Yes</w:t>
            </w:r>
          </w:p>
        </w:tc>
      </w:tr>
      <w:tr w:rsidR="00B919ED" w:rsidRPr="00A51779" w14:paraId="58EDE01A" w14:textId="77777777" w:rsidTr="00450A61">
        <w:tc>
          <w:tcPr>
            <w:cnfStyle w:val="001000000000" w:firstRow="0" w:lastRow="0" w:firstColumn="1" w:lastColumn="0" w:oddVBand="0" w:evenVBand="0" w:oddHBand="0" w:evenHBand="0" w:firstRowFirstColumn="0" w:firstRowLastColumn="0" w:lastRowFirstColumn="0" w:lastRowLastColumn="0"/>
            <w:tcW w:w="390" w:type="pct"/>
            <w:hideMark/>
          </w:tcPr>
          <w:p w14:paraId="67CD4A97" w14:textId="77777777" w:rsidR="00B919ED" w:rsidRPr="00A51779" w:rsidRDefault="00B919ED" w:rsidP="00703316">
            <w:pPr>
              <w:spacing w:line="480" w:lineRule="auto"/>
              <w:jc w:val="both"/>
            </w:pPr>
            <w:r w:rsidRPr="00A51779">
              <w:t>CA</w:t>
            </w:r>
          </w:p>
        </w:tc>
        <w:tc>
          <w:tcPr>
            <w:tcW w:w="617" w:type="pct"/>
            <w:hideMark/>
          </w:tcPr>
          <w:p w14:paraId="49B36F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934" w:type="pct"/>
            <w:hideMark/>
          </w:tcPr>
          <w:p w14:paraId="03D2097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14</w:t>
            </w:r>
          </w:p>
        </w:tc>
        <w:tc>
          <w:tcPr>
            <w:tcW w:w="790" w:type="pct"/>
            <w:hideMark/>
          </w:tcPr>
          <w:p w14:paraId="2BC2CEDD" w14:textId="7F84AB21"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6.17</w:t>
            </w:r>
          </w:p>
        </w:tc>
        <w:tc>
          <w:tcPr>
            <w:tcW w:w="1093" w:type="pct"/>
            <w:hideMark/>
          </w:tcPr>
          <w:p w14:paraId="6B86AE94" w14:textId="70EFA8B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74578" w:rsidRPr="00A51779">
              <w:t>-</w:t>
            </w:r>
            <w:r w:rsidRPr="00A51779">
              <w:t xml:space="preserve">10.06, </w:t>
            </w:r>
            <w:r w:rsidR="00274578" w:rsidRPr="00A51779">
              <w:t>-</w:t>
            </w:r>
            <w:r w:rsidRPr="00A51779">
              <w:t>2.24]</w:t>
            </w:r>
          </w:p>
        </w:tc>
        <w:tc>
          <w:tcPr>
            <w:tcW w:w="1028" w:type="pct"/>
            <w:hideMark/>
          </w:tcPr>
          <w:p w14:paraId="28E449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Yes</w:t>
            </w:r>
          </w:p>
        </w:tc>
      </w:tr>
      <w:tr w:rsidR="00B919ED" w:rsidRPr="00A51779" w14:paraId="5DBD5F82"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38BB3CBB" w14:textId="77777777" w:rsidR="00B919ED" w:rsidRPr="00A51779" w:rsidRDefault="00B919ED" w:rsidP="00703316">
            <w:pPr>
              <w:spacing w:line="480" w:lineRule="auto"/>
              <w:jc w:val="both"/>
            </w:pPr>
            <w:r w:rsidRPr="00A51779">
              <w:t>CA</w:t>
            </w:r>
          </w:p>
        </w:tc>
        <w:tc>
          <w:tcPr>
            <w:tcW w:w="617" w:type="pct"/>
            <w:hideMark/>
          </w:tcPr>
          <w:p w14:paraId="0215B25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34" w:type="pct"/>
            <w:hideMark/>
          </w:tcPr>
          <w:p w14:paraId="1568913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28</w:t>
            </w:r>
          </w:p>
        </w:tc>
        <w:tc>
          <w:tcPr>
            <w:tcW w:w="790" w:type="pct"/>
            <w:hideMark/>
          </w:tcPr>
          <w:p w14:paraId="6797FFB7" w14:textId="42194919"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6.17</w:t>
            </w:r>
          </w:p>
        </w:tc>
        <w:tc>
          <w:tcPr>
            <w:tcW w:w="1093" w:type="pct"/>
            <w:hideMark/>
          </w:tcPr>
          <w:p w14:paraId="4D39EF50" w14:textId="2FEE05F1"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74578" w:rsidRPr="00A51779">
              <w:t>-</w:t>
            </w:r>
            <w:r w:rsidRPr="00A51779">
              <w:t xml:space="preserve">9.98, </w:t>
            </w:r>
            <w:r w:rsidR="00274578" w:rsidRPr="00A51779">
              <w:t>-</w:t>
            </w:r>
            <w:r w:rsidRPr="00A51779">
              <w:t>1.88]</w:t>
            </w:r>
          </w:p>
        </w:tc>
        <w:tc>
          <w:tcPr>
            <w:tcW w:w="1028" w:type="pct"/>
            <w:hideMark/>
          </w:tcPr>
          <w:p w14:paraId="429EB61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Yes</w:t>
            </w:r>
          </w:p>
        </w:tc>
      </w:tr>
      <w:tr w:rsidR="00B919ED" w:rsidRPr="00A51779" w14:paraId="2EEA41A4" w14:textId="77777777" w:rsidTr="00450A61">
        <w:tc>
          <w:tcPr>
            <w:cnfStyle w:val="001000000000" w:firstRow="0" w:lastRow="0" w:firstColumn="1" w:lastColumn="0" w:oddVBand="0" w:evenVBand="0" w:oddHBand="0" w:evenHBand="0" w:firstRowFirstColumn="0" w:firstRowLastColumn="0" w:lastRowFirstColumn="0" w:lastRowLastColumn="0"/>
            <w:tcW w:w="390" w:type="pct"/>
            <w:hideMark/>
          </w:tcPr>
          <w:p w14:paraId="4505EA6C" w14:textId="77777777" w:rsidR="00B919ED" w:rsidRPr="00A51779" w:rsidRDefault="00B919ED" w:rsidP="00703316">
            <w:pPr>
              <w:spacing w:line="480" w:lineRule="auto"/>
              <w:jc w:val="both"/>
            </w:pPr>
            <w:r w:rsidRPr="00A51779">
              <w:t>PA</w:t>
            </w:r>
          </w:p>
        </w:tc>
        <w:tc>
          <w:tcPr>
            <w:tcW w:w="617" w:type="pct"/>
            <w:hideMark/>
          </w:tcPr>
          <w:p w14:paraId="0EFF162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34" w:type="pct"/>
            <w:hideMark/>
          </w:tcPr>
          <w:p w14:paraId="6B02166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790" w:type="pct"/>
            <w:hideMark/>
          </w:tcPr>
          <w:p w14:paraId="4A237D9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10.06</w:t>
            </w:r>
          </w:p>
        </w:tc>
        <w:tc>
          <w:tcPr>
            <w:tcW w:w="1093" w:type="pct"/>
            <w:hideMark/>
          </w:tcPr>
          <w:p w14:paraId="4E96A90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[2.20, 17.16]</w:t>
            </w:r>
          </w:p>
        </w:tc>
        <w:tc>
          <w:tcPr>
            <w:tcW w:w="1028" w:type="pct"/>
            <w:hideMark/>
          </w:tcPr>
          <w:p w14:paraId="04E060B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Yes</w:t>
            </w:r>
          </w:p>
        </w:tc>
      </w:tr>
      <w:tr w:rsidR="00B919ED" w:rsidRPr="00A51779" w14:paraId="36CCE63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6BE4F429" w14:textId="77777777" w:rsidR="00B919ED" w:rsidRPr="00A51779" w:rsidRDefault="00B919ED" w:rsidP="00703316">
            <w:pPr>
              <w:spacing w:line="480" w:lineRule="auto"/>
              <w:jc w:val="both"/>
            </w:pPr>
            <w:r w:rsidRPr="00A51779">
              <w:t>PA</w:t>
            </w:r>
          </w:p>
        </w:tc>
        <w:tc>
          <w:tcPr>
            <w:tcW w:w="617" w:type="pct"/>
            <w:hideMark/>
          </w:tcPr>
          <w:p w14:paraId="4977C2F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934" w:type="pct"/>
            <w:hideMark/>
          </w:tcPr>
          <w:p w14:paraId="127EE07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14</w:t>
            </w:r>
          </w:p>
        </w:tc>
        <w:tc>
          <w:tcPr>
            <w:tcW w:w="790" w:type="pct"/>
            <w:hideMark/>
          </w:tcPr>
          <w:p w14:paraId="2874DB5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10.06</w:t>
            </w:r>
          </w:p>
        </w:tc>
        <w:tc>
          <w:tcPr>
            <w:tcW w:w="1093" w:type="pct"/>
            <w:hideMark/>
          </w:tcPr>
          <w:p w14:paraId="260F6A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[1.87, 18.31]</w:t>
            </w:r>
          </w:p>
        </w:tc>
        <w:tc>
          <w:tcPr>
            <w:tcW w:w="1028" w:type="pct"/>
            <w:hideMark/>
          </w:tcPr>
          <w:p w14:paraId="386FDF0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Yes</w:t>
            </w:r>
          </w:p>
        </w:tc>
      </w:tr>
      <w:tr w:rsidR="00B919ED" w:rsidRPr="00A51779" w14:paraId="77E97A5D" w14:textId="77777777" w:rsidTr="00450A61">
        <w:tc>
          <w:tcPr>
            <w:cnfStyle w:val="001000000000" w:firstRow="0" w:lastRow="0" w:firstColumn="1" w:lastColumn="0" w:oddVBand="0" w:evenVBand="0" w:oddHBand="0" w:evenHBand="0" w:firstRowFirstColumn="0" w:firstRowLastColumn="0" w:lastRowFirstColumn="0" w:lastRowLastColumn="0"/>
            <w:tcW w:w="390" w:type="pct"/>
            <w:hideMark/>
          </w:tcPr>
          <w:p w14:paraId="6DA7B1ED" w14:textId="77777777" w:rsidR="00B919ED" w:rsidRPr="00A51779" w:rsidRDefault="00B919ED" w:rsidP="00703316">
            <w:pPr>
              <w:spacing w:line="480" w:lineRule="auto"/>
              <w:jc w:val="both"/>
            </w:pPr>
            <w:r w:rsidRPr="00A51779">
              <w:t>PA</w:t>
            </w:r>
          </w:p>
        </w:tc>
        <w:tc>
          <w:tcPr>
            <w:tcW w:w="617" w:type="pct"/>
            <w:hideMark/>
          </w:tcPr>
          <w:p w14:paraId="5561BF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34" w:type="pct"/>
            <w:hideMark/>
          </w:tcPr>
          <w:p w14:paraId="220C66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28</w:t>
            </w:r>
          </w:p>
        </w:tc>
        <w:tc>
          <w:tcPr>
            <w:tcW w:w="790" w:type="pct"/>
            <w:hideMark/>
          </w:tcPr>
          <w:p w14:paraId="50CDA49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10.06</w:t>
            </w:r>
          </w:p>
        </w:tc>
        <w:tc>
          <w:tcPr>
            <w:tcW w:w="1093" w:type="pct"/>
            <w:hideMark/>
          </w:tcPr>
          <w:p w14:paraId="7C2F34F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[1.37, 17.81]</w:t>
            </w:r>
          </w:p>
        </w:tc>
        <w:tc>
          <w:tcPr>
            <w:tcW w:w="1028" w:type="pct"/>
            <w:hideMark/>
          </w:tcPr>
          <w:p w14:paraId="3A0F4C2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Yes</w:t>
            </w:r>
          </w:p>
        </w:tc>
      </w:tr>
    </w:tbl>
    <w:p w14:paraId="42E8E796" w14:textId="77777777" w:rsidR="00336CF0" w:rsidRPr="00A51779" w:rsidRDefault="00336CF0" w:rsidP="00703316">
      <w:pPr>
        <w:spacing w:line="480" w:lineRule="auto"/>
        <w:jc w:val="both"/>
      </w:pPr>
    </w:p>
    <w:p w14:paraId="530827D6" w14:textId="69E9A196" w:rsidR="00B919ED" w:rsidRPr="00A51779" w:rsidRDefault="00B919ED" w:rsidP="00703316">
      <w:pPr>
        <w:spacing w:line="480" w:lineRule="auto"/>
        <w:jc w:val="both"/>
      </w:pPr>
      <w:r w:rsidRPr="00A51779">
        <w:t>These two forms of robustness answer different questions. Sensitivity to HAC lag and bootstrap block length concerns the stability of an individual comparison to reasonable dependence-related nuisance choices, whereas multiplicity correction asks whether the same comparison remains exceptional after accounting for all tests in the inferential family. PA at seven days satisfies the former standard but not the latter.</w:t>
      </w:r>
    </w:p>
    <w:p w14:paraId="7AED25B7" w14:textId="77777777" w:rsidR="00B919ED" w:rsidRPr="00A51779" w:rsidRDefault="00B919ED" w:rsidP="00703316">
      <w:pPr>
        <w:spacing w:line="480" w:lineRule="auto"/>
        <w:jc w:val="both"/>
      </w:pPr>
      <w:r w:rsidRPr="00A51779">
        <w:lastRenderedPageBreak/>
        <w:t>The final three-state sensitivity analysis restricted the state aggregates to facilities reporting on at least 95% of days. This criterion retained 36 of 132 facilities in TX, 11 of 73 in PA, and 4 of 109 in CA, representing 60.4%, 34.1%, and 9.4% of each state's total emissions, respectively. Correlations between the full and consistently reporting state-day series were 0.965, 0.632, and 0.738.</w:t>
      </w:r>
    </w:p>
    <w:p w14:paraId="76CCC9AD" w14:textId="3B324528" w:rsidR="00B919ED" w:rsidRPr="004219A9" w:rsidRDefault="00B919ED" w:rsidP="00703316">
      <w:pPr>
        <w:spacing w:line="480" w:lineRule="auto"/>
        <w:jc w:val="both"/>
      </w:pPr>
      <w:r w:rsidRPr="004219A9">
        <w:t xml:space="preserve">Table </w:t>
      </w:r>
      <w:r w:rsidR="004219A9" w:rsidRPr="004219A9">
        <w:t>13</w:t>
      </w:r>
      <w:r w:rsidRPr="004219A9">
        <w:t>. Consistently-reporting-facility-subset rolling-origin comparison, one-day and seven-day horizons.</w:t>
      </w:r>
    </w:p>
    <w:tbl>
      <w:tblPr>
        <w:tblStyle w:val="PlainTable2"/>
        <w:tblW w:w="5000" w:type="pct"/>
        <w:tblLook w:val="04A0" w:firstRow="1" w:lastRow="0" w:firstColumn="1" w:lastColumn="0" w:noHBand="0" w:noVBand="1"/>
      </w:tblPr>
      <w:tblGrid>
        <w:gridCol w:w="736"/>
        <w:gridCol w:w="1056"/>
        <w:gridCol w:w="1296"/>
        <w:gridCol w:w="3347"/>
        <w:gridCol w:w="1309"/>
        <w:gridCol w:w="1616"/>
      </w:tblGrid>
      <w:tr w:rsidR="00B919ED" w:rsidRPr="00A51779" w14:paraId="2EB44633"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2961D6C7" w14:textId="77777777" w:rsidR="00B919ED" w:rsidRPr="00A51779" w:rsidRDefault="00B919ED" w:rsidP="00703316">
            <w:pPr>
              <w:spacing w:line="480" w:lineRule="auto"/>
              <w:jc w:val="both"/>
            </w:pPr>
            <w:r w:rsidRPr="00A51779">
              <w:t>State</w:t>
            </w:r>
          </w:p>
        </w:tc>
        <w:tc>
          <w:tcPr>
            <w:tcW w:w="564" w:type="pct"/>
            <w:hideMark/>
          </w:tcPr>
          <w:p w14:paraId="29795D8C"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692" w:type="pct"/>
            <w:hideMark/>
          </w:tcPr>
          <w:p w14:paraId="300681C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Model</w:t>
            </w:r>
          </w:p>
        </w:tc>
        <w:tc>
          <w:tcPr>
            <w:tcW w:w="1788" w:type="pct"/>
            <w:hideMark/>
          </w:tcPr>
          <w:p w14:paraId="04AC7DF1"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Consistently reporting facilities</w:t>
            </w:r>
          </w:p>
        </w:tc>
        <w:tc>
          <w:tcPr>
            <w:tcW w:w="699" w:type="pct"/>
            <w:hideMark/>
          </w:tcPr>
          <w:p w14:paraId="68683C33" w14:textId="54E66FBC"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(subset)</w:t>
            </w:r>
          </w:p>
        </w:tc>
        <w:tc>
          <w:tcPr>
            <w:tcW w:w="863" w:type="pct"/>
            <w:hideMark/>
          </w:tcPr>
          <w:p w14:paraId="01DA4C78" w14:textId="2BD6ED34"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(full panel)</w:t>
            </w:r>
          </w:p>
        </w:tc>
      </w:tr>
      <w:tr w:rsidR="00B919ED" w:rsidRPr="00A51779" w14:paraId="6ED581E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54F5EB9E" w14:textId="77777777" w:rsidR="00B919ED" w:rsidRPr="00A51779" w:rsidRDefault="00B919ED" w:rsidP="00703316">
            <w:pPr>
              <w:spacing w:line="480" w:lineRule="auto"/>
              <w:jc w:val="both"/>
            </w:pPr>
            <w:r w:rsidRPr="00A51779">
              <w:t>TX</w:t>
            </w:r>
          </w:p>
        </w:tc>
        <w:tc>
          <w:tcPr>
            <w:tcW w:w="564" w:type="pct"/>
            <w:hideMark/>
          </w:tcPr>
          <w:p w14:paraId="795CFC1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7F40DE1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788" w:type="pct"/>
            <w:hideMark/>
          </w:tcPr>
          <w:p w14:paraId="769423D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36/132</w:t>
            </w:r>
          </w:p>
        </w:tc>
        <w:tc>
          <w:tcPr>
            <w:tcW w:w="699" w:type="pct"/>
            <w:hideMark/>
          </w:tcPr>
          <w:p w14:paraId="2C2FDE1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0.690</w:t>
            </w:r>
          </w:p>
        </w:tc>
        <w:tc>
          <w:tcPr>
            <w:tcW w:w="863" w:type="pct"/>
            <w:hideMark/>
          </w:tcPr>
          <w:p w14:paraId="4367593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0.716</w:t>
            </w:r>
          </w:p>
        </w:tc>
      </w:tr>
      <w:tr w:rsidR="00B919ED" w:rsidRPr="00A51779" w14:paraId="3B8B899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0FE5FB67" w14:textId="77777777" w:rsidR="00B919ED" w:rsidRPr="00A51779" w:rsidRDefault="00B919ED" w:rsidP="00703316">
            <w:pPr>
              <w:spacing w:line="480" w:lineRule="auto"/>
              <w:jc w:val="both"/>
            </w:pPr>
            <w:r w:rsidRPr="00A51779">
              <w:t>TX</w:t>
            </w:r>
          </w:p>
        </w:tc>
        <w:tc>
          <w:tcPr>
            <w:tcW w:w="564" w:type="pct"/>
            <w:hideMark/>
          </w:tcPr>
          <w:p w14:paraId="04EA489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2AF01FE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788" w:type="pct"/>
            <w:hideMark/>
          </w:tcPr>
          <w:p w14:paraId="5904A03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36/132</w:t>
            </w:r>
          </w:p>
        </w:tc>
        <w:tc>
          <w:tcPr>
            <w:tcW w:w="699" w:type="pct"/>
            <w:hideMark/>
          </w:tcPr>
          <w:p w14:paraId="2183E3E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0.732</w:t>
            </w:r>
          </w:p>
        </w:tc>
        <w:tc>
          <w:tcPr>
            <w:tcW w:w="863" w:type="pct"/>
            <w:hideMark/>
          </w:tcPr>
          <w:p w14:paraId="5BCBFBE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r>
      <w:tr w:rsidR="00B919ED" w:rsidRPr="00A51779" w14:paraId="3908F63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732B0474" w14:textId="77777777" w:rsidR="00B919ED" w:rsidRPr="00A51779" w:rsidRDefault="00B919ED" w:rsidP="00703316">
            <w:pPr>
              <w:spacing w:line="480" w:lineRule="auto"/>
              <w:jc w:val="both"/>
            </w:pPr>
            <w:r w:rsidRPr="00A51779">
              <w:t>TX</w:t>
            </w:r>
          </w:p>
        </w:tc>
        <w:tc>
          <w:tcPr>
            <w:tcW w:w="564" w:type="pct"/>
            <w:hideMark/>
          </w:tcPr>
          <w:p w14:paraId="5456CDB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211F2E8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788" w:type="pct"/>
            <w:hideMark/>
          </w:tcPr>
          <w:p w14:paraId="44483E8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36/132</w:t>
            </w:r>
          </w:p>
        </w:tc>
        <w:tc>
          <w:tcPr>
            <w:tcW w:w="699" w:type="pct"/>
            <w:hideMark/>
          </w:tcPr>
          <w:p w14:paraId="2294240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0.737</w:t>
            </w:r>
          </w:p>
        </w:tc>
        <w:tc>
          <w:tcPr>
            <w:tcW w:w="863" w:type="pct"/>
            <w:hideMark/>
          </w:tcPr>
          <w:p w14:paraId="2835F51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r>
      <w:tr w:rsidR="00B919ED" w:rsidRPr="00A51779" w14:paraId="1ADB3CE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27DB2514" w14:textId="77777777" w:rsidR="00B919ED" w:rsidRPr="00A51779" w:rsidRDefault="00B919ED" w:rsidP="00703316">
            <w:pPr>
              <w:spacing w:line="480" w:lineRule="auto"/>
              <w:jc w:val="both"/>
            </w:pPr>
            <w:r w:rsidRPr="00A51779">
              <w:t>PA</w:t>
            </w:r>
          </w:p>
        </w:tc>
        <w:tc>
          <w:tcPr>
            <w:tcW w:w="564" w:type="pct"/>
            <w:hideMark/>
          </w:tcPr>
          <w:p w14:paraId="1D2A3C7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785E970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788" w:type="pct"/>
            <w:hideMark/>
          </w:tcPr>
          <w:p w14:paraId="5FD462F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11/73</w:t>
            </w:r>
          </w:p>
        </w:tc>
        <w:tc>
          <w:tcPr>
            <w:tcW w:w="699" w:type="pct"/>
            <w:hideMark/>
          </w:tcPr>
          <w:p w14:paraId="71E5C14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0.912</w:t>
            </w:r>
          </w:p>
        </w:tc>
        <w:tc>
          <w:tcPr>
            <w:tcW w:w="863" w:type="pct"/>
            <w:hideMark/>
          </w:tcPr>
          <w:p w14:paraId="16356E7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0.912</w:t>
            </w:r>
          </w:p>
        </w:tc>
      </w:tr>
      <w:tr w:rsidR="00B919ED" w:rsidRPr="00A51779" w14:paraId="200EC4A9"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67BCE8F9" w14:textId="77777777" w:rsidR="00B919ED" w:rsidRPr="00A51779" w:rsidRDefault="00B919ED" w:rsidP="00703316">
            <w:pPr>
              <w:spacing w:line="480" w:lineRule="auto"/>
              <w:jc w:val="both"/>
            </w:pPr>
            <w:r w:rsidRPr="00A51779">
              <w:t>PA</w:t>
            </w:r>
          </w:p>
        </w:tc>
        <w:tc>
          <w:tcPr>
            <w:tcW w:w="564" w:type="pct"/>
            <w:hideMark/>
          </w:tcPr>
          <w:p w14:paraId="55427DF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72E80B1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788" w:type="pct"/>
            <w:hideMark/>
          </w:tcPr>
          <w:p w14:paraId="4AFEED7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11/73</w:t>
            </w:r>
          </w:p>
        </w:tc>
        <w:tc>
          <w:tcPr>
            <w:tcW w:w="699" w:type="pct"/>
            <w:hideMark/>
          </w:tcPr>
          <w:p w14:paraId="30E9B6C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0.912</w:t>
            </w:r>
          </w:p>
        </w:tc>
        <w:tc>
          <w:tcPr>
            <w:tcW w:w="863" w:type="pct"/>
            <w:hideMark/>
          </w:tcPr>
          <w:p w14:paraId="1116502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0.929</w:t>
            </w:r>
          </w:p>
        </w:tc>
      </w:tr>
      <w:tr w:rsidR="00B919ED" w:rsidRPr="00A51779" w14:paraId="3E3C9FB2"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719B59F6" w14:textId="77777777" w:rsidR="00B919ED" w:rsidRPr="00A51779" w:rsidRDefault="00B919ED" w:rsidP="00703316">
            <w:pPr>
              <w:spacing w:line="480" w:lineRule="auto"/>
              <w:jc w:val="both"/>
            </w:pPr>
            <w:r w:rsidRPr="00A51779">
              <w:t>PA</w:t>
            </w:r>
          </w:p>
        </w:tc>
        <w:tc>
          <w:tcPr>
            <w:tcW w:w="564" w:type="pct"/>
            <w:hideMark/>
          </w:tcPr>
          <w:p w14:paraId="6FD7390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2EB311A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788" w:type="pct"/>
            <w:hideMark/>
          </w:tcPr>
          <w:p w14:paraId="26B97E0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11/73</w:t>
            </w:r>
          </w:p>
        </w:tc>
        <w:tc>
          <w:tcPr>
            <w:tcW w:w="699" w:type="pct"/>
            <w:hideMark/>
          </w:tcPr>
          <w:p w14:paraId="352583A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0.892</w:t>
            </w:r>
          </w:p>
        </w:tc>
        <w:tc>
          <w:tcPr>
            <w:tcW w:w="863" w:type="pct"/>
            <w:hideMark/>
          </w:tcPr>
          <w:p w14:paraId="7B3869B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r>
      <w:tr w:rsidR="00B919ED" w:rsidRPr="00A51779" w14:paraId="58D0726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36C74010" w14:textId="77777777" w:rsidR="00B919ED" w:rsidRPr="00A51779" w:rsidRDefault="00B919ED" w:rsidP="00703316">
            <w:pPr>
              <w:spacing w:line="480" w:lineRule="auto"/>
              <w:jc w:val="both"/>
            </w:pPr>
            <w:r w:rsidRPr="00A51779">
              <w:t>CA</w:t>
            </w:r>
          </w:p>
        </w:tc>
        <w:tc>
          <w:tcPr>
            <w:tcW w:w="564" w:type="pct"/>
            <w:hideMark/>
          </w:tcPr>
          <w:p w14:paraId="14F17BD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0F2861F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788" w:type="pct"/>
            <w:hideMark/>
          </w:tcPr>
          <w:p w14:paraId="1B41F99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4/109</w:t>
            </w:r>
          </w:p>
        </w:tc>
        <w:tc>
          <w:tcPr>
            <w:tcW w:w="699" w:type="pct"/>
            <w:hideMark/>
          </w:tcPr>
          <w:p w14:paraId="4D10378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0.768</w:t>
            </w:r>
          </w:p>
        </w:tc>
        <w:tc>
          <w:tcPr>
            <w:tcW w:w="863" w:type="pct"/>
            <w:hideMark/>
          </w:tcPr>
          <w:p w14:paraId="022ECF3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0.766</w:t>
            </w:r>
          </w:p>
        </w:tc>
      </w:tr>
      <w:tr w:rsidR="00B919ED" w:rsidRPr="00A51779" w14:paraId="18140250"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4FC0E7AE" w14:textId="77777777" w:rsidR="00B919ED" w:rsidRPr="00A51779" w:rsidRDefault="00B919ED" w:rsidP="00703316">
            <w:pPr>
              <w:spacing w:line="480" w:lineRule="auto"/>
              <w:jc w:val="both"/>
            </w:pPr>
            <w:r w:rsidRPr="00A51779">
              <w:t>CA</w:t>
            </w:r>
          </w:p>
        </w:tc>
        <w:tc>
          <w:tcPr>
            <w:tcW w:w="564" w:type="pct"/>
            <w:hideMark/>
          </w:tcPr>
          <w:p w14:paraId="3684D30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20A0A51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788" w:type="pct"/>
            <w:hideMark/>
          </w:tcPr>
          <w:p w14:paraId="4DE9116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4/109</w:t>
            </w:r>
          </w:p>
        </w:tc>
        <w:tc>
          <w:tcPr>
            <w:tcW w:w="699" w:type="pct"/>
            <w:hideMark/>
          </w:tcPr>
          <w:p w14:paraId="014D9E4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0.805</w:t>
            </w:r>
          </w:p>
        </w:tc>
        <w:tc>
          <w:tcPr>
            <w:tcW w:w="863" w:type="pct"/>
            <w:hideMark/>
          </w:tcPr>
          <w:p w14:paraId="19BD8E9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r>
      <w:tr w:rsidR="00B919ED" w:rsidRPr="00A51779" w14:paraId="643C6C2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52A972AB" w14:textId="77777777" w:rsidR="00B919ED" w:rsidRPr="00A51779" w:rsidRDefault="00B919ED" w:rsidP="00703316">
            <w:pPr>
              <w:spacing w:line="480" w:lineRule="auto"/>
              <w:jc w:val="both"/>
            </w:pPr>
            <w:r w:rsidRPr="00A51779">
              <w:t>CA</w:t>
            </w:r>
          </w:p>
        </w:tc>
        <w:tc>
          <w:tcPr>
            <w:tcW w:w="564" w:type="pct"/>
            <w:hideMark/>
          </w:tcPr>
          <w:p w14:paraId="49A0E3C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3C4EF66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788" w:type="pct"/>
            <w:hideMark/>
          </w:tcPr>
          <w:p w14:paraId="3C4F8E3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4/109</w:t>
            </w:r>
          </w:p>
        </w:tc>
        <w:tc>
          <w:tcPr>
            <w:tcW w:w="699" w:type="pct"/>
            <w:hideMark/>
          </w:tcPr>
          <w:p w14:paraId="53104BD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0.799</w:t>
            </w:r>
          </w:p>
        </w:tc>
        <w:tc>
          <w:tcPr>
            <w:tcW w:w="863" w:type="pct"/>
            <w:hideMark/>
          </w:tcPr>
          <w:p w14:paraId="333A723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r>
      <w:tr w:rsidR="00B919ED" w:rsidRPr="00A51779" w14:paraId="0D446AD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7D0E6C55" w14:textId="77777777" w:rsidR="00B919ED" w:rsidRPr="00A51779" w:rsidRDefault="00B919ED" w:rsidP="00703316">
            <w:pPr>
              <w:spacing w:line="480" w:lineRule="auto"/>
              <w:jc w:val="both"/>
            </w:pPr>
            <w:r w:rsidRPr="00A51779">
              <w:t>TX</w:t>
            </w:r>
          </w:p>
        </w:tc>
        <w:tc>
          <w:tcPr>
            <w:tcW w:w="564" w:type="pct"/>
            <w:hideMark/>
          </w:tcPr>
          <w:p w14:paraId="2D5EFA5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2FB74A1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788" w:type="pct"/>
            <w:hideMark/>
          </w:tcPr>
          <w:p w14:paraId="25A2A78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36/132</w:t>
            </w:r>
          </w:p>
        </w:tc>
        <w:tc>
          <w:tcPr>
            <w:tcW w:w="699" w:type="pct"/>
            <w:hideMark/>
          </w:tcPr>
          <w:p w14:paraId="6C00D47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0.255</w:t>
            </w:r>
          </w:p>
        </w:tc>
        <w:tc>
          <w:tcPr>
            <w:tcW w:w="863" w:type="pct"/>
            <w:hideMark/>
          </w:tcPr>
          <w:p w14:paraId="76E3691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0.237</w:t>
            </w:r>
          </w:p>
        </w:tc>
      </w:tr>
      <w:tr w:rsidR="00B919ED" w:rsidRPr="00A51779" w14:paraId="4E82587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14C42E00" w14:textId="77777777" w:rsidR="00B919ED" w:rsidRPr="00A51779" w:rsidRDefault="00B919ED" w:rsidP="00703316">
            <w:pPr>
              <w:spacing w:line="480" w:lineRule="auto"/>
              <w:jc w:val="both"/>
            </w:pPr>
            <w:r w:rsidRPr="00A51779">
              <w:t>TX</w:t>
            </w:r>
          </w:p>
        </w:tc>
        <w:tc>
          <w:tcPr>
            <w:tcW w:w="564" w:type="pct"/>
            <w:hideMark/>
          </w:tcPr>
          <w:p w14:paraId="452572B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48ADCF1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788" w:type="pct"/>
            <w:hideMark/>
          </w:tcPr>
          <w:p w14:paraId="4EEE503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36/132</w:t>
            </w:r>
          </w:p>
        </w:tc>
        <w:tc>
          <w:tcPr>
            <w:tcW w:w="699" w:type="pct"/>
            <w:hideMark/>
          </w:tcPr>
          <w:p w14:paraId="278823E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0.436</w:t>
            </w:r>
          </w:p>
        </w:tc>
        <w:tc>
          <w:tcPr>
            <w:tcW w:w="863" w:type="pct"/>
            <w:hideMark/>
          </w:tcPr>
          <w:p w14:paraId="2CD6FBB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0.458</w:t>
            </w:r>
          </w:p>
        </w:tc>
      </w:tr>
      <w:tr w:rsidR="00B919ED" w:rsidRPr="00A51779" w14:paraId="66BFC4D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7987C828" w14:textId="77777777" w:rsidR="00B919ED" w:rsidRPr="00A51779" w:rsidRDefault="00B919ED" w:rsidP="00703316">
            <w:pPr>
              <w:spacing w:line="480" w:lineRule="auto"/>
              <w:jc w:val="both"/>
            </w:pPr>
            <w:r w:rsidRPr="00A51779">
              <w:t>TX</w:t>
            </w:r>
          </w:p>
        </w:tc>
        <w:tc>
          <w:tcPr>
            <w:tcW w:w="564" w:type="pct"/>
            <w:hideMark/>
          </w:tcPr>
          <w:p w14:paraId="69168FF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219D735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788" w:type="pct"/>
            <w:hideMark/>
          </w:tcPr>
          <w:p w14:paraId="305F639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36/132</w:t>
            </w:r>
          </w:p>
        </w:tc>
        <w:tc>
          <w:tcPr>
            <w:tcW w:w="699" w:type="pct"/>
            <w:hideMark/>
          </w:tcPr>
          <w:p w14:paraId="567C898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0.512</w:t>
            </w:r>
          </w:p>
        </w:tc>
        <w:tc>
          <w:tcPr>
            <w:tcW w:w="863" w:type="pct"/>
            <w:hideMark/>
          </w:tcPr>
          <w:p w14:paraId="02B4A23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0.501</w:t>
            </w:r>
          </w:p>
        </w:tc>
      </w:tr>
      <w:tr w:rsidR="00B919ED" w:rsidRPr="00A51779" w14:paraId="7433C40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65F0248F" w14:textId="77777777" w:rsidR="00B919ED" w:rsidRPr="00A51779" w:rsidRDefault="00B919ED" w:rsidP="00703316">
            <w:pPr>
              <w:spacing w:line="480" w:lineRule="auto"/>
              <w:jc w:val="both"/>
            </w:pPr>
            <w:r w:rsidRPr="00A51779">
              <w:t>PA</w:t>
            </w:r>
          </w:p>
        </w:tc>
        <w:tc>
          <w:tcPr>
            <w:tcW w:w="564" w:type="pct"/>
            <w:hideMark/>
          </w:tcPr>
          <w:p w14:paraId="48B75D5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3D85835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788" w:type="pct"/>
            <w:hideMark/>
          </w:tcPr>
          <w:p w14:paraId="460C702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11/73</w:t>
            </w:r>
          </w:p>
        </w:tc>
        <w:tc>
          <w:tcPr>
            <w:tcW w:w="699" w:type="pct"/>
            <w:hideMark/>
          </w:tcPr>
          <w:p w14:paraId="66386AC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0.555</w:t>
            </w:r>
          </w:p>
        </w:tc>
        <w:tc>
          <w:tcPr>
            <w:tcW w:w="863" w:type="pct"/>
            <w:hideMark/>
          </w:tcPr>
          <w:p w14:paraId="1D662F5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0.339</w:t>
            </w:r>
          </w:p>
        </w:tc>
      </w:tr>
      <w:tr w:rsidR="00B919ED" w:rsidRPr="00A51779" w14:paraId="1FCD06C7"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00F4E238" w14:textId="77777777" w:rsidR="00B919ED" w:rsidRPr="00A51779" w:rsidRDefault="00B919ED" w:rsidP="00703316">
            <w:pPr>
              <w:spacing w:line="480" w:lineRule="auto"/>
              <w:jc w:val="both"/>
            </w:pPr>
            <w:r w:rsidRPr="00A51779">
              <w:t>PA</w:t>
            </w:r>
          </w:p>
        </w:tc>
        <w:tc>
          <w:tcPr>
            <w:tcW w:w="564" w:type="pct"/>
            <w:hideMark/>
          </w:tcPr>
          <w:p w14:paraId="4D973A5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3DA6C83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788" w:type="pct"/>
            <w:hideMark/>
          </w:tcPr>
          <w:p w14:paraId="425BE7C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11/73</w:t>
            </w:r>
          </w:p>
        </w:tc>
        <w:tc>
          <w:tcPr>
            <w:tcW w:w="699" w:type="pct"/>
            <w:hideMark/>
          </w:tcPr>
          <w:p w14:paraId="5AD6C80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0.562</w:t>
            </w:r>
          </w:p>
        </w:tc>
        <w:tc>
          <w:tcPr>
            <w:tcW w:w="863" w:type="pct"/>
            <w:hideMark/>
          </w:tcPr>
          <w:p w14:paraId="7CC4AA7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0.486</w:t>
            </w:r>
          </w:p>
        </w:tc>
      </w:tr>
      <w:tr w:rsidR="00B919ED" w:rsidRPr="00A51779" w14:paraId="47093E5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1789CEE5" w14:textId="77777777" w:rsidR="00B919ED" w:rsidRPr="00A51779" w:rsidRDefault="00B919ED" w:rsidP="00703316">
            <w:pPr>
              <w:spacing w:line="480" w:lineRule="auto"/>
              <w:jc w:val="both"/>
            </w:pPr>
            <w:r w:rsidRPr="00A51779">
              <w:lastRenderedPageBreak/>
              <w:t>PA</w:t>
            </w:r>
          </w:p>
        </w:tc>
        <w:tc>
          <w:tcPr>
            <w:tcW w:w="564" w:type="pct"/>
            <w:hideMark/>
          </w:tcPr>
          <w:p w14:paraId="1CD2EF6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6337DFF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788" w:type="pct"/>
            <w:hideMark/>
          </w:tcPr>
          <w:p w14:paraId="71980FD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11/73</w:t>
            </w:r>
          </w:p>
        </w:tc>
        <w:tc>
          <w:tcPr>
            <w:tcW w:w="699" w:type="pct"/>
            <w:hideMark/>
          </w:tcPr>
          <w:p w14:paraId="71A4E11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0.647</w:t>
            </w:r>
          </w:p>
        </w:tc>
        <w:tc>
          <w:tcPr>
            <w:tcW w:w="863" w:type="pct"/>
            <w:hideMark/>
          </w:tcPr>
          <w:p w14:paraId="5D5CAA9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0.584</w:t>
            </w:r>
          </w:p>
        </w:tc>
      </w:tr>
      <w:tr w:rsidR="00B919ED" w:rsidRPr="00A51779" w14:paraId="55C5F251"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48A9877E" w14:textId="77777777" w:rsidR="00B919ED" w:rsidRPr="00A51779" w:rsidRDefault="00B919ED" w:rsidP="00703316">
            <w:pPr>
              <w:spacing w:line="480" w:lineRule="auto"/>
              <w:jc w:val="both"/>
            </w:pPr>
            <w:r w:rsidRPr="00A51779">
              <w:t>CA</w:t>
            </w:r>
          </w:p>
        </w:tc>
        <w:tc>
          <w:tcPr>
            <w:tcW w:w="564" w:type="pct"/>
            <w:hideMark/>
          </w:tcPr>
          <w:p w14:paraId="2ABFB83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180B5F8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788" w:type="pct"/>
            <w:hideMark/>
          </w:tcPr>
          <w:p w14:paraId="075CFC2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4/109</w:t>
            </w:r>
          </w:p>
        </w:tc>
        <w:tc>
          <w:tcPr>
            <w:tcW w:w="699" w:type="pct"/>
            <w:hideMark/>
          </w:tcPr>
          <w:p w14:paraId="15419DB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0.273</w:t>
            </w:r>
          </w:p>
        </w:tc>
        <w:tc>
          <w:tcPr>
            <w:tcW w:w="863" w:type="pct"/>
            <w:hideMark/>
          </w:tcPr>
          <w:p w14:paraId="114D190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0.065</w:t>
            </w:r>
          </w:p>
        </w:tc>
      </w:tr>
      <w:tr w:rsidR="00B919ED" w:rsidRPr="00A51779" w14:paraId="645B2E9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25EDDFEC" w14:textId="77777777" w:rsidR="00B919ED" w:rsidRPr="00A51779" w:rsidRDefault="00B919ED" w:rsidP="00703316">
            <w:pPr>
              <w:spacing w:line="480" w:lineRule="auto"/>
              <w:jc w:val="both"/>
            </w:pPr>
            <w:r w:rsidRPr="00A51779">
              <w:t>CA</w:t>
            </w:r>
          </w:p>
        </w:tc>
        <w:tc>
          <w:tcPr>
            <w:tcW w:w="564" w:type="pct"/>
            <w:hideMark/>
          </w:tcPr>
          <w:p w14:paraId="31B43A0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6A23CBF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788" w:type="pct"/>
            <w:hideMark/>
          </w:tcPr>
          <w:p w14:paraId="7A552C0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4/109</w:t>
            </w:r>
          </w:p>
        </w:tc>
        <w:tc>
          <w:tcPr>
            <w:tcW w:w="699" w:type="pct"/>
            <w:hideMark/>
          </w:tcPr>
          <w:p w14:paraId="3088070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0.433</w:t>
            </w:r>
          </w:p>
        </w:tc>
        <w:tc>
          <w:tcPr>
            <w:tcW w:w="863" w:type="pct"/>
            <w:hideMark/>
          </w:tcPr>
          <w:p w14:paraId="6D83623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0.325</w:t>
            </w:r>
          </w:p>
        </w:tc>
      </w:tr>
      <w:tr w:rsidR="00B919ED" w:rsidRPr="00A51779" w14:paraId="0420AD27"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1918596A" w14:textId="77777777" w:rsidR="00B919ED" w:rsidRPr="00A51779" w:rsidRDefault="00B919ED" w:rsidP="00703316">
            <w:pPr>
              <w:spacing w:line="480" w:lineRule="auto"/>
              <w:jc w:val="both"/>
            </w:pPr>
            <w:r w:rsidRPr="00A51779">
              <w:t>CA</w:t>
            </w:r>
          </w:p>
        </w:tc>
        <w:tc>
          <w:tcPr>
            <w:tcW w:w="564" w:type="pct"/>
            <w:hideMark/>
          </w:tcPr>
          <w:p w14:paraId="562AEE3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480131A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788" w:type="pct"/>
            <w:hideMark/>
          </w:tcPr>
          <w:p w14:paraId="70DAE20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4/109</w:t>
            </w:r>
          </w:p>
        </w:tc>
        <w:tc>
          <w:tcPr>
            <w:tcW w:w="699" w:type="pct"/>
            <w:hideMark/>
          </w:tcPr>
          <w:p w14:paraId="181E2B3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0.445</w:t>
            </w:r>
          </w:p>
        </w:tc>
        <w:tc>
          <w:tcPr>
            <w:tcW w:w="863" w:type="pct"/>
            <w:hideMark/>
          </w:tcPr>
          <w:p w14:paraId="586DB75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0.386</w:t>
            </w:r>
          </w:p>
        </w:tc>
      </w:tr>
    </w:tbl>
    <w:p w14:paraId="26E0776C" w14:textId="77777777" w:rsidR="00336CF0" w:rsidRPr="00A51779" w:rsidRDefault="00336CF0" w:rsidP="00703316">
      <w:pPr>
        <w:spacing w:line="480" w:lineRule="auto"/>
        <w:jc w:val="both"/>
      </w:pPr>
    </w:p>
    <w:p w14:paraId="749F6B62" w14:textId="21F1BD6D" w:rsidR="00B919ED" w:rsidRPr="00A51779" w:rsidRDefault="00B919ED" w:rsidP="00703316">
      <w:pPr>
        <w:spacing w:line="480" w:lineRule="auto"/>
        <w:jc w:val="both"/>
      </w:pPr>
      <w:r w:rsidRPr="00A51779">
        <w:t>The model ordering in the full panel was HGB &gt; ridge &gt; persistence in four of the six state</w:t>
      </w:r>
      <w:r w:rsidR="00A25972" w:rsidRPr="00A25972">
        <w:rPr>
          <w:lang w:val="en-US"/>
        </w:rPr>
        <w:t>-</w:t>
      </w:r>
      <w:r w:rsidRPr="00A51779">
        <w:t>horizon combinations</w:t>
      </w:r>
      <w:r w:rsidR="00274578" w:rsidRPr="00A51779">
        <w:t>-</w:t>
      </w:r>
      <w:r w:rsidRPr="00A51779">
        <w:t>TX at both horizons and PA and CA at seven days</w:t>
      </w:r>
      <w:r w:rsidR="00274578" w:rsidRPr="00A51779">
        <w:t>-</w:t>
      </w:r>
      <w:r w:rsidRPr="00A51779">
        <w:t>and ridge &gt; HGB &gt; persistence for PA and CA at one day. Restricting the panel to consistently reporting facilities preserved this ordering in five of the six cases. The only exception was PA at one day, where HGB fell below persistence under the restricted sample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=0.892</m:t>
        </m:r>
      </m:oMath>
      <w:r w:rsidRPr="00A51779">
        <w:t xml:space="preserve"> versus 0.912), whereas it had been narrowly above persistence in the full panel (0.925 versus 0.912). Reporting composition can therefore alter a model ranking, although the broad ordering is preserved in most comparisons.</w:t>
      </w:r>
    </w:p>
    <w:p w14:paraId="22E793FA" w14:textId="77777777" w:rsidR="00B919ED" w:rsidRPr="00A51779" w:rsidRDefault="00B919ED" w:rsidP="00703316">
      <w:pPr>
        <w:spacing w:line="480" w:lineRule="auto"/>
        <w:jc w:val="both"/>
      </w:pPr>
      <w:r w:rsidRPr="00A51779">
        <w:t>The restricted-panel analysis further shows that PA and CA state-level aggregates depend much more strongly than TX on facilities that do not report every day. The available data cannot distinguish whether this reflects measurement or submission gaps, genuinely intermittent operation of generating units, or some combination of both. Facility-level metadata on unit type and capacity factor would be required to distinguish these possibilities. From a forecasting perspective, however, reporting coverage should be treated as an input-quality characteristic of the state-level series rather than evaluated only through downstream forecast error.</w:t>
      </w:r>
    </w:p>
    <w:p w14:paraId="29249D96" w14:textId="4CB8CA6F" w:rsidR="00B919ED" w:rsidRPr="00A51779" w:rsidRDefault="00B919ED" w:rsidP="00703316">
      <w:pPr>
        <w:spacing w:line="480" w:lineRule="auto"/>
        <w:jc w:val="both"/>
      </w:pPr>
      <w:r w:rsidRPr="00A51779">
        <w:t>Overall, the three-state analysis demonstrates why individual state</w:t>
      </w:r>
      <w:r w:rsidR="00295BA3" w:rsidRPr="00295BA3">
        <w:rPr>
          <w:lang w:val="en-US"/>
        </w:rPr>
        <w:t>-</w:t>
      </w:r>
      <w:r w:rsidRPr="00A51779">
        <w:t xml:space="preserve">horizon superiority claims should be interpreted cautiously. Feature representation, hyperparameter-selection chronology, temporal evaluation design, dependence assumptions, reporting composition, and search budget can all influence the estimated difference between models. These diagnostics do not imply that </w:t>
      </w:r>
      <w:r w:rsidRPr="00A51779">
        <w:lastRenderedPageBreak/>
        <w:t>every state is equally sensitive to each choice; rather, they identify methodological vulnerabilities that must be controlled before the larger nationwide pattern is interpreted.</w:t>
      </w:r>
    </w:p>
    <w:p w14:paraId="13F3E86B" w14:textId="77777777" w:rsidR="00336CF0" w:rsidRPr="00A51779" w:rsidRDefault="00336CF0" w:rsidP="00703316">
      <w:pPr>
        <w:spacing w:line="480" w:lineRule="auto"/>
        <w:jc w:val="both"/>
      </w:pPr>
    </w:p>
    <w:p w14:paraId="7CBE4D12" w14:textId="77777777" w:rsidR="00B919ED" w:rsidRPr="00A51779" w:rsidRDefault="00B919ED" w:rsidP="00703316">
      <w:pPr>
        <w:spacing w:line="480" w:lineRule="auto"/>
        <w:jc w:val="both"/>
        <w:outlineLvl w:val="1"/>
        <w:rPr>
          <w:b/>
          <w:bCs/>
        </w:rPr>
      </w:pPr>
      <w:r w:rsidRPr="00A51779">
        <w:rPr>
          <w:b/>
          <w:bCs/>
        </w:rPr>
        <w:t>3.4 Nationwide two-horizon benchmark and regional robustness</w:t>
      </w:r>
    </w:p>
    <w:p w14:paraId="2B9F939E" w14:textId="6451219C" w:rsidR="00B919ED" w:rsidRPr="00A51779" w:rsidRDefault="00B919ED" w:rsidP="00703316">
      <w:pPr>
        <w:spacing w:line="480" w:lineRule="auto"/>
        <w:jc w:val="both"/>
      </w:pPr>
      <w:r w:rsidRPr="00A51779">
        <w:t xml:space="preserve">Extending the same evaluation framework to 47 eligible states reveals a substantially more structured pattern than is apparent from the three-state analysis alone. At the one-day horizon, ridge produced the better rolling-origin point estimate in 41 of 47 states, whereas at the seven-day horizon HGB produced the better estimate in 45 of 47 states. Both directional imbalances are far from the 50/50 split expected by chance under the binomial reference: </w:t>
      </w:r>
      <m:oMath>
        <m:r>
          <w:rPr>
            <w:rFonts w:ascii="Cambria Math" w:hAnsi="Cambria Math"/>
          </w:rPr>
          <m:t>p=1.8×</m:t>
        </m:r>
        <m:sSup>
          <m:sSupPr>
            <m:ctrlPr>
              <w:rPr>
                <w:rFonts w:ascii="Cambria Math" w:hAnsi="Cambria Math"/>
              </w:rPr>
            </m:ctrlPr>
          </m:sSupPr>
          <m:e>
            <m:r>
              <w:rPr>
                <w:rFonts w:ascii="Cambria Math" w:hAnsi="Cambria Math"/>
              </w:rPr>
              <m:t>10</m:t>
            </m:r>
          </m:e>
          <m:sup>
            <m:r>
              <w:rPr>
                <w:rFonts w:ascii="Cambria Math" w:hAnsi="Cambria Math"/>
              </w:rPr>
              <m:t>-7</m:t>
            </m:r>
          </m:sup>
        </m:sSup>
      </m:oMath>
      <w:r w:rsidRPr="00A51779">
        <w:t xml:space="preserve">at one day and </w:t>
      </w:r>
      <m:oMath>
        <m:r>
          <w:rPr>
            <w:rFonts w:ascii="Cambria Math" w:hAnsi="Cambria Math"/>
          </w:rPr>
          <m:t>p=1.6×</m:t>
        </m:r>
        <m:sSup>
          <m:sSupPr>
            <m:ctrlPr>
              <w:rPr>
                <w:rFonts w:ascii="Cambria Math" w:hAnsi="Cambria Math"/>
              </w:rPr>
            </m:ctrlPr>
          </m:sSupPr>
          <m:e>
            <m:r>
              <w:rPr>
                <w:rFonts w:ascii="Cambria Math" w:hAnsi="Cambria Math"/>
              </w:rPr>
              <m:t>10</m:t>
            </m:r>
          </m:e>
          <m:sup>
            <m:r>
              <w:rPr>
                <w:rFonts w:ascii="Cambria Math" w:hAnsi="Cambria Math"/>
              </w:rPr>
              <m:t>-11</m:t>
            </m:r>
          </m:sup>
        </m:sSup>
      </m:oMath>
      <w:r w:rsidRPr="00A51779">
        <w:t>at seven days.</w:t>
      </w:r>
    </w:p>
    <w:p w14:paraId="23EED36A" w14:textId="355E4373" w:rsidR="00B919ED" w:rsidRPr="00A51779" w:rsidRDefault="00B919ED" w:rsidP="00703316">
      <w:pPr>
        <w:spacing w:line="480" w:lineRule="auto"/>
        <w:jc w:val="both"/>
      </w:pPr>
      <w:r w:rsidRPr="00A51779">
        <w:t>Before correction for multiplicity, 36 of the 94 state</w:t>
      </w:r>
      <w:r w:rsidR="00295BA3" w:rsidRPr="00295BA3">
        <w:rPr>
          <w:lang w:val="en-US"/>
        </w:rPr>
        <w:t>-</w:t>
      </w:r>
      <w:r w:rsidRPr="00A51779">
        <w:t xml:space="preserve">horizon comparisons were significant at </w:t>
      </w:r>
      <m:oMath>
        <m:r>
          <w:rPr>
            <w:rFonts w:ascii="Cambria Math" w:hAnsi="Cambria Math"/>
          </w:rPr>
          <m:t>p&lt;0.05</m:t>
        </m:r>
      </m:oMath>
      <w:r w:rsidRPr="00A51779">
        <w:t>. Nineteen occurred at one day, of which 18 favored ridge and only one, WI, favored HGB. Seventeen occurred at seven days, and all favored HGB. After Holm correction across the complete 94-comparison family, four remained significant: FL and GA at one day, both favoring ridge, and IL and WV at seven days, both favoring HGB. The Benjamini</w:t>
      </w:r>
      <w:r w:rsidR="00274578" w:rsidRPr="00A51779">
        <w:t>-</w:t>
      </w:r>
      <w:r w:rsidRPr="00A51779">
        <w:t>Hochberg procedure retained 14 comparisons, and all followed the same horizon-dependent direction. Of the 36 nominally significant comparisons, WI at one day was therefore the only result inconsistent with the dominant horizon pattern.</w:t>
      </w:r>
    </w:p>
    <w:p w14:paraId="192EB17B" w14:textId="77777777" w:rsidR="00450A61" w:rsidRPr="00A51779" w:rsidRDefault="00450A61" w:rsidP="00703316">
      <w:pPr>
        <w:spacing w:before="160" w:line="480" w:lineRule="auto"/>
        <w:jc w:val="both"/>
      </w:pPr>
      <w:r w:rsidRPr="00A51779">
        <w:rPr>
          <w:noProof/>
        </w:rPr>
        <w:lastRenderedPageBreak/>
        <w:drawing>
          <wp:inline distT="0" distB="0" distL="0" distR="0" wp14:anchorId="5F753927" wp14:editId="2F1E661C">
            <wp:extent cx="5334000" cy="3695700"/>
            <wp:effectExtent l="0" t="0" r="0" b="0"/>
            <wp:docPr id="721467348" name="Picture 72146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695700"/>
                    </a:xfrm>
                    <a:prstGeom prst="rect">
                      <a:avLst/>
                    </a:prstGeom>
                  </pic:spPr>
                </pic:pic>
              </a:graphicData>
            </a:graphic>
          </wp:inline>
        </w:drawing>
      </w:r>
    </w:p>
    <w:p w14:paraId="2F5B78AD" w14:textId="7E29531A" w:rsidR="00450A61" w:rsidRPr="00A51779" w:rsidRDefault="00450A61" w:rsidP="00703316">
      <w:pPr>
        <w:spacing w:line="480" w:lineRule="auto"/>
        <w:jc w:val="both"/>
      </w:pPr>
      <w:r w:rsidRPr="00A51779">
        <w:t>Fig</w:t>
      </w:r>
      <w:r w:rsidR="000A0A17" w:rsidRPr="00A51779">
        <w:t xml:space="preserve">. </w:t>
      </w:r>
      <w:r w:rsidR="0079599D">
        <w:t>8</w:t>
      </w:r>
      <w:r w:rsidRPr="00A51779">
        <w:t>. Ridge-vs-HGB point-estimate direction (R</w:t>
      </w:r>
      <w:r w:rsidR="00274578" w:rsidRPr="00A51779">
        <w:rPr>
          <w:vertAlign w:val="superscript"/>
        </w:rPr>
        <w:t>2</w:t>
      </w:r>
      <w:r w:rsidRPr="00A51779">
        <w:t xml:space="preserve"> difference) for all 47 eligible states, by horizon. Dark bars are Holm-significant across the full 94-test family.</w:t>
      </w:r>
    </w:p>
    <w:p w14:paraId="4F866233" w14:textId="4C0E59FB" w:rsidR="00B919ED" w:rsidRPr="004219A9" w:rsidRDefault="00B919ED" w:rsidP="00703316">
      <w:pPr>
        <w:spacing w:line="480" w:lineRule="auto"/>
        <w:jc w:val="both"/>
      </w:pPr>
      <w:r w:rsidRPr="004219A9">
        <w:t>Table 1</w:t>
      </w:r>
      <w:r w:rsidR="004219A9" w:rsidRPr="004219A9">
        <w:t>4</w:t>
      </w:r>
      <w:r w:rsidRPr="004219A9">
        <w:t>. Nationwide benchmark summary: counts of states favoring ridge vs. HGB, by horizon and evidentiary standard (47 states, 94 comparisons).</w:t>
      </w:r>
    </w:p>
    <w:tbl>
      <w:tblPr>
        <w:tblStyle w:val="PlainTable2"/>
        <w:tblW w:w="5000" w:type="pct"/>
        <w:tblLook w:val="04A0" w:firstRow="1" w:lastRow="0" w:firstColumn="1" w:lastColumn="0" w:noHBand="0" w:noVBand="1"/>
      </w:tblPr>
      <w:tblGrid>
        <w:gridCol w:w="1164"/>
        <w:gridCol w:w="4328"/>
        <w:gridCol w:w="1979"/>
        <w:gridCol w:w="1889"/>
      </w:tblGrid>
      <w:tr w:rsidR="00B919ED" w:rsidRPr="00A51779" w14:paraId="449DB52A"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71722B65" w14:textId="77777777" w:rsidR="00B919ED" w:rsidRPr="00A51779" w:rsidRDefault="00B919ED" w:rsidP="00703316">
            <w:pPr>
              <w:spacing w:line="480" w:lineRule="auto"/>
              <w:jc w:val="both"/>
            </w:pPr>
            <w:r w:rsidRPr="00A51779">
              <w:t>Horizon</w:t>
            </w:r>
          </w:p>
        </w:tc>
        <w:tc>
          <w:tcPr>
            <w:tcW w:w="2263" w:type="pct"/>
            <w:hideMark/>
          </w:tcPr>
          <w:p w14:paraId="43F7BEF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Standard</w:t>
            </w:r>
          </w:p>
        </w:tc>
        <w:tc>
          <w:tcPr>
            <w:tcW w:w="1035" w:type="pct"/>
            <w:hideMark/>
          </w:tcPr>
          <w:p w14:paraId="126624E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Ridge favored</w:t>
            </w:r>
          </w:p>
        </w:tc>
        <w:tc>
          <w:tcPr>
            <w:tcW w:w="988" w:type="pct"/>
            <w:hideMark/>
          </w:tcPr>
          <w:p w14:paraId="73A2B8F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HGB favored</w:t>
            </w:r>
          </w:p>
        </w:tc>
      </w:tr>
      <w:tr w:rsidR="00B919ED" w:rsidRPr="00A51779" w14:paraId="2C8BC2B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713BEE56" w14:textId="77777777" w:rsidR="00B919ED" w:rsidRPr="00A51779" w:rsidRDefault="00B919ED" w:rsidP="00703316">
            <w:pPr>
              <w:spacing w:line="480" w:lineRule="auto"/>
              <w:jc w:val="both"/>
            </w:pPr>
            <w:r w:rsidRPr="00A51779">
              <w:t>1-day</w:t>
            </w:r>
          </w:p>
        </w:tc>
        <w:tc>
          <w:tcPr>
            <w:tcW w:w="2263" w:type="pct"/>
            <w:hideMark/>
          </w:tcPr>
          <w:p w14:paraId="2333508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Point estimate (any margin)</w:t>
            </w:r>
          </w:p>
        </w:tc>
        <w:tc>
          <w:tcPr>
            <w:tcW w:w="1035" w:type="pct"/>
            <w:hideMark/>
          </w:tcPr>
          <w:p w14:paraId="02A52B7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 / 47</w:t>
            </w:r>
          </w:p>
        </w:tc>
        <w:tc>
          <w:tcPr>
            <w:tcW w:w="988" w:type="pct"/>
            <w:hideMark/>
          </w:tcPr>
          <w:p w14:paraId="1581B86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 / 47</w:t>
            </w:r>
          </w:p>
        </w:tc>
      </w:tr>
      <w:tr w:rsidR="00B919ED" w:rsidRPr="00A51779" w14:paraId="6B23A975"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08B92CDD" w14:textId="77777777" w:rsidR="00B919ED" w:rsidRPr="00A51779" w:rsidRDefault="00B919ED" w:rsidP="00703316">
            <w:pPr>
              <w:spacing w:line="480" w:lineRule="auto"/>
              <w:jc w:val="both"/>
            </w:pPr>
            <w:r w:rsidRPr="00A51779">
              <w:t>1-day</w:t>
            </w:r>
          </w:p>
        </w:tc>
        <w:tc>
          <w:tcPr>
            <w:tcW w:w="2263" w:type="pct"/>
            <w:hideMark/>
          </w:tcPr>
          <w:p w14:paraId="42FAD9F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Nominal p&lt;0.05 (uncorrected)</w:t>
            </w:r>
          </w:p>
        </w:tc>
        <w:tc>
          <w:tcPr>
            <w:tcW w:w="1035" w:type="pct"/>
            <w:hideMark/>
          </w:tcPr>
          <w:p w14:paraId="2C890E6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18 / 47</w:t>
            </w:r>
          </w:p>
        </w:tc>
        <w:tc>
          <w:tcPr>
            <w:tcW w:w="988" w:type="pct"/>
            <w:hideMark/>
          </w:tcPr>
          <w:p w14:paraId="20FB7E2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 / 47</w:t>
            </w:r>
          </w:p>
        </w:tc>
      </w:tr>
      <w:tr w:rsidR="00B919ED" w:rsidRPr="00A51779" w14:paraId="5454051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5228E10B" w14:textId="77777777" w:rsidR="00B919ED" w:rsidRPr="00A51779" w:rsidRDefault="00B919ED" w:rsidP="00703316">
            <w:pPr>
              <w:spacing w:line="480" w:lineRule="auto"/>
              <w:jc w:val="both"/>
            </w:pPr>
            <w:r w:rsidRPr="00A51779">
              <w:t>1-day</w:t>
            </w:r>
          </w:p>
        </w:tc>
        <w:tc>
          <w:tcPr>
            <w:tcW w:w="2263" w:type="pct"/>
            <w:hideMark/>
          </w:tcPr>
          <w:p w14:paraId="054E404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Holm-significant (94-test family)</w:t>
            </w:r>
          </w:p>
        </w:tc>
        <w:tc>
          <w:tcPr>
            <w:tcW w:w="1035" w:type="pct"/>
            <w:hideMark/>
          </w:tcPr>
          <w:p w14:paraId="2604E97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 / 47</w:t>
            </w:r>
          </w:p>
        </w:tc>
        <w:tc>
          <w:tcPr>
            <w:tcW w:w="988" w:type="pct"/>
            <w:hideMark/>
          </w:tcPr>
          <w:p w14:paraId="257D55D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 / 47</w:t>
            </w:r>
          </w:p>
        </w:tc>
      </w:tr>
      <w:tr w:rsidR="00B919ED" w:rsidRPr="00A51779" w14:paraId="38ADC196"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3654C662" w14:textId="77777777" w:rsidR="00B919ED" w:rsidRPr="00A51779" w:rsidRDefault="00B919ED" w:rsidP="00703316">
            <w:pPr>
              <w:spacing w:line="480" w:lineRule="auto"/>
              <w:jc w:val="both"/>
            </w:pPr>
            <w:r w:rsidRPr="00A51779">
              <w:t>1-day</w:t>
            </w:r>
          </w:p>
        </w:tc>
        <w:tc>
          <w:tcPr>
            <w:tcW w:w="2263" w:type="pct"/>
            <w:hideMark/>
          </w:tcPr>
          <w:p w14:paraId="6D4B74D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BH-significant (94-test family)</w:t>
            </w:r>
          </w:p>
        </w:tc>
        <w:tc>
          <w:tcPr>
            <w:tcW w:w="1035" w:type="pct"/>
            <w:hideMark/>
          </w:tcPr>
          <w:p w14:paraId="02CD604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8 / 47</w:t>
            </w:r>
          </w:p>
        </w:tc>
        <w:tc>
          <w:tcPr>
            <w:tcW w:w="988" w:type="pct"/>
            <w:hideMark/>
          </w:tcPr>
          <w:p w14:paraId="1BF2478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 / 47</w:t>
            </w:r>
          </w:p>
        </w:tc>
      </w:tr>
      <w:tr w:rsidR="00B919ED" w:rsidRPr="00A51779" w14:paraId="141E1FC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7CE857ED" w14:textId="77777777" w:rsidR="00B919ED" w:rsidRPr="00A51779" w:rsidRDefault="00B919ED" w:rsidP="00703316">
            <w:pPr>
              <w:spacing w:line="480" w:lineRule="auto"/>
              <w:jc w:val="both"/>
            </w:pPr>
            <w:r w:rsidRPr="00A51779">
              <w:t>7-day</w:t>
            </w:r>
          </w:p>
        </w:tc>
        <w:tc>
          <w:tcPr>
            <w:tcW w:w="2263" w:type="pct"/>
            <w:hideMark/>
          </w:tcPr>
          <w:p w14:paraId="788227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Point estimate (any margin)</w:t>
            </w:r>
          </w:p>
        </w:tc>
        <w:tc>
          <w:tcPr>
            <w:tcW w:w="1035" w:type="pct"/>
            <w:hideMark/>
          </w:tcPr>
          <w:p w14:paraId="342E10C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 / 47</w:t>
            </w:r>
          </w:p>
        </w:tc>
        <w:tc>
          <w:tcPr>
            <w:tcW w:w="988" w:type="pct"/>
            <w:hideMark/>
          </w:tcPr>
          <w:p w14:paraId="6645857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45 / 47</w:t>
            </w:r>
          </w:p>
        </w:tc>
      </w:tr>
      <w:tr w:rsidR="00B919ED" w:rsidRPr="00A51779" w14:paraId="4463CB18"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62B56D81" w14:textId="77777777" w:rsidR="00B919ED" w:rsidRPr="00A51779" w:rsidRDefault="00B919ED" w:rsidP="00703316">
            <w:pPr>
              <w:spacing w:line="480" w:lineRule="auto"/>
              <w:jc w:val="both"/>
            </w:pPr>
            <w:r w:rsidRPr="00A51779">
              <w:t>7-day</w:t>
            </w:r>
          </w:p>
        </w:tc>
        <w:tc>
          <w:tcPr>
            <w:tcW w:w="2263" w:type="pct"/>
            <w:hideMark/>
          </w:tcPr>
          <w:p w14:paraId="6536DCC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Nominal p&lt;0.05 (uncorrected)</w:t>
            </w:r>
          </w:p>
        </w:tc>
        <w:tc>
          <w:tcPr>
            <w:tcW w:w="1035" w:type="pct"/>
            <w:hideMark/>
          </w:tcPr>
          <w:p w14:paraId="04BFD1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 / 47</w:t>
            </w:r>
          </w:p>
        </w:tc>
        <w:tc>
          <w:tcPr>
            <w:tcW w:w="988" w:type="pct"/>
            <w:hideMark/>
          </w:tcPr>
          <w:p w14:paraId="4DDD787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17 / 47</w:t>
            </w:r>
          </w:p>
        </w:tc>
      </w:tr>
      <w:tr w:rsidR="00B919ED" w:rsidRPr="00A51779" w14:paraId="458A79D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43732B57" w14:textId="77777777" w:rsidR="00B919ED" w:rsidRPr="00A51779" w:rsidRDefault="00B919ED" w:rsidP="00703316">
            <w:pPr>
              <w:spacing w:line="480" w:lineRule="auto"/>
              <w:jc w:val="both"/>
            </w:pPr>
            <w:r w:rsidRPr="00A51779">
              <w:t>7-day</w:t>
            </w:r>
          </w:p>
        </w:tc>
        <w:tc>
          <w:tcPr>
            <w:tcW w:w="2263" w:type="pct"/>
            <w:hideMark/>
          </w:tcPr>
          <w:p w14:paraId="345277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Holm-significant (94-test family)</w:t>
            </w:r>
          </w:p>
        </w:tc>
        <w:tc>
          <w:tcPr>
            <w:tcW w:w="1035" w:type="pct"/>
            <w:hideMark/>
          </w:tcPr>
          <w:p w14:paraId="5AB9B43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 / 47</w:t>
            </w:r>
          </w:p>
        </w:tc>
        <w:tc>
          <w:tcPr>
            <w:tcW w:w="988" w:type="pct"/>
            <w:hideMark/>
          </w:tcPr>
          <w:p w14:paraId="2143EA9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 / 47</w:t>
            </w:r>
          </w:p>
        </w:tc>
      </w:tr>
      <w:tr w:rsidR="00B919ED" w:rsidRPr="00A51779" w14:paraId="05EC240B"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6C702928" w14:textId="77777777" w:rsidR="00B919ED" w:rsidRPr="00A51779" w:rsidRDefault="00B919ED" w:rsidP="00703316">
            <w:pPr>
              <w:spacing w:line="480" w:lineRule="auto"/>
              <w:jc w:val="both"/>
            </w:pPr>
            <w:r w:rsidRPr="00A51779">
              <w:lastRenderedPageBreak/>
              <w:t>7-day</w:t>
            </w:r>
          </w:p>
        </w:tc>
        <w:tc>
          <w:tcPr>
            <w:tcW w:w="2263" w:type="pct"/>
            <w:hideMark/>
          </w:tcPr>
          <w:p w14:paraId="25E7C26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BH-significant (94-test family)</w:t>
            </w:r>
          </w:p>
        </w:tc>
        <w:tc>
          <w:tcPr>
            <w:tcW w:w="1035" w:type="pct"/>
            <w:hideMark/>
          </w:tcPr>
          <w:p w14:paraId="47194E8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 / 47</w:t>
            </w:r>
          </w:p>
        </w:tc>
        <w:tc>
          <w:tcPr>
            <w:tcW w:w="988" w:type="pct"/>
            <w:hideMark/>
          </w:tcPr>
          <w:p w14:paraId="30E6162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6 / 47</w:t>
            </w:r>
          </w:p>
        </w:tc>
      </w:tr>
    </w:tbl>
    <w:p w14:paraId="4869BCD6" w14:textId="77777777" w:rsidR="00336CF0" w:rsidRPr="00A51779" w:rsidRDefault="00336CF0" w:rsidP="00703316">
      <w:pPr>
        <w:spacing w:line="480" w:lineRule="auto"/>
        <w:jc w:val="both"/>
      </w:pPr>
    </w:p>
    <w:p w14:paraId="4F2F7FFB" w14:textId="0C52328B" w:rsidR="00B919ED" w:rsidRPr="00A51779" w:rsidRDefault="00B919ED" w:rsidP="00703316">
      <w:pPr>
        <w:spacing w:line="480" w:lineRule="auto"/>
        <w:jc w:val="both"/>
      </w:pPr>
      <w:r w:rsidRPr="00A51779">
        <w:t>The same reversal is evident relative to the persistence baseline. Ridge significantly outperformed persistence in 40 of 47 states at one day but only 31 at seven days. HGB significantly outperformed persistence in 23 states at one day but 42 at seven days. Ridge is therefore the more dependable improvement over persistence at short horizons, whereas HGB assumes that role at the longer horizon.</w:t>
      </w:r>
    </w:p>
    <w:p w14:paraId="6C4D8CAF" w14:textId="27AA1A67" w:rsidR="00B919ED" w:rsidRPr="00A51779" w:rsidRDefault="00B919ED" w:rsidP="00703316">
      <w:pPr>
        <w:spacing w:line="480" w:lineRule="auto"/>
        <w:jc w:val="both"/>
      </w:pPr>
      <w:r w:rsidRPr="00A51779">
        <w:t xml:space="preserve">The broader 94-test family also places the three-state findings in context. CA at one day, which was the sole family-wise-significant comparison when correction was performed across the original six TX/PA/CA tests, has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=0.165</m:t>
        </m:r>
      </m:oMath>
      <w:r w:rsidR="00274578" w:rsidRPr="00A51779">
        <w:t xml:space="preserve"> </w:t>
      </w:r>
      <w:r w:rsidRPr="00A51779">
        <w:t>when correction is instead applied across the complete nationwide family. It is therefore not significant under this broader reference class, although its direction remains consistent with 40 of the other 46 states at the one-day horizon. This reinforces the distinction between an isolated state-specific significance result and a systematic cross-state pattern.</w:t>
      </w:r>
    </w:p>
    <w:p w14:paraId="761B00DE" w14:textId="23165B37" w:rsidR="00B919ED" w:rsidRPr="00A51779" w:rsidRDefault="00B919ED" w:rsidP="00703316">
      <w:pPr>
        <w:spacing w:line="480" w:lineRule="auto"/>
        <w:jc w:val="both"/>
      </w:pPr>
      <w:r w:rsidRPr="00A51779">
        <w:t xml:space="preserve">A paired within-state analysis directly tests whether relative model performance shifts with horizon. For state </w:t>
      </w:r>
      <w:r w:rsidR="00274578" w:rsidRPr="00A51779">
        <w:rPr>
          <w:i/>
          <w:iCs/>
        </w:rPr>
        <w:t>s</w:t>
      </w:r>
      <w:r w:rsidR="00274578" w:rsidRPr="00A51779">
        <w:t>:</w:t>
      </w:r>
    </w:p>
    <w:p w14:paraId="04FD490D" w14:textId="4CF0CBF8" w:rsidR="00B919ED" w:rsidRPr="00A51779" w:rsidRDefault="00000000" w:rsidP="00703316">
      <w:pPr>
        <w:spacing w:line="480" w:lineRule="auto"/>
        <w:jc w:val="both"/>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HGB</m:t>
              </m:r>
            </m:sub>
            <m:sup>
              <m:r>
                <w:rPr>
                  <w:rFonts w:ascii="Cambria Math" w:hAnsi="Cambria Math"/>
                </w:rPr>
                <m:t>2</m:t>
              </m:r>
            </m:sup>
          </m:sSubSup>
          <m:d>
            <m:dPr>
              <m:sepChr m:val=","/>
              <m:ctrlPr>
                <w:rPr>
                  <w:rFonts w:ascii="Cambria Math" w:hAnsi="Cambria Math"/>
                </w:rPr>
              </m:ctrlPr>
            </m:dPr>
            <m:e>
              <m:r>
                <w:rPr>
                  <w:rFonts w:ascii="Cambria Math" w:hAnsi="Cambria Math"/>
                </w:rPr>
                <m:t>s</m:t>
              </m:r>
            </m:e>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ridge</m:t>
              </m:r>
            </m:sub>
            <m:sup>
              <m:r>
                <w:rPr>
                  <w:rFonts w:ascii="Cambria Math" w:hAnsi="Cambria Math"/>
                </w:rPr>
                <m:t>2</m:t>
              </m:r>
            </m:sup>
          </m:sSubSup>
          <m:d>
            <m:dPr>
              <m:sepChr m:val=","/>
              <m:ctrlPr>
                <w:rPr>
                  <w:rFonts w:ascii="Cambria Math" w:hAnsi="Cambria Math"/>
                </w:rPr>
              </m:ctrlPr>
            </m:dPr>
            <m:e>
              <m:r>
                <w:rPr>
                  <w:rFonts w:ascii="Cambria Math" w:hAnsi="Cambria Math"/>
                </w:rPr>
                <m:t>s</m:t>
              </m:r>
            </m:e>
            <m:e>
              <m:r>
                <w:rPr>
                  <w:rFonts w:ascii="Cambria Math" w:hAnsi="Cambria Math"/>
                </w:rPr>
                <m:t>h</m:t>
              </m:r>
            </m:e>
          </m:d>
        </m:oMath>
      </m:oMathPara>
    </w:p>
    <w:p w14:paraId="03E829B4" w14:textId="2BB5FF09" w:rsidR="00B919ED" w:rsidRPr="00A51779" w:rsidRDefault="00B919ED" w:rsidP="00703316">
      <w:pPr>
        <w:spacing w:line="480" w:lineRule="auto"/>
        <w:jc w:val="both"/>
      </w:pPr>
      <w:r w:rsidRPr="00A51779">
        <w:t>and the within-state shift is</w:t>
      </w:r>
      <w:r w:rsidR="00274578" w:rsidRPr="00A51779">
        <w:t>:</w:t>
      </w:r>
    </w:p>
    <w:p w14:paraId="7C9497C8" w14:textId="77E951B7" w:rsidR="00B919ED" w:rsidRPr="00A51779" w:rsidRDefault="00000000" w:rsidP="00703316">
      <w:pPr>
        <w:spacing w:line="480" w:lineRule="auto"/>
        <w:jc w:val="both"/>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7</m:t>
              </m:r>
            </m:e>
          </m:d>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1</m:t>
              </m:r>
            </m:e>
          </m:d>
        </m:oMath>
      </m:oMathPara>
    </w:p>
    <w:p w14:paraId="6B8FD91A" w14:textId="3E187CEA" w:rsidR="00B919ED" w:rsidRPr="00A51779" w:rsidRDefault="00B919ED" w:rsidP="00703316">
      <w:pPr>
        <w:spacing w:line="480" w:lineRule="auto"/>
        <w:jc w:val="both"/>
      </w:pPr>
      <w:r w:rsidRPr="00A51779">
        <w:t>This quantity was positive in 45 of 47 states, with a median of</w:t>
      </w:r>
      <w:r w:rsidR="00274578" w:rsidRPr="00A51779">
        <w:t xml:space="preserve"> +0.093</w:t>
      </w:r>
      <w:r w:rsidRPr="00A51779">
        <w:t xml:space="preserve"> and an interquartile range of</w:t>
      </w:r>
      <w:r w:rsidR="00274578" w:rsidRPr="00A51779">
        <w:t xml:space="preserve"> [+0.049, +0.155]</w:t>
      </w:r>
      <w:r w:rsidRPr="00A51779">
        <w:t>. The paired Wilcoxon signed-rank test strongly rejected the null of no shift (</w:t>
      </w:r>
      <m:oMath>
        <m:r>
          <w:rPr>
            <w:rFonts w:ascii="Cambria Math" w:hAnsi="Cambria Math"/>
          </w:rPr>
          <m:t>W=12.0</m:t>
        </m:r>
      </m:oMath>
      <w:r w:rsidRPr="00A51779">
        <w:t xml:space="preserve">, </w:t>
      </w:r>
      <m:oMath>
        <m:r>
          <w:rPr>
            <w:rFonts w:ascii="Cambria Math" w:hAnsi="Cambria Math"/>
          </w:rPr>
          <m:t>p=9.9×</m:t>
        </m:r>
        <m:sSup>
          <m:sSupPr>
            <m:ctrlPr>
              <w:rPr>
                <w:rFonts w:ascii="Cambria Math" w:hAnsi="Cambria Math"/>
              </w:rPr>
            </m:ctrlPr>
          </m:sSupPr>
          <m:e>
            <m:r>
              <w:rPr>
                <w:rFonts w:ascii="Cambria Math" w:hAnsi="Cambria Math"/>
              </w:rPr>
              <m:t>10</m:t>
            </m:r>
          </m:e>
          <m:sup>
            <m:r>
              <w:rPr>
                <w:rFonts w:ascii="Cambria Math" w:hAnsi="Cambria Math"/>
              </w:rPr>
              <m:t>-13</m:t>
            </m:r>
          </m:sup>
        </m:sSup>
      </m:oMath>
      <w:r w:rsidRPr="00A51779">
        <w:t xml:space="preserve">), as did the paired </w:t>
      </w:r>
      <m:oMath>
        <m:r>
          <w:rPr>
            <w:rFonts w:ascii="Cambria Math" w:hAnsi="Cambria Math"/>
          </w:rPr>
          <m:t>t</m:t>
        </m:r>
      </m:oMath>
      <w:r w:rsidRPr="00A51779">
        <w:t>-test (</w:t>
      </w:r>
      <m:oMath>
        <m:r>
          <w:rPr>
            <w:rFonts w:ascii="Cambria Math" w:hAnsi="Cambria Math"/>
          </w:rPr>
          <m:t>t=9.70</m:t>
        </m:r>
      </m:oMath>
      <w:r w:rsidRPr="00A51779">
        <w:t xml:space="preserve">, </w:t>
      </w:r>
      <m:oMath>
        <m:r>
          <w:rPr>
            <w:rFonts w:ascii="Cambria Math" w:hAnsi="Cambria Math"/>
          </w:rPr>
          <m:t>p=1.1×</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A51779">
        <w:t xml:space="preserve">). The median </w:t>
      </w:r>
      <w:r w:rsidRPr="00A51779">
        <w:lastRenderedPageBreak/>
        <w:t>one-day difference was</w:t>
      </w:r>
      <w:r w:rsidR="00274578" w:rsidRPr="00A51779">
        <w:t xml:space="preserve"> -0.013 (</w:t>
      </w:r>
      <w:r w:rsidRPr="00A51779">
        <w:t xml:space="preserve">IQR </w:t>
      </w:r>
      <m:oMath>
        <m:d>
          <m:dPr>
            <m:begChr m:val="["/>
            <m:sepChr m:val=","/>
            <m:endChr m:val="]"/>
            <m:ctrlPr>
              <w:rPr>
                <w:rFonts w:ascii="Cambria Math" w:hAnsi="Cambria Math"/>
              </w:rPr>
            </m:ctrlPr>
          </m:dPr>
          <m:e>
            <m:r>
              <w:rPr>
                <w:rFonts w:ascii="Cambria Math" w:hAnsi="Cambria Math"/>
              </w:rPr>
              <m:t>-</m:t>
            </m:r>
          </m:e>
          <m:e>
            <m:r>
              <w:rPr>
                <w:rFonts w:ascii="Cambria Math" w:hAnsi="Cambria Math"/>
              </w:rPr>
              <m:t>0.021-0.007</m:t>
            </m:r>
          </m:e>
        </m:d>
      </m:oMath>
      <w:r w:rsidRPr="00A51779">
        <w:t xml:space="preserve">), whereas the median seven-day difference was </w:t>
      </w:r>
      <w:r w:rsidR="00274578" w:rsidRPr="00A51779">
        <w:t xml:space="preserve">+0.070 </w:t>
      </w:r>
      <w:r w:rsidRPr="00A51779">
        <w:t xml:space="preserve">(IQR </w:t>
      </w:r>
      <m:oMath>
        <m:d>
          <m:dPr>
            <m:begChr m:val="["/>
            <m:sepChr m:val=","/>
            <m:endChr m:val="]"/>
            <m:ctrlPr>
              <w:rPr>
                <w:rFonts w:ascii="Cambria Math" w:hAnsi="Cambria Math"/>
              </w:rPr>
            </m:ctrlPr>
          </m:dPr>
          <m:e>
            <m:r>
              <w:rPr>
                <w:rFonts w:ascii="Cambria Math" w:hAnsi="Cambria Math"/>
              </w:rPr>
              <m:t>+</m:t>
            </m:r>
          </m:e>
          <m:e>
            <m:r>
              <w:rPr>
                <w:rFonts w:ascii="Cambria Math" w:hAnsi="Cambria Math"/>
              </w:rPr>
              <m:t>0.040+0.127</m:t>
            </m:r>
          </m:e>
        </m:d>
      </m:oMath>
      <w:r w:rsidRPr="00A51779">
        <w:t>).</w:t>
      </w:r>
    </w:p>
    <w:p w14:paraId="4C02DCA7" w14:textId="77777777" w:rsidR="00C71BF3" w:rsidRPr="00A51779" w:rsidRDefault="00C71BF3" w:rsidP="00703316">
      <w:pPr>
        <w:spacing w:before="160" w:line="480" w:lineRule="auto"/>
        <w:jc w:val="both"/>
      </w:pPr>
      <w:r w:rsidRPr="00A51779">
        <w:rPr>
          <w:noProof/>
        </w:rPr>
        <w:drawing>
          <wp:inline distT="0" distB="0" distL="0" distR="0" wp14:anchorId="0928E23C" wp14:editId="445A1B4C">
            <wp:extent cx="4572000" cy="4789714"/>
            <wp:effectExtent l="0" t="0" r="0" b="0"/>
            <wp:docPr id="1434927152" name="Picture 1434927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4762"/>
                    <a:stretch>
                      <a:fillRect/>
                    </a:stretch>
                  </pic:blipFill>
                  <pic:spPr bwMode="auto">
                    <a:xfrm>
                      <a:off x="0" y="0"/>
                      <a:ext cx="4572000" cy="4789714"/>
                    </a:xfrm>
                    <a:prstGeom prst="rect">
                      <a:avLst/>
                    </a:prstGeom>
                    <a:ln>
                      <a:noFill/>
                    </a:ln>
                    <a:extLst>
                      <a:ext uri="{53640926-AAD7-44D8-BBD7-CCE9431645EC}">
                        <a14:shadowObscured xmlns:a14="http://schemas.microsoft.com/office/drawing/2010/main"/>
                      </a:ext>
                    </a:extLst>
                  </pic:spPr>
                </pic:pic>
              </a:graphicData>
            </a:graphic>
          </wp:inline>
        </w:drawing>
      </w:r>
    </w:p>
    <w:p w14:paraId="1FA9E366" w14:textId="6EA71D91" w:rsidR="000A0A17" w:rsidRPr="00A51779" w:rsidRDefault="00C71BF3" w:rsidP="000A0A17">
      <w:pPr>
        <w:spacing w:line="480" w:lineRule="auto"/>
        <w:jc w:val="both"/>
      </w:pPr>
      <w:r w:rsidRPr="00A51779">
        <w:t>Fig</w:t>
      </w:r>
      <w:r w:rsidR="000A0A17" w:rsidRPr="00A51779">
        <w:t xml:space="preserve">. </w:t>
      </w:r>
      <w:r w:rsidR="0079599D">
        <w:t>9</w:t>
      </w:r>
      <w:r w:rsidRPr="00A51779">
        <w:t xml:space="preserve">. </w:t>
      </w:r>
      <w:r w:rsidR="000A0A17" w:rsidRPr="00A51779">
        <w:t>Within-state change in relative HGB performance from the one-day to the seven-day horizon across all 47 eligible states.</w:t>
      </w:r>
    </w:p>
    <w:p w14:paraId="7D9324E6" w14:textId="72075DE4" w:rsidR="00B919ED" w:rsidRPr="00A51779" w:rsidRDefault="00B919ED" w:rsidP="000A0A17">
      <w:pPr>
        <w:spacing w:line="480" w:lineRule="auto"/>
        <w:jc w:val="both"/>
      </w:pPr>
      <w:r w:rsidRPr="00A51779">
        <w:t>Because U.S. state power systems are not fully independent, geographic consistency provides an important complement to the state-level analysis. Neighboring states may share interconnections, regional weather, fuel markets, and demand shocks, making complete independence implausible.</w:t>
      </w:r>
    </w:p>
    <w:p w14:paraId="10FB76DB" w14:textId="314205A0" w:rsidR="00B919ED" w:rsidRPr="004219A9" w:rsidRDefault="00B919ED" w:rsidP="00703316">
      <w:pPr>
        <w:spacing w:line="480" w:lineRule="auto"/>
        <w:jc w:val="both"/>
      </w:pPr>
      <w:r w:rsidRPr="004219A9">
        <w:t>Table 1</w:t>
      </w:r>
      <w:r w:rsidR="004219A9" w:rsidRPr="004219A9">
        <w:t>5</w:t>
      </w:r>
      <w:r w:rsidRPr="004219A9">
        <w:t>. Regional robustness: states favoring ridge at one day and HGB at seven days, by U.S. Census region.</w:t>
      </w:r>
    </w:p>
    <w:tbl>
      <w:tblPr>
        <w:tblStyle w:val="PlainTable2"/>
        <w:tblW w:w="5000" w:type="pct"/>
        <w:tblLook w:val="04A0" w:firstRow="1" w:lastRow="0" w:firstColumn="1" w:lastColumn="0" w:noHBand="0" w:noVBand="1"/>
      </w:tblPr>
      <w:tblGrid>
        <w:gridCol w:w="1669"/>
        <w:gridCol w:w="1387"/>
        <w:gridCol w:w="3196"/>
        <w:gridCol w:w="3108"/>
      </w:tblGrid>
      <w:tr w:rsidR="00B919ED" w:rsidRPr="00A51779" w14:paraId="2947E4B6"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1A0B673C" w14:textId="77777777" w:rsidR="00B919ED" w:rsidRPr="00A51779" w:rsidRDefault="00B919ED" w:rsidP="00703316">
            <w:pPr>
              <w:spacing w:line="480" w:lineRule="auto"/>
              <w:jc w:val="both"/>
            </w:pPr>
            <w:r w:rsidRPr="00A51779">
              <w:lastRenderedPageBreak/>
              <w:t>Region</w:t>
            </w:r>
          </w:p>
        </w:tc>
        <w:tc>
          <w:tcPr>
            <w:tcW w:w="741" w:type="pct"/>
            <w:hideMark/>
          </w:tcPr>
          <w:p w14:paraId="42841AB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 states</w:t>
            </w:r>
          </w:p>
        </w:tc>
        <w:tc>
          <w:tcPr>
            <w:tcW w:w="1707" w:type="pct"/>
            <w:hideMark/>
          </w:tcPr>
          <w:p w14:paraId="61011DD1"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Ridge favored, 1-day</w:t>
            </w:r>
          </w:p>
        </w:tc>
        <w:tc>
          <w:tcPr>
            <w:tcW w:w="1660" w:type="pct"/>
            <w:hideMark/>
          </w:tcPr>
          <w:p w14:paraId="02E1BE2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HGB favored, 7-day</w:t>
            </w:r>
          </w:p>
        </w:tc>
      </w:tr>
      <w:tr w:rsidR="00B919ED" w:rsidRPr="00A51779" w14:paraId="7E36F0F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461DE31A" w14:textId="77777777" w:rsidR="00B919ED" w:rsidRPr="00A51779" w:rsidRDefault="00B919ED" w:rsidP="00703316">
            <w:pPr>
              <w:spacing w:line="480" w:lineRule="auto"/>
              <w:jc w:val="both"/>
            </w:pPr>
            <w:r w:rsidRPr="00A51779">
              <w:t>Northeast</w:t>
            </w:r>
          </w:p>
        </w:tc>
        <w:tc>
          <w:tcPr>
            <w:tcW w:w="741" w:type="pct"/>
            <w:hideMark/>
          </w:tcPr>
          <w:p w14:paraId="039E23C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1707" w:type="pct"/>
            <w:hideMark/>
          </w:tcPr>
          <w:p w14:paraId="64CF602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 / 8</w:t>
            </w:r>
          </w:p>
        </w:tc>
        <w:tc>
          <w:tcPr>
            <w:tcW w:w="1660" w:type="pct"/>
            <w:hideMark/>
          </w:tcPr>
          <w:p w14:paraId="02A7E63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 / 8</w:t>
            </w:r>
          </w:p>
        </w:tc>
      </w:tr>
      <w:tr w:rsidR="00B919ED" w:rsidRPr="00A51779" w14:paraId="584FA651" w14:textId="77777777" w:rsidTr="00450A61">
        <w:tc>
          <w:tcPr>
            <w:cnfStyle w:val="001000000000" w:firstRow="0" w:lastRow="0" w:firstColumn="1" w:lastColumn="0" w:oddVBand="0" w:evenVBand="0" w:oddHBand="0" w:evenHBand="0" w:firstRowFirstColumn="0" w:firstRowLastColumn="0" w:lastRowFirstColumn="0" w:lastRowLastColumn="0"/>
            <w:tcW w:w="891" w:type="pct"/>
            <w:hideMark/>
          </w:tcPr>
          <w:p w14:paraId="1CC63329" w14:textId="77777777" w:rsidR="00B919ED" w:rsidRPr="00A51779" w:rsidRDefault="00B919ED" w:rsidP="00703316">
            <w:pPr>
              <w:spacing w:line="480" w:lineRule="auto"/>
              <w:jc w:val="both"/>
            </w:pPr>
            <w:r w:rsidRPr="00A51779">
              <w:t>Midwest</w:t>
            </w:r>
          </w:p>
        </w:tc>
        <w:tc>
          <w:tcPr>
            <w:tcW w:w="741" w:type="pct"/>
            <w:hideMark/>
          </w:tcPr>
          <w:p w14:paraId="7AA55B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12</w:t>
            </w:r>
          </w:p>
        </w:tc>
        <w:tc>
          <w:tcPr>
            <w:tcW w:w="1707" w:type="pct"/>
            <w:hideMark/>
          </w:tcPr>
          <w:p w14:paraId="34B8D7A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8 / 12</w:t>
            </w:r>
          </w:p>
        </w:tc>
        <w:tc>
          <w:tcPr>
            <w:tcW w:w="1660" w:type="pct"/>
            <w:hideMark/>
          </w:tcPr>
          <w:p w14:paraId="3235E2E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 / 12</w:t>
            </w:r>
          </w:p>
        </w:tc>
      </w:tr>
      <w:tr w:rsidR="00B919ED" w:rsidRPr="00A51779" w14:paraId="02D87D9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02AC53D0" w14:textId="77777777" w:rsidR="00B919ED" w:rsidRPr="00A51779" w:rsidRDefault="00B919ED" w:rsidP="00703316">
            <w:pPr>
              <w:spacing w:line="480" w:lineRule="auto"/>
              <w:jc w:val="both"/>
            </w:pPr>
            <w:r w:rsidRPr="00A51779">
              <w:t>South</w:t>
            </w:r>
          </w:p>
        </w:tc>
        <w:tc>
          <w:tcPr>
            <w:tcW w:w="741" w:type="pct"/>
            <w:hideMark/>
          </w:tcPr>
          <w:p w14:paraId="2817F2A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w:t>
            </w:r>
          </w:p>
        </w:tc>
        <w:tc>
          <w:tcPr>
            <w:tcW w:w="1707" w:type="pct"/>
            <w:hideMark/>
          </w:tcPr>
          <w:p w14:paraId="39C400C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15 / 16</w:t>
            </w:r>
          </w:p>
        </w:tc>
        <w:tc>
          <w:tcPr>
            <w:tcW w:w="1660" w:type="pct"/>
            <w:hideMark/>
          </w:tcPr>
          <w:p w14:paraId="2F5FA20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 / 16</w:t>
            </w:r>
          </w:p>
        </w:tc>
      </w:tr>
      <w:tr w:rsidR="00B919ED" w:rsidRPr="00A51779" w14:paraId="6C0FEEED" w14:textId="77777777" w:rsidTr="00450A61">
        <w:tc>
          <w:tcPr>
            <w:cnfStyle w:val="001000000000" w:firstRow="0" w:lastRow="0" w:firstColumn="1" w:lastColumn="0" w:oddVBand="0" w:evenVBand="0" w:oddHBand="0" w:evenHBand="0" w:firstRowFirstColumn="0" w:firstRowLastColumn="0" w:lastRowFirstColumn="0" w:lastRowLastColumn="0"/>
            <w:tcW w:w="891" w:type="pct"/>
            <w:hideMark/>
          </w:tcPr>
          <w:p w14:paraId="46565ABA" w14:textId="77777777" w:rsidR="00B919ED" w:rsidRPr="00A51779" w:rsidRDefault="00B919ED" w:rsidP="00703316">
            <w:pPr>
              <w:spacing w:line="480" w:lineRule="auto"/>
              <w:jc w:val="both"/>
            </w:pPr>
            <w:r w:rsidRPr="00A51779">
              <w:t>West</w:t>
            </w:r>
          </w:p>
        </w:tc>
        <w:tc>
          <w:tcPr>
            <w:tcW w:w="741" w:type="pct"/>
            <w:hideMark/>
          </w:tcPr>
          <w:p w14:paraId="79E361B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w:t>
            </w:r>
          </w:p>
        </w:tc>
        <w:tc>
          <w:tcPr>
            <w:tcW w:w="1707" w:type="pct"/>
            <w:hideMark/>
          </w:tcPr>
          <w:p w14:paraId="2329B48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 / 11</w:t>
            </w:r>
          </w:p>
        </w:tc>
        <w:tc>
          <w:tcPr>
            <w:tcW w:w="1660" w:type="pct"/>
            <w:hideMark/>
          </w:tcPr>
          <w:p w14:paraId="11FE83B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 / 11</w:t>
            </w:r>
          </w:p>
        </w:tc>
      </w:tr>
    </w:tbl>
    <w:p w14:paraId="54DF1886" w14:textId="77777777" w:rsidR="00336CF0" w:rsidRPr="00A51779" w:rsidRDefault="00336CF0" w:rsidP="00703316">
      <w:pPr>
        <w:spacing w:line="480" w:lineRule="auto"/>
        <w:jc w:val="both"/>
      </w:pPr>
    </w:p>
    <w:p w14:paraId="3A4DE612" w14:textId="3D13154A" w:rsidR="00B919ED" w:rsidRPr="00A51779" w:rsidRDefault="00B919ED" w:rsidP="00703316">
      <w:pPr>
        <w:spacing w:line="480" w:lineRule="auto"/>
        <w:jc w:val="both"/>
      </w:pPr>
      <w:r w:rsidRPr="00A51779">
        <w:t>The same direction appears in every Census region. Even in the weakest regional result</w:t>
      </w:r>
      <w:r w:rsidR="00274578" w:rsidRPr="00A51779">
        <w:t xml:space="preserve">, </w:t>
      </w:r>
      <w:r w:rsidRPr="00A51779">
        <w:t>the Midwest at one day</w:t>
      </w:r>
      <w:r w:rsidR="00274578" w:rsidRPr="00A51779">
        <w:t xml:space="preserve">, </w:t>
      </w:r>
      <w:r w:rsidRPr="00A51779">
        <w:t>ridge retained the majority. No single geographic region therefore drives the nationwide pattern.</w:t>
      </w:r>
    </w:p>
    <w:p w14:paraId="598010A3" w14:textId="77777777" w:rsidR="00B919ED" w:rsidRPr="00A51779" w:rsidRDefault="00B919ED" w:rsidP="00703316">
      <w:pPr>
        <w:spacing w:line="480" w:lineRule="auto"/>
        <w:jc w:val="both"/>
      </w:pPr>
      <w:r w:rsidRPr="00A51779">
        <w:t>The nationwide finding was also tested for sensitivity to the initial hyperparameter-search budget. Under the expanded 30-ridge/60-HGB search, ridge produced the better one-day estimate in 42 of 47 states, compared with 41 under the primary search. At seven days, HGB remained preferred in 38 of 47 states, compared with 45 under the primary search. The longer-horizon pattern was therefore attenuated but not reversed. Both directional splits remained strongly inconsistent with chance (</w:t>
      </w:r>
      <m:oMath>
        <m:r>
          <w:rPr>
            <w:rFonts w:ascii="Cambria Math" w:hAnsi="Cambria Math"/>
          </w:rPr>
          <m:t>p=2.5×</m:t>
        </m:r>
        <m:sSup>
          <m:sSupPr>
            <m:ctrlPr>
              <w:rPr>
                <w:rFonts w:ascii="Cambria Math" w:hAnsi="Cambria Math"/>
              </w:rPr>
            </m:ctrlPr>
          </m:sSupPr>
          <m:e>
            <m:r>
              <w:rPr>
                <w:rFonts w:ascii="Cambria Math" w:hAnsi="Cambria Math"/>
              </w:rPr>
              <m:t>10</m:t>
            </m:r>
          </m:e>
          <m:sup>
            <m:r>
              <w:rPr>
                <w:rFonts w:ascii="Cambria Math" w:hAnsi="Cambria Math"/>
              </w:rPr>
              <m:t>-8</m:t>
            </m:r>
          </m:sup>
        </m:sSup>
      </m:oMath>
      <w:r w:rsidRPr="00A51779">
        <w:t xml:space="preserve"> and </w:t>
      </w:r>
      <m:oMath>
        <m:r>
          <w:rPr>
            <w:rFonts w:ascii="Cambria Math" w:hAnsi="Cambria Math"/>
          </w:rPr>
          <m:t>p=2.5×</m:t>
        </m:r>
        <m:sSup>
          <m:sSupPr>
            <m:ctrlPr>
              <w:rPr>
                <w:rFonts w:ascii="Cambria Math" w:hAnsi="Cambria Math"/>
              </w:rPr>
            </m:ctrlPr>
          </m:sSupPr>
          <m:e>
            <m:r>
              <w:rPr>
                <w:rFonts w:ascii="Cambria Math" w:hAnsi="Cambria Math"/>
              </w:rPr>
              <m:t>10</m:t>
            </m:r>
          </m:e>
          <m:sup>
            <m:r>
              <w:rPr>
                <w:rFonts w:ascii="Cambria Math" w:hAnsi="Cambria Math"/>
              </w:rPr>
              <m:t>-5</m:t>
            </m:r>
          </m:sup>
        </m:sSup>
      </m:oMath>
      <w:r w:rsidRPr="00A51779">
        <w:t>, respectively).</w:t>
      </w:r>
    </w:p>
    <w:p w14:paraId="210B1DBA" w14:textId="46D97E30" w:rsidR="00B919ED" w:rsidRPr="00A51779" w:rsidRDefault="00B919ED" w:rsidP="00703316">
      <w:pPr>
        <w:spacing w:line="480" w:lineRule="auto"/>
        <w:jc w:val="both"/>
      </w:pPr>
      <w:r w:rsidRPr="00A51779">
        <w:t>Fourteen of the 94 individual state–horizon comparisons changed which model had the better point estimate under the expanded search</w:t>
      </w:r>
      <w:r w:rsidR="00274578" w:rsidRPr="00A51779">
        <w:t xml:space="preserve">, </w:t>
      </w:r>
      <w:r w:rsidRPr="00A51779">
        <w:t>five at one day and nine at seven days. Every reversal occurred where the original difference between models was already small. Search-budget sensitivity is therefore concentrated among near-ties rather than producing a systematic change in the nationwide conclusion.</w:t>
      </w:r>
    </w:p>
    <w:p w14:paraId="43A9675C" w14:textId="77777777" w:rsidR="00E8745A" w:rsidRDefault="00E8745A" w:rsidP="00703316">
      <w:pPr>
        <w:spacing w:line="480" w:lineRule="auto"/>
        <w:jc w:val="both"/>
      </w:pPr>
    </w:p>
    <w:p w14:paraId="76DD681D" w14:textId="77777777" w:rsidR="00E332FE" w:rsidRDefault="00E332FE" w:rsidP="00703316">
      <w:pPr>
        <w:spacing w:line="480" w:lineRule="auto"/>
        <w:jc w:val="both"/>
      </w:pPr>
    </w:p>
    <w:p w14:paraId="231BABCC" w14:textId="77777777" w:rsidR="00E332FE" w:rsidRPr="00A51779" w:rsidRDefault="00E332FE" w:rsidP="00703316">
      <w:pPr>
        <w:spacing w:line="480" w:lineRule="auto"/>
        <w:jc w:val="both"/>
      </w:pPr>
    </w:p>
    <w:p w14:paraId="42801A3F" w14:textId="77777777" w:rsidR="00B919ED" w:rsidRPr="00A51779" w:rsidRDefault="00B919ED" w:rsidP="00703316">
      <w:pPr>
        <w:spacing w:line="480" w:lineRule="auto"/>
        <w:jc w:val="both"/>
        <w:outlineLvl w:val="1"/>
        <w:rPr>
          <w:b/>
          <w:bCs/>
        </w:rPr>
      </w:pPr>
      <w:r w:rsidRPr="00A51779">
        <w:rPr>
          <w:b/>
          <w:bCs/>
        </w:rPr>
        <w:lastRenderedPageBreak/>
        <w:t>3.5 Multihorizon crossover</w:t>
      </w:r>
    </w:p>
    <w:p w14:paraId="477BCD23" w14:textId="054B3C25" w:rsidR="00B919ED" w:rsidRPr="00A51779" w:rsidRDefault="00B919ED" w:rsidP="00703316">
      <w:pPr>
        <w:spacing w:line="480" w:lineRule="auto"/>
        <w:jc w:val="both"/>
      </w:pPr>
      <w:r w:rsidRPr="00A51779">
        <w:t>The two-horizon nationwide result raises the more important question of how the transition develops between one and seven days and beyond. The seven-year analysis therefore evaluates 45 states at seven horizons</w:t>
      </w:r>
      <w:r w:rsidR="00210F0B" w:rsidRPr="00A51779">
        <w:t xml:space="preserve">, </w:t>
      </w:r>
      <w:r w:rsidRPr="00A51779">
        <w:t>1, 2, 3, 5, 7, 10, and 14 days</w:t>
      </w:r>
      <w:r w:rsidR="00336CF0" w:rsidRPr="00A51779">
        <w:t>-</w:t>
      </w:r>
      <w:r w:rsidRPr="00A51779">
        <w:t>yielding 315 state</w:t>
      </w:r>
      <w:r w:rsidR="00210F0B" w:rsidRPr="00A51779">
        <w:t xml:space="preserve">, </w:t>
      </w:r>
      <w:r w:rsidRPr="00A51779">
        <w:t>horizon comparisons.</w:t>
      </w:r>
    </w:p>
    <w:p w14:paraId="737980EB" w14:textId="77777777" w:rsidR="00B919ED" w:rsidRPr="00A51779" w:rsidRDefault="00B919ED" w:rsidP="00703316">
      <w:pPr>
        <w:spacing w:line="480" w:lineRule="auto"/>
        <w:jc w:val="both"/>
      </w:pPr>
      <w:r w:rsidRPr="00A51779">
        <w:t xml:space="preserve">For horizon </w:t>
      </w:r>
      <m:oMath>
        <m:r>
          <w:rPr>
            <w:rFonts w:ascii="Cambria Math" w:hAnsi="Cambria Math"/>
          </w:rPr>
          <m:t>h</m:t>
        </m:r>
      </m:oMath>
      <w:r w:rsidRPr="00A51779">
        <w:t>, define the national mean model difference as</w:t>
      </w:r>
    </w:p>
    <w:p w14:paraId="1753A2F9" w14:textId="7FEC2619" w:rsidR="00B919ED" w:rsidRPr="00A51779" w:rsidRDefault="00B919ED" w:rsidP="00703316">
      <w:pPr>
        <w:spacing w:line="480" w:lineRule="auto"/>
        <w:jc w:val="both"/>
      </w:pPr>
      <m:oMathPara>
        <m:oMath>
          <m:r>
            <m:rPr>
              <m:sty m:val="p"/>
            </m:rPr>
            <w:rPr>
              <w:rFonts w:ascii="Cambria Math" w:hAnsi="Cambria Math"/>
            </w:rPr>
            <m:t>Δ</m:t>
          </m:r>
          <m:d>
            <m:dPr>
              <m:ctrlPr>
                <w:rPr>
                  <w:rFonts w:ascii="Cambria Math" w:hAnsi="Cambria Math"/>
                </w:rPr>
              </m:ctrlPr>
            </m:dPr>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HGB</m:t>
              </m:r>
            </m:sub>
            <m:sup>
              <m:r>
                <w:rPr>
                  <w:rFonts w:ascii="Cambria Math" w:hAnsi="Cambria Math"/>
                </w:rPr>
                <m:t>2</m:t>
              </m:r>
            </m:sup>
          </m:sSubSup>
          <m:d>
            <m:dPr>
              <m:ctrlPr>
                <w:rPr>
                  <w:rFonts w:ascii="Cambria Math" w:hAnsi="Cambria Math"/>
                </w:rPr>
              </m:ctrlPr>
            </m:dPr>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ridge</m:t>
              </m:r>
            </m:sub>
            <m:sup>
              <m:r>
                <w:rPr>
                  <w:rFonts w:ascii="Cambria Math" w:hAnsi="Cambria Math"/>
                </w:rPr>
                <m:t>2</m:t>
              </m:r>
            </m:sup>
          </m:sSubSup>
          <m:d>
            <m:dPr>
              <m:ctrlPr>
                <w:rPr>
                  <w:rFonts w:ascii="Cambria Math" w:hAnsi="Cambria Math"/>
                </w:rPr>
              </m:ctrlPr>
            </m:dPr>
            <m:e>
              <m:r>
                <w:rPr>
                  <w:rFonts w:ascii="Cambria Math" w:hAnsi="Cambria Math"/>
                </w:rPr>
                <m:t>h</m:t>
              </m:r>
            </m:e>
          </m:d>
        </m:oMath>
      </m:oMathPara>
    </w:p>
    <w:p w14:paraId="7E9FD7A3" w14:textId="4B91F150" w:rsidR="00B919ED" w:rsidRPr="00A51779" w:rsidRDefault="00B919ED" w:rsidP="00703316">
      <w:pPr>
        <w:spacing w:line="480" w:lineRule="auto"/>
        <w:jc w:val="both"/>
      </w:pPr>
      <w:r w:rsidRPr="00A51779">
        <w:t xml:space="preserve">The resulting trajectory is smooth and nearly monotonic. At one day, </w:t>
      </w:r>
      <w:r w:rsidR="00210F0B" w:rsidRPr="00A51779">
        <w:t xml:space="preserve">Δ(h) </w:t>
      </w:r>
      <w:r w:rsidRPr="00A51779">
        <w:t>is negative and its 95% confidence interval excludes zero, indicating a small but systematic ridge advantage. The gap approaches zero between two and three days, changes sign by three days, and becomes increasingly positive thereafter. From five days onward, the national mean HGB advantage has a confidence interval excluding zero.</w:t>
      </w:r>
    </w:p>
    <w:p w14:paraId="5520765C" w14:textId="15685E06" w:rsidR="00B919ED" w:rsidRPr="004219A9" w:rsidRDefault="00B919ED" w:rsidP="00703316">
      <w:pPr>
        <w:spacing w:line="480" w:lineRule="auto"/>
        <w:jc w:val="both"/>
      </w:pPr>
      <w:r w:rsidRPr="004219A9">
        <w:t>Table 1</w:t>
      </w:r>
      <w:r w:rsidR="004219A9" w:rsidRPr="004219A9">
        <w:t>6</w:t>
      </w:r>
      <w:r w:rsidRPr="004219A9">
        <w:t>. National summary of the ridge-HGB gap by horizon (45 states, bootstrap 95% CI).</w:t>
      </w:r>
    </w:p>
    <w:tbl>
      <w:tblPr>
        <w:tblStyle w:val="PlainTable2"/>
        <w:tblW w:w="5000" w:type="pct"/>
        <w:tblLook w:val="04A0" w:firstRow="1" w:lastRow="0" w:firstColumn="1" w:lastColumn="0" w:noHBand="0" w:noVBand="1"/>
      </w:tblPr>
      <w:tblGrid>
        <w:gridCol w:w="1841"/>
        <w:gridCol w:w="2833"/>
        <w:gridCol w:w="2204"/>
        <w:gridCol w:w="2482"/>
      </w:tblGrid>
      <w:tr w:rsidR="00B919ED" w:rsidRPr="00A51779" w14:paraId="4C1DD79C"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596981B6" w14:textId="77777777" w:rsidR="00B919ED" w:rsidRPr="00A51779" w:rsidRDefault="00B919ED" w:rsidP="00703316">
            <w:pPr>
              <w:spacing w:line="480" w:lineRule="auto"/>
              <w:jc w:val="both"/>
            </w:pPr>
            <w:r w:rsidRPr="00A51779">
              <w:t>Horizon (days)</w:t>
            </w:r>
          </w:p>
        </w:tc>
        <w:tc>
          <w:tcPr>
            <w:tcW w:w="1513" w:type="pct"/>
            <w:hideMark/>
          </w:tcPr>
          <w:p w14:paraId="3FA1F83C"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Mean ΔR² (HGB−ridge)</w:t>
            </w:r>
          </w:p>
        </w:tc>
        <w:tc>
          <w:tcPr>
            <w:tcW w:w="1177" w:type="pct"/>
            <w:hideMark/>
          </w:tcPr>
          <w:p w14:paraId="43BCFCD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95% CI</w:t>
            </w:r>
          </w:p>
        </w:tc>
        <w:tc>
          <w:tcPr>
            <w:tcW w:w="1326" w:type="pct"/>
            <w:hideMark/>
          </w:tcPr>
          <w:p w14:paraId="443BFB2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States favoring HGB</w:t>
            </w:r>
          </w:p>
        </w:tc>
      </w:tr>
      <w:tr w:rsidR="00B919ED" w:rsidRPr="00A51779" w14:paraId="3DAA053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2FE56579" w14:textId="77777777" w:rsidR="00B919ED" w:rsidRPr="00A51779" w:rsidRDefault="00B919ED" w:rsidP="00703316">
            <w:pPr>
              <w:spacing w:line="480" w:lineRule="auto"/>
              <w:jc w:val="both"/>
            </w:pPr>
            <w:r w:rsidRPr="00A51779">
              <w:t>1</w:t>
            </w:r>
          </w:p>
        </w:tc>
        <w:tc>
          <w:tcPr>
            <w:tcW w:w="1513" w:type="pct"/>
            <w:hideMark/>
          </w:tcPr>
          <w:p w14:paraId="0E7298B8" w14:textId="32C06CF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0.0065</w:t>
            </w:r>
          </w:p>
        </w:tc>
        <w:tc>
          <w:tcPr>
            <w:tcW w:w="1177" w:type="pct"/>
            <w:hideMark/>
          </w:tcPr>
          <w:p w14:paraId="5D598270" w14:textId="3F30425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0.0097, </w:t>
            </w:r>
            <w:r w:rsidR="00210F0B" w:rsidRPr="00A51779">
              <w:t>-</w:t>
            </w:r>
            <w:r w:rsidRPr="00A51779">
              <w:t>0.0034]</w:t>
            </w:r>
          </w:p>
        </w:tc>
        <w:tc>
          <w:tcPr>
            <w:tcW w:w="1326" w:type="pct"/>
            <w:hideMark/>
          </w:tcPr>
          <w:p w14:paraId="4DEDFA5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20.0%</w:t>
            </w:r>
          </w:p>
        </w:tc>
      </w:tr>
      <w:tr w:rsidR="00B919ED" w:rsidRPr="00A51779" w14:paraId="0BA0FEE8" w14:textId="77777777" w:rsidTr="00450A61">
        <w:tc>
          <w:tcPr>
            <w:cnfStyle w:val="001000000000" w:firstRow="0" w:lastRow="0" w:firstColumn="1" w:lastColumn="0" w:oddVBand="0" w:evenVBand="0" w:oddHBand="0" w:evenHBand="0" w:firstRowFirstColumn="0" w:firstRowLastColumn="0" w:lastRowFirstColumn="0" w:lastRowLastColumn="0"/>
            <w:tcW w:w="983" w:type="pct"/>
            <w:hideMark/>
          </w:tcPr>
          <w:p w14:paraId="3E97FE5B" w14:textId="77777777" w:rsidR="00B919ED" w:rsidRPr="00A51779" w:rsidRDefault="00B919ED" w:rsidP="00703316">
            <w:pPr>
              <w:spacing w:line="480" w:lineRule="auto"/>
              <w:jc w:val="both"/>
            </w:pPr>
            <w:r w:rsidRPr="00A51779">
              <w:t>2</w:t>
            </w:r>
          </w:p>
        </w:tc>
        <w:tc>
          <w:tcPr>
            <w:tcW w:w="1513" w:type="pct"/>
            <w:hideMark/>
          </w:tcPr>
          <w:p w14:paraId="6805B2F0" w14:textId="7DDF6E26"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0.0017</w:t>
            </w:r>
          </w:p>
        </w:tc>
        <w:tc>
          <w:tcPr>
            <w:tcW w:w="1177" w:type="pct"/>
            <w:hideMark/>
          </w:tcPr>
          <w:p w14:paraId="3DAE7EC6" w14:textId="08AAAA0D"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10F0B" w:rsidRPr="00A51779">
              <w:t>-</w:t>
            </w:r>
            <w:r w:rsidRPr="00A51779">
              <w:t xml:space="preserve">0.0070, </w:t>
            </w:r>
            <w:r w:rsidR="00210F0B" w:rsidRPr="00A51779">
              <w:t>+</w:t>
            </w:r>
            <w:r w:rsidRPr="00A51779">
              <w:t>0.0037]</w:t>
            </w:r>
          </w:p>
        </w:tc>
        <w:tc>
          <w:tcPr>
            <w:tcW w:w="1326" w:type="pct"/>
            <w:hideMark/>
          </w:tcPr>
          <w:p w14:paraId="6A4246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44.4%</w:t>
            </w:r>
          </w:p>
        </w:tc>
      </w:tr>
      <w:tr w:rsidR="00B919ED" w:rsidRPr="00A51779" w14:paraId="0CC73423"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3A5FC4E0" w14:textId="77777777" w:rsidR="00B919ED" w:rsidRPr="00A51779" w:rsidRDefault="00B919ED" w:rsidP="00703316">
            <w:pPr>
              <w:spacing w:line="480" w:lineRule="auto"/>
              <w:jc w:val="both"/>
            </w:pPr>
            <w:r w:rsidRPr="00A51779">
              <w:t>3</w:t>
            </w:r>
          </w:p>
        </w:tc>
        <w:tc>
          <w:tcPr>
            <w:tcW w:w="1513" w:type="pct"/>
            <w:hideMark/>
          </w:tcPr>
          <w:p w14:paraId="0710A0DE" w14:textId="11A7E95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0.0053</w:t>
            </w:r>
          </w:p>
        </w:tc>
        <w:tc>
          <w:tcPr>
            <w:tcW w:w="1177" w:type="pct"/>
            <w:hideMark/>
          </w:tcPr>
          <w:p w14:paraId="23F80FCF" w14:textId="4C65519B"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0.0009, </w:t>
            </w:r>
            <w:r w:rsidR="00210F0B" w:rsidRPr="00A51779">
              <w:t>+</w:t>
            </w:r>
            <w:r w:rsidRPr="00A51779">
              <w:t>0.0116]</w:t>
            </w:r>
          </w:p>
        </w:tc>
        <w:tc>
          <w:tcPr>
            <w:tcW w:w="1326" w:type="pct"/>
            <w:hideMark/>
          </w:tcPr>
          <w:p w14:paraId="7E8343A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62.2%</w:t>
            </w:r>
          </w:p>
        </w:tc>
      </w:tr>
      <w:tr w:rsidR="00B919ED" w:rsidRPr="00A51779" w14:paraId="00F00D92" w14:textId="77777777" w:rsidTr="00450A61">
        <w:tc>
          <w:tcPr>
            <w:cnfStyle w:val="001000000000" w:firstRow="0" w:lastRow="0" w:firstColumn="1" w:lastColumn="0" w:oddVBand="0" w:evenVBand="0" w:oddHBand="0" w:evenHBand="0" w:firstRowFirstColumn="0" w:firstRowLastColumn="0" w:lastRowFirstColumn="0" w:lastRowLastColumn="0"/>
            <w:tcW w:w="983" w:type="pct"/>
            <w:hideMark/>
          </w:tcPr>
          <w:p w14:paraId="5127EDB8" w14:textId="77777777" w:rsidR="00B919ED" w:rsidRPr="00A51779" w:rsidRDefault="00B919ED" w:rsidP="00703316">
            <w:pPr>
              <w:spacing w:line="480" w:lineRule="auto"/>
              <w:jc w:val="both"/>
            </w:pPr>
            <w:r w:rsidRPr="00A51779">
              <w:t>5</w:t>
            </w:r>
          </w:p>
        </w:tc>
        <w:tc>
          <w:tcPr>
            <w:tcW w:w="1513" w:type="pct"/>
            <w:hideMark/>
          </w:tcPr>
          <w:p w14:paraId="03D77EDE" w14:textId="56A778F0"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0.0259</w:t>
            </w:r>
          </w:p>
        </w:tc>
        <w:tc>
          <w:tcPr>
            <w:tcW w:w="1177" w:type="pct"/>
            <w:hideMark/>
          </w:tcPr>
          <w:p w14:paraId="7D2AC803" w14:textId="0F4722CD"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10F0B" w:rsidRPr="00A51779">
              <w:t>+</w:t>
            </w:r>
            <w:r w:rsidRPr="00A51779">
              <w:t xml:space="preserve">0.0166, </w:t>
            </w:r>
            <w:r w:rsidR="00210F0B" w:rsidRPr="00A51779">
              <w:t>+</w:t>
            </w:r>
            <w:r w:rsidRPr="00A51779">
              <w:t>0.0349]</w:t>
            </w:r>
          </w:p>
        </w:tc>
        <w:tc>
          <w:tcPr>
            <w:tcW w:w="1326" w:type="pct"/>
            <w:hideMark/>
          </w:tcPr>
          <w:p w14:paraId="6D48123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80.0%</w:t>
            </w:r>
          </w:p>
        </w:tc>
      </w:tr>
      <w:tr w:rsidR="00B919ED" w:rsidRPr="00A51779" w14:paraId="590D956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14454D11" w14:textId="77777777" w:rsidR="00B919ED" w:rsidRPr="00A51779" w:rsidRDefault="00B919ED" w:rsidP="00703316">
            <w:pPr>
              <w:spacing w:line="480" w:lineRule="auto"/>
              <w:jc w:val="both"/>
            </w:pPr>
            <w:r w:rsidRPr="00A51779">
              <w:t>7</w:t>
            </w:r>
          </w:p>
        </w:tc>
        <w:tc>
          <w:tcPr>
            <w:tcW w:w="1513" w:type="pct"/>
            <w:hideMark/>
          </w:tcPr>
          <w:p w14:paraId="41AA5367" w14:textId="73155E7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0.0477</w:t>
            </w:r>
          </w:p>
        </w:tc>
        <w:tc>
          <w:tcPr>
            <w:tcW w:w="1177" w:type="pct"/>
            <w:hideMark/>
          </w:tcPr>
          <w:p w14:paraId="3E4E6DAC" w14:textId="5DA58336"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0.0365, </w:t>
            </w:r>
            <w:r w:rsidR="00210F0B" w:rsidRPr="00A51779">
              <w:t>+</w:t>
            </w:r>
            <w:r w:rsidRPr="00A51779">
              <w:t>0.0579]</w:t>
            </w:r>
          </w:p>
        </w:tc>
        <w:tc>
          <w:tcPr>
            <w:tcW w:w="1326" w:type="pct"/>
            <w:hideMark/>
          </w:tcPr>
          <w:p w14:paraId="61D23A2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88.9%</w:t>
            </w:r>
          </w:p>
        </w:tc>
      </w:tr>
      <w:tr w:rsidR="00B919ED" w:rsidRPr="00A51779" w14:paraId="2C37BCF1" w14:textId="77777777" w:rsidTr="00450A61">
        <w:tc>
          <w:tcPr>
            <w:cnfStyle w:val="001000000000" w:firstRow="0" w:lastRow="0" w:firstColumn="1" w:lastColumn="0" w:oddVBand="0" w:evenVBand="0" w:oddHBand="0" w:evenHBand="0" w:firstRowFirstColumn="0" w:firstRowLastColumn="0" w:lastRowFirstColumn="0" w:lastRowLastColumn="0"/>
            <w:tcW w:w="983" w:type="pct"/>
            <w:hideMark/>
          </w:tcPr>
          <w:p w14:paraId="792962D6" w14:textId="77777777" w:rsidR="00B919ED" w:rsidRPr="00A51779" w:rsidRDefault="00B919ED" w:rsidP="00703316">
            <w:pPr>
              <w:spacing w:line="480" w:lineRule="auto"/>
              <w:jc w:val="both"/>
            </w:pPr>
            <w:r w:rsidRPr="00A51779">
              <w:t>10</w:t>
            </w:r>
          </w:p>
        </w:tc>
        <w:tc>
          <w:tcPr>
            <w:tcW w:w="1513" w:type="pct"/>
            <w:hideMark/>
          </w:tcPr>
          <w:p w14:paraId="43C1A474" w14:textId="66DDBA65"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0.0837</w:t>
            </w:r>
          </w:p>
        </w:tc>
        <w:tc>
          <w:tcPr>
            <w:tcW w:w="1177" w:type="pct"/>
            <w:hideMark/>
          </w:tcPr>
          <w:p w14:paraId="76CEC197" w14:textId="3E48EE5E"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10F0B" w:rsidRPr="00A51779">
              <w:t>+</w:t>
            </w:r>
            <w:r w:rsidRPr="00A51779">
              <w:t xml:space="preserve">0.0689, </w:t>
            </w:r>
            <w:r w:rsidR="00210F0B" w:rsidRPr="00A51779">
              <w:t>+</w:t>
            </w:r>
            <w:r w:rsidRPr="00A51779">
              <w:t>0.0984]</w:t>
            </w:r>
          </w:p>
        </w:tc>
        <w:tc>
          <w:tcPr>
            <w:tcW w:w="1326" w:type="pct"/>
            <w:hideMark/>
          </w:tcPr>
          <w:p w14:paraId="74E5BAA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93.3%</w:t>
            </w:r>
          </w:p>
        </w:tc>
      </w:tr>
      <w:tr w:rsidR="00B919ED" w:rsidRPr="00A51779" w14:paraId="5674D82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71583CA5" w14:textId="77777777" w:rsidR="00B919ED" w:rsidRPr="00A51779" w:rsidRDefault="00B919ED" w:rsidP="00703316">
            <w:pPr>
              <w:spacing w:line="480" w:lineRule="auto"/>
              <w:jc w:val="both"/>
            </w:pPr>
            <w:r w:rsidRPr="00A51779">
              <w:t>14</w:t>
            </w:r>
          </w:p>
        </w:tc>
        <w:tc>
          <w:tcPr>
            <w:tcW w:w="1513" w:type="pct"/>
            <w:hideMark/>
          </w:tcPr>
          <w:p w14:paraId="611B70A3" w14:textId="5C63F7CE"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0.1084</w:t>
            </w:r>
          </w:p>
        </w:tc>
        <w:tc>
          <w:tcPr>
            <w:tcW w:w="1177" w:type="pct"/>
            <w:hideMark/>
          </w:tcPr>
          <w:p w14:paraId="74BD103A" w14:textId="54C3478D"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0.0922, </w:t>
            </w:r>
            <w:r w:rsidR="00210F0B" w:rsidRPr="00A51779">
              <w:t>+</w:t>
            </w:r>
            <w:r w:rsidRPr="00A51779">
              <w:t>0.1233]</w:t>
            </w:r>
          </w:p>
        </w:tc>
        <w:tc>
          <w:tcPr>
            <w:tcW w:w="1326" w:type="pct"/>
            <w:hideMark/>
          </w:tcPr>
          <w:p w14:paraId="14247A4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97.8%</w:t>
            </w:r>
          </w:p>
        </w:tc>
      </w:tr>
    </w:tbl>
    <w:p w14:paraId="03CB6686" w14:textId="77777777" w:rsidR="00E332FE" w:rsidRDefault="00E332FE" w:rsidP="00703316">
      <w:pPr>
        <w:spacing w:line="480" w:lineRule="auto"/>
        <w:jc w:val="both"/>
      </w:pPr>
    </w:p>
    <w:p w14:paraId="5B944300" w14:textId="0EE86084" w:rsidR="00B919ED" w:rsidRPr="00A51779" w:rsidRDefault="00B919ED" w:rsidP="00703316">
      <w:pPr>
        <w:spacing w:line="480" w:lineRule="auto"/>
        <w:jc w:val="both"/>
      </w:pPr>
      <w:r w:rsidRPr="00A51779">
        <w:t xml:space="preserve">The state-level directional proportions follow the same progression: the fraction favoring HGB increases from 20.0% at one day to 44.4% at two days, 62.2% at three days, 80.0% at five days, </w:t>
      </w:r>
      <w:r w:rsidRPr="00A51779">
        <w:lastRenderedPageBreak/>
        <w:t>88.9% at seven days, 93.3% at ten days, and 97.8% at fourteen days. The heatmap representation shows the same broad transition from ridge-favoring values at short horizons to HGB-favoring values as the horizon increases. New Mexico is the clearest exception, remaining ridge-favored throughout the tested horizon range.</w:t>
      </w:r>
    </w:p>
    <w:p w14:paraId="5077E7B1" w14:textId="77777777" w:rsidR="00357E8D" w:rsidRPr="00A51779" w:rsidRDefault="00357E8D" w:rsidP="00703316">
      <w:pPr>
        <w:spacing w:before="160" w:line="480" w:lineRule="auto"/>
        <w:jc w:val="both"/>
      </w:pPr>
      <w:r w:rsidRPr="00A51779">
        <w:rPr>
          <w:noProof/>
        </w:rPr>
        <w:drawing>
          <wp:inline distT="0" distB="0" distL="0" distR="0" wp14:anchorId="2C4AAFB1" wp14:editId="4842EABF">
            <wp:extent cx="5334000" cy="3619500"/>
            <wp:effectExtent l="0" t="0" r="0" b="0"/>
            <wp:docPr id="2019888312" name="Picture 201988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619500"/>
                    </a:xfrm>
                    <a:prstGeom prst="rect">
                      <a:avLst/>
                    </a:prstGeom>
                  </pic:spPr>
                </pic:pic>
              </a:graphicData>
            </a:graphic>
          </wp:inline>
        </w:drawing>
      </w:r>
    </w:p>
    <w:p w14:paraId="63BEC540" w14:textId="1462C826" w:rsidR="00357E8D" w:rsidRPr="00A51779" w:rsidRDefault="00A347E1" w:rsidP="00703316">
      <w:pPr>
        <w:spacing w:line="480" w:lineRule="auto"/>
        <w:jc w:val="both"/>
      </w:pPr>
      <w:r w:rsidRPr="00A51779">
        <w:t xml:space="preserve">Fig. </w:t>
      </w:r>
      <w:r w:rsidR="0079599D">
        <w:t>10</w:t>
      </w:r>
      <w:r w:rsidR="00357E8D" w:rsidRPr="00A5177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HGB</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ridge</m:t>
            </m:r>
          </m:e>
        </m:d>
      </m:oMath>
      <w:r w:rsidR="00210F0B" w:rsidRPr="00A51779">
        <w:t xml:space="preserve"> </w:t>
      </w:r>
      <w:r w:rsidR="00357E8D" w:rsidRPr="00A51779">
        <w:t>versus forecast horizon: 45 individual state trajectories and the national bootstrap mean with 95% CI.</w:t>
      </w:r>
    </w:p>
    <w:p w14:paraId="79CC9E91" w14:textId="0EFE2F00" w:rsidR="00A347E1" w:rsidRPr="00A51779" w:rsidRDefault="001127A8" w:rsidP="00A347E1">
      <w:pPr>
        <w:spacing w:line="480" w:lineRule="auto"/>
        <w:jc w:val="both"/>
      </w:pPr>
      <w:r w:rsidRPr="00A51779">
        <w:t>Fig</w:t>
      </w:r>
      <w:r w:rsidR="00A347E1" w:rsidRPr="00A51779">
        <w:t xml:space="preserve">. </w:t>
      </w:r>
      <w:r w:rsidR="003901F5">
        <w:t>10</w:t>
      </w:r>
      <w:r w:rsidRPr="00A51779">
        <w:t xml:space="preserve"> shows this national mean alongside 45 individual state trajectories</w:t>
      </w:r>
      <w:r w:rsidR="00962E5B" w:rsidRPr="00A51779">
        <w:t xml:space="preserve">. </w:t>
      </w:r>
      <w:r w:rsidR="00A347E1" w:rsidRPr="00A51779">
        <w:t>The state-by-horizon heatmap in Fig. 1</w:t>
      </w:r>
      <w:r w:rsidR="003901F5">
        <w:t>1</w:t>
      </w:r>
      <w:r w:rsidR="00A347E1" w:rsidRPr="00A51779">
        <w:t xml:space="preserve"> displays the corresponding values for each state, revealing both the broad crossover and the few persistent exceptions.</w:t>
      </w:r>
    </w:p>
    <w:p w14:paraId="16F1C2F8" w14:textId="77777777" w:rsidR="001127A8" w:rsidRPr="00A51779" w:rsidRDefault="001127A8" w:rsidP="001127A8">
      <w:pPr>
        <w:spacing w:line="480" w:lineRule="auto"/>
        <w:jc w:val="both"/>
      </w:pPr>
    </w:p>
    <w:p w14:paraId="75A4DB24" w14:textId="28A21067" w:rsidR="00357E8D" w:rsidRPr="00A51779" w:rsidRDefault="00357E8D" w:rsidP="00703316">
      <w:pPr>
        <w:spacing w:before="160" w:line="480" w:lineRule="auto"/>
        <w:jc w:val="both"/>
      </w:pPr>
      <w:r w:rsidRPr="00A51779">
        <w:rPr>
          <w:noProof/>
        </w:rPr>
        <w:lastRenderedPageBreak/>
        <w:drawing>
          <wp:inline distT="0" distB="0" distL="0" distR="0" wp14:anchorId="4A348C3C" wp14:editId="5CF4B462">
            <wp:extent cx="4000500" cy="5905500"/>
            <wp:effectExtent l="0" t="0" r="0" b="0"/>
            <wp:docPr id="1271868003" name="Picture 127186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5905500"/>
                    </a:xfrm>
                    <a:prstGeom prst="rect">
                      <a:avLst/>
                    </a:prstGeom>
                  </pic:spPr>
                </pic:pic>
              </a:graphicData>
            </a:graphic>
          </wp:inline>
        </w:drawing>
      </w:r>
    </w:p>
    <w:p w14:paraId="09D29BD7" w14:textId="52FB54D4" w:rsidR="00A347E1" w:rsidRPr="00A51779" w:rsidRDefault="00A347E1" w:rsidP="00A347E1">
      <w:pPr>
        <w:spacing w:line="480" w:lineRule="auto"/>
        <w:jc w:val="both"/>
      </w:pPr>
      <w:r w:rsidRPr="00A51779">
        <w:t>Fig. 1</w:t>
      </w:r>
      <w:r w:rsidR="0079599D">
        <w:t>1</w:t>
      </w:r>
      <w:r w:rsidRPr="00A51779">
        <w:t>.</w:t>
      </w:r>
      <w:r w:rsidRPr="00A51779">
        <w:rPr>
          <w:b/>
          <w:bCs/>
        </w:rPr>
        <w:t xml:space="preserve"> </w:t>
      </w:r>
      <w:r w:rsidRPr="00A51779">
        <w:t>State-by-horizon heatmap of ΔR</w:t>
      </w:r>
      <w:r w:rsidRPr="00A51779">
        <w:rPr>
          <w:vertAlign w:val="superscript"/>
        </w:rPr>
        <w:t>2</w:t>
      </w:r>
      <w:r w:rsidRPr="00A51779">
        <w:t xml:space="preserve"> = R</w:t>
      </w:r>
      <w:r w:rsidRPr="00A51779">
        <w:rPr>
          <w:vertAlign w:val="superscript"/>
        </w:rPr>
        <w:t>2</w:t>
      </w:r>
      <w:r w:rsidRPr="00A51779">
        <w:t>(HGB) – R</w:t>
      </w:r>
      <w:r w:rsidRPr="00A51779">
        <w:rPr>
          <w:vertAlign w:val="superscript"/>
        </w:rPr>
        <w:t>2</w:t>
      </w:r>
      <w:r w:rsidRPr="00A51779">
        <w:t>(ridge), grouped by U.S. Census region. Positive values favor HGB; negative values favor ridge.</w:t>
      </w:r>
    </w:p>
    <w:p w14:paraId="2884BC83" w14:textId="51F877F4" w:rsidR="00B919ED" w:rsidRPr="00A51779" w:rsidRDefault="00B919ED" w:rsidP="00703316">
      <w:pPr>
        <w:spacing w:line="480" w:lineRule="auto"/>
        <w:jc w:val="both"/>
      </w:pPr>
      <w:r w:rsidRPr="00A51779">
        <w:t xml:space="preserve">The geographic representation in </w:t>
      </w:r>
      <w:r w:rsidR="00A347E1" w:rsidRPr="00A51779">
        <w:t>Fig. 1</w:t>
      </w:r>
      <w:r w:rsidR="003901F5">
        <w:t>2</w:t>
      </w:r>
      <w:r w:rsidRPr="00A51779">
        <w:t xml:space="preserve"> reinforces that the transition is distributed broadly rather than concentrated in a particular region. At one day, the map is predominantly ridge-favoring or close to neutral; by five, ten, and fourteen days, HGB-favoring values become progressively widespread. New Mexico remains the principal persistent exception.</w:t>
      </w:r>
    </w:p>
    <w:p w14:paraId="42D0FA7D" w14:textId="77777777" w:rsidR="00357E8D" w:rsidRPr="00A51779" w:rsidRDefault="00357E8D" w:rsidP="00703316">
      <w:pPr>
        <w:spacing w:before="160" w:line="480" w:lineRule="auto"/>
        <w:jc w:val="both"/>
      </w:pPr>
      <w:r w:rsidRPr="00A51779">
        <w:rPr>
          <w:noProof/>
        </w:rPr>
        <w:lastRenderedPageBreak/>
        <w:drawing>
          <wp:inline distT="0" distB="0" distL="0" distR="0" wp14:anchorId="2587EB93" wp14:editId="6A65390C">
            <wp:extent cx="5334000" cy="3695700"/>
            <wp:effectExtent l="0" t="0" r="0" b="0"/>
            <wp:docPr id="1249980852" name="Picture 124998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695700"/>
                    </a:xfrm>
                    <a:prstGeom prst="rect">
                      <a:avLst/>
                    </a:prstGeom>
                  </pic:spPr>
                </pic:pic>
              </a:graphicData>
            </a:graphic>
          </wp:inline>
        </w:drawing>
      </w:r>
    </w:p>
    <w:p w14:paraId="26DED3D7" w14:textId="7A1EBE01" w:rsidR="00A347E1" w:rsidRPr="00A51779" w:rsidRDefault="00357E8D" w:rsidP="00A347E1">
      <w:pPr>
        <w:spacing w:line="480" w:lineRule="auto"/>
        <w:jc w:val="both"/>
      </w:pPr>
      <w:r w:rsidRPr="00A51779">
        <w:t>Fig</w:t>
      </w:r>
      <w:r w:rsidR="00A347E1" w:rsidRPr="00A51779">
        <w:t>. 1</w:t>
      </w:r>
      <w:r w:rsidR="0079599D">
        <w:t>2</w:t>
      </w:r>
      <w:r w:rsidRPr="00A51779">
        <w:t>.</w:t>
      </w:r>
      <w:r w:rsidR="00A347E1" w:rsidRPr="00A51779">
        <w:t xml:space="preserve"> Geographic distribution of</w:t>
      </w:r>
      <w:r w:rsidRPr="00A5177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HGB</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ridge</m:t>
            </m:r>
          </m:e>
        </m:d>
      </m:oMath>
      <w:r w:rsidR="00A347E1" w:rsidRPr="00A51779">
        <w:t xml:space="preserve"> at 1-, 5-, 10-, and 14-day horizons, shown as U.S. tile-grid maps.</w:t>
      </w:r>
    </w:p>
    <w:p w14:paraId="5921904C" w14:textId="3DF62464" w:rsidR="00B919ED" w:rsidRPr="00A51779" w:rsidRDefault="00B919ED" w:rsidP="00A347E1">
      <w:pPr>
        <w:spacing w:line="480" w:lineRule="auto"/>
        <w:jc w:val="both"/>
      </w:pPr>
      <w:r w:rsidRPr="00A51779">
        <w:t>A descriptive crossover horizon was also estimated for each state by linearly interpolating between the tested horizons bracketing</w:t>
      </w:r>
      <w:r w:rsidR="00210F0B" w:rsidRPr="00A51779">
        <w:t>:</w:t>
      </w:r>
    </w:p>
    <w:p w14:paraId="77A9A63F" w14:textId="3EACC44E" w:rsidR="00B919ED" w:rsidRPr="00A51779" w:rsidRDefault="00B919ED" w:rsidP="00703316">
      <w:pPr>
        <w:spacing w:line="480" w:lineRule="auto"/>
        <w:jc w:val="both"/>
      </w:pPr>
      <m:oMathPara>
        <m:oMath>
          <m:r>
            <m:rPr>
              <m:sty m:val="p"/>
            </m:rPr>
            <w:rPr>
              <w:rFonts w:ascii="Cambria Math" w:hAnsi="Cambria Math"/>
            </w:rPr>
            <m:t>Δ</m:t>
          </m:r>
          <m:r>
            <w:rPr>
              <w:rFonts w:ascii="Cambria Math" w:hAnsi="Cambria Math"/>
            </w:rPr>
            <m:t>=0</m:t>
          </m:r>
        </m:oMath>
      </m:oMathPara>
    </w:p>
    <w:p w14:paraId="425BBBA4" w14:textId="7305EB51" w:rsidR="00B919ED" w:rsidRPr="00A51779" w:rsidRDefault="00B919ED" w:rsidP="00703316">
      <w:pPr>
        <w:spacing w:line="480" w:lineRule="auto"/>
        <w:jc w:val="both"/>
      </w:pPr>
      <w:r w:rsidRPr="00A51779">
        <w:t xml:space="preserve">This quantity should not be interpreted as a precisely identified physical threshold. Nine states were already marginally HGB-favored at the shortest tested horizon and are therefore left-censored at </w:t>
      </w:r>
      <m:oMath>
        <m:r>
          <w:rPr>
            <w:rFonts w:ascii="Cambria Math" w:hAnsi="Cambria Math"/>
          </w:rPr>
          <m:t>≤1</m:t>
        </m:r>
      </m:oMath>
      <w:r w:rsidR="00210F0B" w:rsidRPr="00A51779">
        <w:t xml:space="preserve"> </w:t>
      </w:r>
      <w:r w:rsidRPr="00A51779">
        <w:t>day rather than known to cross exactly at one day. New Mexico is right-censored beyond 14 days rather than demonstrated never to cross. Intermediate estimates also assume an approximately linear change between the discrete horizons tested.</w:t>
      </w:r>
    </w:p>
    <w:p w14:paraId="543A6D0D" w14:textId="5AF4FA3F" w:rsidR="00B919ED" w:rsidRPr="00A51779" w:rsidRDefault="00B919ED" w:rsidP="00703316">
      <w:pPr>
        <w:spacing w:line="480" w:lineRule="auto"/>
        <w:jc w:val="both"/>
      </w:pPr>
      <w:r w:rsidRPr="00A51779">
        <w:t>Subject to these limitations, a crossover was identified for 44 of the 45 states. The median estimated crossover was 1.8 days, with an IQR of 1.1</w:t>
      </w:r>
      <w:r w:rsidR="00210F0B" w:rsidRPr="00A51779">
        <w:t>-</w:t>
      </w:r>
      <w:r w:rsidRPr="00A51779">
        <w:t xml:space="preserve">3.2 days. Twenty-three states crossed within </w:t>
      </w:r>
      <w:r w:rsidRPr="00A51779">
        <w:lastRenderedPageBreak/>
        <w:t>two days, whereas seven</w:t>
      </w:r>
      <w:r w:rsidR="00210F0B" w:rsidRPr="00A51779">
        <w:t xml:space="preserve">, </w:t>
      </w:r>
      <w:r w:rsidRPr="00A51779">
        <w:t>Missouri, South Carolina, Michigan, Washington, Rhode Island, Florida, and Utah</w:t>
      </w:r>
      <w:r w:rsidR="00210F0B" w:rsidRPr="00A51779">
        <w:t xml:space="preserve">, </w:t>
      </w:r>
      <w:r w:rsidRPr="00A51779">
        <w:t>did not cross until beyond five days. Utah had the latest estimated transition at approximately 13.5 days. The substantial state-to-state variation suggests that local persistence characteristics may influence when additional nonlinear flexibility becomes useful, although a formal analysis of state-specific persistence timescales would be required to test that hypothesis directly.</w:t>
      </w:r>
    </w:p>
    <w:p w14:paraId="60B16839" w14:textId="77777777" w:rsidR="00357E8D" w:rsidRPr="00A51779" w:rsidRDefault="00357E8D" w:rsidP="00703316">
      <w:pPr>
        <w:spacing w:before="160" w:line="480" w:lineRule="auto"/>
        <w:jc w:val="both"/>
      </w:pPr>
      <w:r w:rsidRPr="00A51779">
        <w:rPr>
          <w:noProof/>
        </w:rPr>
        <w:drawing>
          <wp:inline distT="0" distB="0" distL="0" distR="0" wp14:anchorId="1CD47CE5" wp14:editId="1EC81CF5">
            <wp:extent cx="4572000" cy="3381375"/>
            <wp:effectExtent l="0" t="0" r="0" b="0"/>
            <wp:docPr id="1837885653" name="Picture 183788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381375"/>
                    </a:xfrm>
                    <a:prstGeom prst="rect">
                      <a:avLst/>
                    </a:prstGeom>
                  </pic:spPr>
                </pic:pic>
              </a:graphicData>
            </a:graphic>
          </wp:inline>
        </w:drawing>
      </w:r>
    </w:p>
    <w:p w14:paraId="607669D5" w14:textId="36DA20BD" w:rsidR="00B919ED" w:rsidRPr="00A51779" w:rsidRDefault="00B919ED" w:rsidP="00703316">
      <w:pPr>
        <w:spacing w:line="480" w:lineRule="auto"/>
        <w:jc w:val="both"/>
      </w:pPr>
      <w:r w:rsidRPr="00A51779">
        <w:t>Fig</w:t>
      </w:r>
      <w:r w:rsidR="005C7A6A" w:rsidRPr="00A51779">
        <w:t>. 1</w:t>
      </w:r>
      <w:r w:rsidR="0079599D">
        <w:t>3</w:t>
      </w:r>
      <w:r w:rsidRPr="00A51779">
        <w:t>. Descriptive estimated crossover horizon per state.</w:t>
      </w:r>
    </w:p>
    <w:p w14:paraId="39C6EF9D" w14:textId="46C5937D" w:rsidR="00B919ED" w:rsidRPr="00A51779" w:rsidRDefault="00B919ED" w:rsidP="00703316">
      <w:pPr>
        <w:spacing w:line="480" w:lineRule="auto"/>
        <w:jc w:val="both"/>
      </w:pPr>
      <w:r w:rsidRPr="00A51779">
        <w:t>The bootstrap national mean was supplemented with multiplicity correction across all 315 individual DM tests. Of these comparisons, 163 were nominally significant, 30 survived Holm correction, and 118 survived Benjamini</w:t>
      </w:r>
      <w:r w:rsidR="00210F0B" w:rsidRPr="00A51779">
        <w:t>-</w:t>
      </w:r>
      <w:r w:rsidRPr="00A51779">
        <w:t>Hochberg correction. Importantly, all 30 Holm-significant comparisons were directionally consistent with the overall horizon pattern.</w:t>
      </w:r>
    </w:p>
    <w:p w14:paraId="22196A2B" w14:textId="51BFE66A" w:rsidR="00E8745A" w:rsidRPr="00A51779" w:rsidRDefault="00E8745A" w:rsidP="00E8745A">
      <w:pPr>
        <w:spacing w:line="480" w:lineRule="auto"/>
        <w:jc w:val="both"/>
      </w:pPr>
      <w:r w:rsidRPr="00A51779">
        <w:t xml:space="preserve">The Holm-significant subset is single-direction at every horizon, but this does not carry over to the larger, less conservative BH-significant subset: at h=2, 3, 5, and 7 the BH-significant comparisons </w:t>
      </w:r>
      <w:r w:rsidRPr="00A51779">
        <w:lastRenderedPageBreak/>
        <w:t>include a mix of both directions (e.g. 5 ridge-favoring and 2 HGB-favoring at h=2), reflecting the region of the horizon curve where the national-mean CI is close to, or only just excluding, zero</w:t>
      </w:r>
      <w:r w:rsidR="00E332FE">
        <w:t xml:space="preserve">. </w:t>
      </w:r>
      <w:r w:rsidRPr="00A51779">
        <w:t xml:space="preserve">Only at h=1 and h≥10 is the BH-significant subset itself single-direction. </w:t>
      </w:r>
      <w:r w:rsidR="00004FA1" w:rsidRPr="00E332FE">
        <w:rPr>
          <w:lang w:val="en-US"/>
        </w:rPr>
        <w:t xml:space="preserve">Table 17 </w:t>
      </w:r>
      <w:r w:rsidRPr="00A51779">
        <w:t>reports the ridge/HGB split for both corrections directly.</w:t>
      </w:r>
    </w:p>
    <w:p w14:paraId="440AB987" w14:textId="002265D3" w:rsidR="00E8745A" w:rsidRPr="00A51779" w:rsidRDefault="00E8745A" w:rsidP="00E8745A">
      <w:pPr>
        <w:spacing w:line="480" w:lineRule="auto"/>
      </w:pPr>
      <w:r w:rsidRPr="004219A9">
        <w:t>Table 1</w:t>
      </w:r>
      <w:r w:rsidR="004219A9" w:rsidRPr="004219A9">
        <w:t>7</w:t>
      </w:r>
      <w:r w:rsidRPr="004219A9">
        <w:t>. Holm-</w:t>
      </w:r>
      <w:r w:rsidRPr="00A51779">
        <w:t xml:space="preserve"> and BH-corrected significance counts across the 315-test multihorizon family, by horizon and direction</w:t>
      </w:r>
      <w:r w:rsidRPr="00A51779">
        <w:rPr>
          <w:b/>
          <w:bCs/>
        </w:rPr>
        <w:t>.</w:t>
      </w:r>
    </w:p>
    <w:tbl>
      <w:tblPr>
        <w:tblStyle w:val="PlainTable2"/>
        <w:tblW w:w="9000" w:type="dxa"/>
        <w:tblLook w:val="0000" w:firstRow="0" w:lastRow="0" w:firstColumn="0" w:lastColumn="0" w:noHBand="0" w:noVBand="0"/>
      </w:tblPr>
      <w:tblGrid>
        <w:gridCol w:w="1900"/>
        <w:gridCol w:w="1900"/>
        <w:gridCol w:w="2600"/>
        <w:gridCol w:w="2600"/>
      </w:tblGrid>
      <w:tr w:rsidR="00E8745A" w:rsidRPr="00A51779" w14:paraId="2C314E23"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A7C5BF0" w14:textId="77777777" w:rsidR="00E8745A" w:rsidRPr="00A51779" w:rsidRDefault="00E8745A" w:rsidP="00E8745A">
            <w:pPr>
              <w:spacing w:line="480" w:lineRule="auto"/>
              <w:jc w:val="center"/>
            </w:pPr>
            <w:r w:rsidRPr="00A51779">
              <w:rPr>
                <w:b/>
                <w:bCs/>
              </w:rPr>
              <w:t>Horizon (days)</w:t>
            </w:r>
          </w:p>
        </w:tc>
        <w:tc>
          <w:tcPr>
            <w:cnfStyle w:val="000001000000" w:firstRow="0" w:lastRow="0" w:firstColumn="0" w:lastColumn="0" w:oddVBand="0" w:evenVBand="1" w:oddHBand="0" w:evenHBand="0" w:firstRowFirstColumn="0" w:firstRowLastColumn="0" w:lastRowFirstColumn="0" w:lastRowLastColumn="0"/>
            <w:tcW w:w="1900" w:type="dxa"/>
          </w:tcPr>
          <w:p w14:paraId="3FDFF59B" w14:textId="77777777" w:rsidR="00E8745A" w:rsidRPr="00A51779" w:rsidRDefault="00E8745A" w:rsidP="00E8745A">
            <w:pPr>
              <w:spacing w:line="480" w:lineRule="auto"/>
              <w:jc w:val="center"/>
            </w:pPr>
            <w:r w:rsidRPr="00A51779">
              <w:rPr>
                <w:b/>
                <w:bCs/>
              </w:rPr>
              <w:t>Nominal p&lt;0.05</w:t>
            </w:r>
          </w:p>
        </w:tc>
        <w:tc>
          <w:tcPr>
            <w:cnfStyle w:val="000010000000" w:firstRow="0" w:lastRow="0" w:firstColumn="0" w:lastColumn="0" w:oddVBand="1" w:evenVBand="0" w:oddHBand="0" w:evenHBand="0" w:firstRowFirstColumn="0" w:firstRowLastColumn="0" w:lastRowFirstColumn="0" w:lastRowLastColumn="0"/>
            <w:tcW w:w="2600" w:type="dxa"/>
          </w:tcPr>
          <w:p w14:paraId="0DDE18F9" w14:textId="77777777" w:rsidR="00E8745A" w:rsidRPr="00A51779" w:rsidRDefault="00E8745A" w:rsidP="00E8745A">
            <w:pPr>
              <w:spacing w:line="480" w:lineRule="auto"/>
              <w:jc w:val="center"/>
            </w:pPr>
            <w:r w:rsidRPr="00A51779">
              <w:rPr>
                <w:b/>
                <w:bCs/>
              </w:rPr>
              <w:t>Holm-sig. (ridge/HGB)</w:t>
            </w:r>
          </w:p>
        </w:tc>
        <w:tc>
          <w:tcPr>
            <w:cnfStyle w:val="000001000000" w:firstRow="0" w:lastRow="0" w:firstColumn="0" w:lastColumn="0" w:oddVBand="0" w:evenVBand="1" w:oddHBand="0" w:evenHBand="0" w:firstRowFirstColumn="0" w:firstRowLastColumn="0" w:lastRowFirstColumn="0" w:lastRowLastColumn="0"/>
            <w:tcW w:w="2600" w:type="dxa"/>
          </w:tcPr>
          <w:p w14:paraId="1C70BDE2" w14:textId="77777777" w:rsidR="00E8745A" w:rsidRPr="00A51779" w:rsidRDefault="00E8745A" w:rsidP="00E8745A">
            <w:pPr>
              <w:spacing w:line="480" w:lineRule="auto"/>
              <w:jc w:val="center"/>
            </w:pPr>
            <w:r w:rsidRPr="00A51779">
              <w:rPr>
                <w:b/>
                <w:bCs/>
              </w:rPr>
              <w:t>BH-sig. (ridge/HGB)</w:t>
            </w:r>
          </w:p>
        </w:tc>
      </w:tr>
      <w:tr w:rsidR="00E8745A" w:rsidRPr="00A51779" w14:paraId="22CE169A"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7A8F4FAE" w14:textId="77777777" w:rsidR="00E8745A" w:rsidRPr="00A51779" w:rsidRDefault="00E8745A" w:rsidP="00E8745A">
            <w:pPr>
              <w:spacing w:line="480" w:lineRule="auto"/>
            </w:pPr>
            <w:r w:rsidRPr="00A51779">
              <w:t>1</w:t>
            </w:r>
          </w:p>
        </w:tc>
        <w:tc>
          <w:tcPr>
            <w:cnfStyle w:val="000001000000" w:firstRow="0" w:lastRow="0" w:firstColumn="0" w:lastColumn="0" w:oddVBand="0" w:evenVBand="1" w:oddHBand="0" w:evenHBand="0" w:firstRowFirstColumn="0" w:firstRowLastColumn="0" w:lastRowFirstColumn="0" w:lastRowLastColumn="0"/>
            <w:tcW w:w="1900" w:type="dxa"/>
          </w:tcPr>
          <w:p w14:paraId="66F0C48A" w14:textId="77777777" w:rsidR="00E8745A" w:rsidRPr="00A51779" w:rsidRDefault="00E8745A" w:rsidP="00E8745A">
            <w:pPr>
              <w:spacing w:line="480" w:lineRule="auto"/>
              <w:jc w:val="center"/>
            </w:pPr>
            <w:r w:rsidRPr="00A51779">
              <w:t>21</w:t>
            </w:r>
          </w:p>
        </w:tc>
        <w:tc>
          <w:tcPr>
            <w:cnfStyle w:val="000010000000" w:firstRow="0" w:lastRow="0" w:firstColumn="0" w:lastColumn="0" w:oddVBand="1" w:evenVBand="0" w:oddHBand="0" w:evenHBand="0" w:firstRowFirstColumn="0" w:firstRowLastColumn="0" w:lastRowFirstColumn="0" w:lastRowLastColumn="0"/>
            <w:tcW w:w="2600" w:type="dxa"/>
          </w:tcPr>
          <w:p w14:paraId="3DB0C56A" w14:textId="77777777" w:rsidR="00E8745A" w:rsidRPr="00A51779" w:rsidRDefault="00E8745A" w:rsidP="00E8745A">
            <w:pPr>
              <w:spacing w:line="480" w:lineRule="auto"/>
              <w:jc w:val="center"/>
            </w:pPr>
            <w:r w:rsidRPr="00A51779">
              <w:t>5 (5/0)</w:t>
            </w:r>
          </w:p>
        </w:tc>
        <w:tc>
          <w:tcPr>
            <w:cnfStyle w:val="000001000000" w:firstRow="0" w:lastRow="0" w:firstColumn="0" w:lastColumn="0" w:oddVBand="0" w:evenVBand="1" w:oddHBand="0" w:evenHBand="0" w:firstRowFirstColumn="0" w:firstRowLastColumn="0" w:lastRowFirstColumn="0" w:lastRowLastColumn="0"/>
            <w:tcW w:w="2600" w:type="dxa"/>
          </w:tcPr>
          <w:p w14:paraId="419240D6" w14:textId="77777777" w:rsidR="00E8745A" w:rsidRPr="00A51779" w:rsidRDefault="00E8745A" w:rsidP="00E8745A">
            <w:pPr>
              <w:spacing w:line="480" w:lineRule="auto"/>
              <w:jc w:val="center"/>
            </w:pPr>
            <w:r w:rsidRPr="00A51779">
              <w:t>11 (11/0)</w:t>
            </w:r>
          </w:p>
        </w:tc>
      </w:tr>
      <w:tr w:rsidR="00E8745A" w:rsidRPr="00A51779" w14:paraId="42A88C25"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745E903" w14:textId="77777777" w:rsidR="00E8745A" w:rsidRPr="00A51779" w:rsidRDefault="00E8745A" w:rsidP="00E8745A">
            <w:pPr>
              <w:spacing w:line="480" w:lineRule="auto"/>
            </w:pPr>
            <w:r w:rsidRPr="00A51779">
              <w:t>2</w:t>
            </w:r>
          </w:p>
        </w:tc>
        <w:tc>
          <w:tcPr>
            <w:cnfStyle w:val="000001000000" w:firstRow="0" w:lastRow="0" w:firstColumn="0" w:lastColumn="0" w:oddVBand="0" w:evenVBand="1" w:oddHBand="0" w:evenHBand="0" w:firstRowFirstColumn="0" w:firstRowLastColumn="0" w:lastRowFirstColumn="0" w:lastRowLastColumn="0"/>
            <w:tcW w:w="1900" w:type="dxa"/>
          </w:tcPr>
          <w:p w14:paraId="3008F47A" w14:textId="77777777" w:rsidR="00E8745A" w:rsidRPr="00A51779" w:rsidRDefault="00E8745A" w:rsidP="00E8745A">
            <w:pPr>
              <w:spacing w:line="480" w:lineRule="auto"/>
              <w:jc w:val="center"/>
            </w:pPr>
            <w:r w:rsidRPr="00A51779">
              <w:t>10</w:t>
            </w:r>
          </w:p>
        </w:tc>
        <w:tc>
          <w:tcPr>
            <w:cnfStyle w:val="000010000000" w:firstRow="0" w:lastRow="0" w:firstColumn="0" w:lastColumn="0" w:oddVBand="1" w:evenVBand="0" w:oddHBand="0" w:evenHBand="0" w:firstRowFirstColumn="0" w:firstRowLastColumn="0" w:lastRowFirstColumn="0" w:lastRowLastColumn="0"/>
            <w:tcW w:w="2600" w:type="dxa"/>
          </w:tcPr>
          <w:p w14:paraId="6297C4BC" w14:textId="77777777" w:rsidR="00E8745A" w:rsidRPr="00A51779" w:rsidRDefault="00E8745A" w:rsidP="00E8745A">
            <w:pPr>
              <w:spacing w:line="480" w:lineRule="auto"/>
              <w:jc w:val="center"/>
            </w:pPr>
            <w:r w:rsidRPr="00A51779">
              <w:t>1 (0/1)</w:t>
            </w:r>
          </w:p>
        </w:tc>
        <w:tc>
          <w:tcPr>
            <w:cnfStyle w:val="000001000000" w:firstRow="0" w:lastRow="0" w:firstColumn="0" w:lastColumn="0" w:oddVBand="0" w:evenVBand="1" w:oddHBand="0" w:evenHBand="0" w:firstRowFirstColumn="0" w:firstRowLastColumn="0" w:lastRowFirstColumn="0" w:lastRowLastColumn="0"/>
            <w:tcW w:w="2600" w:type="dxa"/>
          </w:tcPr>
          <w:p w14:paraId="73634705" w14:textId="77777777" w:rsidR="00E8745A" w:rsidRPr="00A51779" w:rsidRDefault="00E8745A" w:rsidP="00E8745A">
            <w:pPr>
              <w:spacing w:line="480" w:lineRule="auto"/>
              <w:jc w:val="center"/>
            </w:pPr>
            <w:r w:rsidRPr="00A51779">
              <w:t>7 (5/2)</w:t>
            </w:r>
          </w:p>
        </w:tc>
      </w:tr>
      <w:tr w:rsidR="00E8745A" w:rsidRPr="00A51779" w14:paraId="59E0403B"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57152E8C" w14:textId="77777777" w:rsidR="00E8745A" w:rsidRPr="00A51779" w:rsidRDefault="00E8745A" w:rsidP="00E8745A">
            <w:pPr>
              <w:spacing w:line="480" w:lineRule="auto"/>
            </w:pPr>
            <w:r w:rsidRPr="00A51779">
              <w:t>3</w:t>
            </w:r>
          </w:p>
        </w:tc>
        <w:tc>
          <w:tcPr>
            <w:cnfStyle w:val="000001000000" w:firstRow="0" w:lastRow="0" w:firstColumn="0" w:lastColumn="0" w:oddVBand="0" w:evenVBand="1" w:oddHBand="0" w:evenHBand="0" w:firstRowFirstColumn="0" w:firstRowLastColumn="0" w:lastRowFirstColumn="0" w:lastRowLastColumn="0"/>
            <w:tcW w:w="1900" w:type="dxa"/>
          </w:tcPr>
          <w:p w14:paraId="62A79928" w14:textId="77777777" w:rsidR="00E8745A" w:rsidRPr="00A51779" w:rsidRDefault="00E8745A" w:rsidP="00E8745A">
            <w:pPr>
              <w:spacing w:line="480" w:lineRule="auto"/>
              <w:jc w:val="center"/>
            </w:pPr>
            <w:r w:rsidRPr="00A51779">
              <w:t>11</w:t>
            </w:r>
          </w:p>
        </w:tc>
        <w:tc>
          <w:tcPr>
            <w:cnfStyle w:val="000010000000" w:firstRow="0" w:lastRow="0" w:firstColumn="0" w:lastColumn="0" w:oddVBand="1" w:evenVBand="0" w:oddHBand="0" w:evenHBand="0" w:firstRowFirstColumn="0" w:firstRowLastColumn="0" w:lastRowFirstColumn="0" w:lastRowLastColumn="0"/>
            <w:tcW w:w="2600" w:type="dxa"/>
          </w:tcPr>
          <w:p w14:paraId="52AB8DBD" w14:textId="77777777" w:rsidR="00E8745A" w:rsidRPr="00A51779" w:rsidRDefault="00E8745A" w:rsidP="00E8745A">
            <w:pPr>
              <w:spacing w:line="480" w:lineRule="auto"/>
              <w:jc w:val="center"/>
            </w:pPr>
            <w:r w:rsidRPr="00A51779">
              <w:t>1 (0/1)</w:t>
            </w:r>
          </w:p>
        </w:tc>
        <w:tc>
          <w:tcPr>
            <w:cnfStyle w:val="000001000000" w:firstRow="0" w:lastRow="0" w:firstColumn="0" w:lastColumn="0" w:oddVBand="0" w:evenVBand="1" w:oddHBand="0" w:evenHBand="0" w:firstRowFirstColumn="0" w:firstRowLastColumn="0" w:lastRowFirstColumn="0" w:lastRowLastColumn="0"/>
            <w:tcW w:w="2600" w:type="dxa"/>
          </w:tcPr>
          <w:p w14:paraId="1A696F51" w14:textId="77777777" w:rsidR="00E8745A" w:rsidRPr="00A51779" w:rsidRDefault="00E8745A" w:rsidP="00E8745A">
            <w:pPr>
              <w:spacing w:line="480" w:lineRule="auto"/>
              <w:jc w:val="center"/>
            </w:pPr>
            <w:r w:rsidRPr="00A51779">
              <w:t>8 (3/5)</w:t>
            </w:r>
          </w:p>
        </w:tc>
      </w:tr>
      <w:tr w:rsidR="00E8745A" w:rsidRPr="00A51779" w14:paraId="19B4460F"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0B0CEE0E" w14:textId="77777777" w:rsidR="00E8745A" w:rsidRPr="00A51779" w:rsidRDefault="00E8745A" w:rsidP="00E8745A">
            <w:pPr>
              <w:spacing w:line="480" w:lineRule="auto"/>
            </w:pPr>
            <w:r w:rsidRPr="00A51779">
              <w:t>5</w:t>
            </w:r>
          </w:p>
        </w:tc>
        <w:tc>
          <w:tcPr>
            <w:cnfStyle w:val="000001000000" w:firstRow="0" w:lastRow="0" w:firstColumn="0" w:lastColumn="0" w:oddVBand="0" w:evenVBand="1" w:oddHBand="0" w:evenHBand="0" w:firstRowFirstColumn="0" w:firstRowLastColumn="0" w:lastRowFirstColumn="0" w:lastRowLastColumn="0"/>
            <w:tcW w:w="1900" w:type="dxa"/>
          </w:tcPr>
          <w:p w14:paraId="0A1541AB" w14:textId="77777777" w:rsidR="00E8745A" w:rsidRPr="00A51779" w:rsidRDefault="00E8745A" w:rsidP="00E8745A">
            <w:pPr>
              <w:spacing w:line="480" w:lineRule="auto"/>
              <w:jc w:val="center"/>
            </w:pPr>
            <w:r w:rsidRPr="00A51779">
              <w:t>19</w:t>
            </w:r>
          </w:p>
        </w:tc>
        <w:tc>
          <w:tcPr>
            <w:cnfStyle w:val="000010000000" w:firstRow="0" w:lastRow="0" w:firstColumn="0" w:lastColumn="0" w:oddVBand="1" w:evenVBand="0" w:oddHBand="0" w:evenHBand="0" w:firstRowFirstColumn="0" w:firstRowLastColumn="0" w:lastRowFirstColumn="0" w:lastRowLastColumn="0"/>
            <w:tcW w:w="2600" w:type="dxa"/>
          </w:tcPr>
          <w:p w14:paraId="6C84E189" w14:textId="77777777" w:rsidR="00E8745A" w:rsidRPr="00A51779" w:rsidRDefault="00E8745A" w:rsidP="00E8745A">
            <w:pPr>
              <w:spacing w:line="480" w:lineRule="auto"/>
              <w:jc w:val="center"/>
            </w:pPr>
            <w:r w:rsidRPr="00A51779">
              <w:t>2 (0/2)</w:t>
            </w:r>
          </w:p>
        </w:tc>
        <w:tc>
          <w:tcPr>
            <w:cnfStyle w:val="000001000000" w:firstRow="0" w:lastRow="0" w:firstColumn="0" w:lastColumn="0" w:oddVBand="0" w:evenVBand="1" w:oddHBand="0" w:evenHBand="0" w:firstRowFirstColumn="0" w:firstRowLastColumn="0" w:lastRowFirstColumn="0" w:lastRowLastColumn="0"/>
            <w:tcW w:w="2600" w:type="dxa"/>
          </w:tcPr>
          <w:p w14:paraId="40CD2940" w14:textId="77777777" w:rsidR="00E8745A" w:rsidRPr="00A51779" w:rsidRDefault="00E8745A" w:rsidP="00E8745A">
            <w:pPr>
              <w:spacing w:line="480" w:lineRule="auto"/>
              <w:jc w:val="center"/>
            </w:pPr>
            <w:r w:rsidRPr="00A51779">
              <w:t>14 (2/12)</w:t>
            </w:r>
          </w:p>
        </w:tc>
      </w:tr>
      <w:tr w:rsidR="00E8745A" w:rsidRPr="00A51779" w14:paraId="6DAE9E51"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33F05DB4" w14:textId="77777777" w:rsidR="00E8745A" w:rsidRPr="00A51779" w:rsidRDefault="00E8745A" w:rsidP="00E8745A">
            <w:pPr>
              <w:spacing w:line="480" w:lineRule="auto"/>
            </w:pPr>
            <w:r w:rsidRPr="00A51779">
              <w:t>7</w:t>
            </w:r>
          </w:p>
        </w:tc>
        <w:tc>
          <w:tcPr>
            <w:cnfStyle w:val="000001000000" w:firstRow="0" w:lastRow="0" w:firstColumn="0" w:lastColumn="0" w:oddVBand="0" w:evenVBand="1" w:oddHBand="0" w:evenHBand="0" w:firstRowFirstColumn="0" w:firstRowLastColumn="0" w:lastRowFirstColumn="0" w:lastRowLastColumn="0"/>
            <w:tcW w:w="1900" w:type="dxa"/>
          </w:tcPr>
          <w:p w14:paraId="27479B55" w14:textId="77777777" w:rsidR="00E8745A" w:rsidRPr="00A51779" w:rsidRDefault="00E8745A" w:rsidP="00E8745A">
            <w:pPr>
              <w:spacing w:line="480" w:lineRule="auto"/>
              <w:jc w:val="center"/>
            </w:pPr>
            <w:r w:rsidRPr="00A51779">
              <w:t>28</w:t>
            </w:r>
          </w:p>
        </w:tc>
        <w:tc>
          <w:tcPr>
            <w:cnfStyle w:val="000010000000" w:firstRow="0" w:lastRow="0" w:firstColumn="0" w:lastColumn="0" w:oddVBand="1" w:evenVBand="0" w:oddHBand="0" w:evenHBand="0" w:firstRowFirstColumn="0" w:firstRowLastColumn="0" w:lastRowFirstColumn="0" w:lastRowLastColumn="0"/>
            <w:tcW w:w="2600" w:type="dxa"/>
          </w:tcPr>
          <w:p w14:paraId="011ED6A9" w14:textId="77777777" w:rsidR="00E8745A" w:rsidRPr="00A51779" w:rsidRDefault="00E8745A" w:rsidP="00E8745A">
            <w:pPr>
              <w:spacing w:line="480" w:lineRule="auto"/>
              <w:jc w:val="center"/>
            </w:pPr>
            <w:r w:rsidRPr="00A51779">
              <w:t>3 (0/3)</w:t>
            </w:r>
          </w:p>
        </w:tc>
        <w:tc>
          <w:tcPr>
            <w:cnfStyle w:val="000001000000" w:firstRow="0" w:lastRow="0" w:firstColumn="0" w:lastColumn="0" w:oddVBand="0" w:evenVBand="1" w:oddHBand="0" w:evenHBand="0" w:firstRowFirstColumn="0" w:firstRowLastColumn="0" w:lastRowFirstColumn="0" w:lastRowLastColumn="0"/>
            <w:tcW w:w="2600" w:type="dxa"/>
          </w:tcPr>
          <w:p w14:paraId="171DCF83" w14:textId="77777777" w:rsidR="00E8745A" w:rsidRPr="00A51779" w:rsidRDefault="00E8745A" w:rsidP="00E8745A">
            <w:pPr>
              <w:spacing w:line="480" w:lineRule="auto"/>
              <w:jc w:val="center"/>
            </w:pPr>
            <w:r w:rsidRPr="00A51779">
              <w:t>17 (1/16)</w:t>
            </w:r>
          </w:p>
        </w:tc>
      </w:tr>
      <w:tr w:rsidR="00E8745A" w:rsidRPr="00A51779" w14:paraId="16D90300"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EFC8AF0" w14:textId="77777777" w:rsidR="00E8745A" w:rsidRPr="00A51779" w:rsidRDefault="00E8745A" w:rsidP="00E8745A">
            <w:pPr>
              <w:spacing w:line="480" w:lineRule="auto"/>
            </w:pPr>
            <w:r w:rsidRPr="00A51779">
              <w:t>10</w:t>
            </w:r>
          </w:p>
        </w:tc>
        <w:tc>
          <w:tcPr>
            <w:cnfStyle w:val="000001000000" w:firstRow="0" w:lastRow="0" w:firstColumn="0" w:lastColumn="0" w:oddVBand="0" w:evenVBand="1" w:oddHBand="0" w:evenHBand="0" w:firstRowFirstColumn="0" w:firstRowLastColumn="0" w:lastRowFirstColumn="0" w:lastRowLastColumn="0"/>
            <w:tcW w:w="1900" w:type="dxa"/>
          </w:tcPr>
          <w:p w14:paraId="196B04DD" w14:textId="77777777" w:rsidR="00E8745A" w:rsidRPr="00A51779" w:rsidRDefault="00E8745A" w:rsidP="00E8745A">
            <w:pPr>
              <w:spacing w:line="480" w:lineRule="auto"/>
              <w:jc w:val="center"/>
            </w:pPr>
            <w:r w:rsidRPr="00A51779">
              <w:t>37</w:t>
            </w:r>
          </w:p>
        </w:tc>
        <w:tc>
          <w:tcPr>
            <w:cnfStyle w:val="000010000000" w:firstRow="0" w:lastRow="0" w:firstColumn="0" w:lastColumn="0" w:oddVBand="1" w:evenVBand="0" w:oddHBand="0" w:evenHBand="0" w:firstRowFirstColumn="0" w:firstRowLastColumn="0" w:lastRowFirstColumn="0" w:lastRowLastColumn="0"/>
            <w:tcW w:w="2600" w:type="dxa"/>
          </w:tcPr>
          <w:p w14:paraId="39A64670" w14:textId="77777777" w:rsidR="00E8745A" w:rsidRPr="00A51779" w:rsidRDefault="00E8745A" w:rsidP="00E8745A">
            <w:pPr>
              <w:spacing w:line="480" w:lineRule="auto"/>
              <w:jc w:val="center"/>
            </w:pPr>
            <w:r w:rsidRPr="00A51779">
              <w:t>8 (0/8)</w:t>
            </w:r>
          </w:p>
        </w:tc>
        <w:tc>
          <w:tcPr>
            <w:cnfStyle w:val="000001000000" w:firstRow="0" w:lastRow="0" w:firstColumn="0" w:lastColumn="0" w:oddVBand="0" w:evenVBand="1" w:oddHBand="0" w:evenHBand="0" w:firstRowFirstColumn="0" w:firstRowLastColumn="0" w:lastRowFirstColumn="0" w:lastRowLastColumn="0"/>
            <w:tcW w:w="2600" w:type="dxa"/>
          </w:tcPr>
          <w:p w14:paraId="3AE8FA59" w14:textId="77777777" w:rsidR="00E8745A" w:rsidRPr="00A51779" w:rsidRDefault="00E8745A" w:rsidP="00E8745A">
            <w:pPr>
              <w:spacing w:line="480" w:lineRule="auto"/>
              <w:jc w:val="center"/>
            </w:pPr>
            <w:r w:rsidRPr="00A51779">
              <w:t>31 (0/31)</w:t>
            </w:r>
          </w:p>
        </w:tc>
      </w:tr>
      <w:tr w:rsidR="00E8745A" w:rsidRPr="00A51779" w14:paraId="242827B6"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1E54C23C" w14:textId="77777777" w:rsidR="00E8745A" w:rsidRPr="00A51779" w:rsidRDefault="00E8745A" w:rsidP="00E8745A">
            <w:pPr>
              <w:spacing w:line="480" w:lineRule="auto"/>
            </w:pPr>
            <w:r w:rsidRPr="00A51779">
              <w:t>14</w:t>
            </w:r>
          </w:p>
        </w:tc>
        <w:tc>
          <w:tcPr>
            <w:cnfStyle w:val="000001000000" w:firstRow="0" w:lastRow="0" w:firstColumn="0" w:lastColumn="0" w:oddVBand="0" w:evenVBand="1" w:oddHBand="0" w:evenHBand="0" w:firstRowFirstColumn="0" w:firstRowLastColumn="0" w:lastRowFirstColumn="0" w:lastRowLastColumn="0"/>
            <w:tcW w:w="1900" w:type="dxa"/>
          </w:tcPr>
          <w:p w14:paraId="34AC4A38" w14:textId="77777777" w:rsidR="00E8745A" w:rsidRPr="00A51779" w:rsidRDefault="00E8745A" w:rsidP="00E8745A">
            <w:pPr>
              <w:spacing w:line="480" w:lineRule="auto"/>
              <w:jc w:val="center"/>
            </w:pPr>
            <w:r w:rsidRPr="00A51779">
              <w:t>37</w:t>
            </w:r>
          </w:p>
        </w:tc>
        <w:tc>
          <w:tcPr>
            <w:cnfStyle w:val="000010000000" w:firstRow="0" w:lastRow="0" w:firstColumn="0" w:lastColumn="0" w:oddVBand="1" w:evenVBand="0" w:oddHBand="0" w:evenHBand="0" w:firstRowFirstColumn="0" w:firstRowLastColumn="0" w:lastRowFirstColumn="0" w:lastRowLastColumn="0"/>
            <w:tcW w:w="2600" w:type="dxa"/>
          </w:tcPr>
          <w:p w14:paraId="50A818B0" w14:textId="77777777" w:rsidR="00E8745A" w:rsidRPr="00A51779" w:rsidRDefault="00E8745A" w:rsidP="00E8745A">
            <w:pPr>
              <w:spacing w:line="480" w:lineRule="auto"/>
              <w:jc w:val="center"/>
            </w:pPr>
            <w:r w:rsidRPr="00A51779">
              <w:t>10 (0/10)</w:t>
            </w:r>
          </w:p>
        </w:tc>
        <w:tc>
          <w:tcPr>
            <w:cnfStyle w:val="000001000000" w:firstRow="0" w:lastRow="0" w:firstColumn="0" w:lastColumn="0" w:oddVBand="0" w:evenVBand="1" w:oddHBand="0" w:evenHBand="0" w:firstRowFirstColumn="0" w:firstRowLastColumn="0" w:lastRowFirstColumn="0" w:lastRowLastColumn="0"/>
            <w:tcW w:w="2600" w:type="dxa"/>
          </w:tcPr>
          <w:p w14:paraId="5BC809AD" w14:textId="77777777" w:rsidR="00E8745A" w:rsidRPr="00A51779" w:rsidRDefault="00E8745A" w:rsidP="00E8745A">
            <w:pPr>
              <w:spacing w:line="480" w:lineRule="auto"/>
              <w:jc w:val="center"/>
            </w:pPr>
            <w:r w:rsidRPr="00A51779">
              <w:t>30 (0/30)</w:t>
            </w:r>
          </w:p>
        </w:tc>
      </w:tr>
    </w:tbl>
    <w:p w14:paraId="3434E6DC" w14:textId="77777777" w:rsidR="005448CD" w:rsidRPr="00A51779" w:rsidRDefault="005448CD" w:rsidP="00703316">
      <w:pPr>
        <w:spacing w:line="480" w:lineRule="auto"/>
        <w:jc w:val="both"/>
        <w:rPr>
          <w:i/>
          <w:iCs/>
        </w:rPr>
      </w:pPr>
    </w:p>
    <w:p w14:paraId="535E6AE4" w14:textId="002F5DFA" w:rsidR="00B919ED" w:rsidRPr="00A51779" w:rsidRDefault="00B919ED" w:rsidP="00703316">
      <w:pPr>
        <w:spacing w:line="480" w:lineRule="auto"/>
        <w:jc w:val="both"/>
      </w:pPr>
      <w:r w:rsidRPr="00A51779">
        <w:t>The five Holm-significant ridge-favoring comparisons occur exclusively at the one-day horizon. All remaining Holm-significant comparisons favor HGB, including one at two days, one at three days, two at five days, and 21 at horizons of seven days or longer. The individual state-level inferential evidence therefore becomes increasingly HGB-favoring as the horizon increases, consistent with the national mean trajectory.</w:t>
      </w:r>
    </w:p>
    <w:p w14:paraId="6837834B" w14:textId="77777777" w:rsidR="00B919ED" w:rsidRPr="00A51779" w:rsidRDefault="00B919ED" w:rsidP="00703316">
      <w:pPr>
        <w:spacing w:line="480" w:lineRule="auto"/>
        <w:jc w:val="both"/>
      </w:pPr>
      <w:r w:rsidRPr="00A51779">
        <w:t xml:space="preserve">The multihorizon analysis establishes that the one-versus-seven-day reversal is not an artifact of selecting two isolated endpoints. Instead, relative model performance changes continuously with </w:t>
      </w:r>
      <w:r w:rsidRPr="00A51779">
        <w:lastRenderedPageBreak/>
        <w:t>horizon, with a narrow region of approximate equivalence around two to three days and an increasingly pronounced HGB advantage thereafter.</w:t>
      </w:r>
    </w:p>
    <w:p w14:paraId="1CA45916" w14:textId="77777777" w:rsidR="00336CF0" w:rsidRPr="00A51779" w:rsidRDefault="00336CF0" w:rsidP="00703316">
      <w:pPr>
        <w:spacing w:line="480" w:lineRule="auto"/>
        <w:jc w:val="both"/>
      </w:pPr>
    </w:p>
    <w:p w14:paraId="34B4C59D" w14:textId="77777777" w:rsidR="00B919ED" w:rsidRPr="00A51779" w:rsidRDefault="00B919ED" w:rsidP="00703316">
      <w:pPr>
        <w:spacing w:line="480" w:lineRule="auto"/>
        <w:jc w:val="both"/>
        <w:outlineLvl w:val="1"/>
        <w:rPr>
          <w:b/>
          <w:bCs/>
        </w:rPr>
      </w:pPr>
      <w:r w:rsidRPr="00A51779">
        <w:rPr>
          <w:b/>
          <w:bCs/>
        </w:rPr>
        <w:t>3.6 Persistence decay and cluster-robust inference</w:t>
      </w:r>
    </w:p>
    <w:p w14:paraId="160DEB0F" w14:textId="6740A228" w:rsidR="00B919ED" w:rsidRPr="00A51779" w:rsidRDefault="00B919ED" w:rsidP="00703316">
      <w:pPr>
        <w:spacing w:line="480" w:lineRule="auto"/>
        <w:jc w:val="both"/>
      </w:pPr>
      <w:r w:rsidRPr="00A51779">
        <w:t xml:space="preserve">The shape of the crossover is consistent with a specific </w:t>
      </w:r>
      <w:r w:rsidR="00357B6B" w:rsidRPr="00A51779">
        <w:t xml:space="preserve">statistical </w:t>
      </w:r>
      <w:r w:rsidRPr="00A51779">
        <w:t>mechanism: progressive decay of autoregressive persistence. At short horizons, a large fraction of forecastable structure is already contained in the most recent emissions observations, allowing a regularized linear model to exploit that persistence efficiently. As the horizon increases, the predictive value of current emissions weakens, potentially increasing the contribution of nonlinear relationships among the remaining predictors.</w:t>
      </w:r>
    </w:p>
    <w:p w14:paraId="2EFF5BD1" w14:textId="12E1D064" w:rsidR="00B919ED" w:rsidRPr="00A51779" w:rsidRDefault="00B919ED" w:rsidP="00703316">
      <w:pPr>
        <w:spacing w:line="480" w:lineRule="auto"/>
        <w:jc w:val="both"/>
      </w:pPr>
      <w:r w:rsidRPr="00A51779">
        <w:t xml:space="preserve">Median persistence </w:t>
      </w:r>
      <w:r w:rsidR="00210F0B" w:rsidRPr="00A51779">
        <w:t>R</w:t>
      </w:r>
      <w:r w:rsidR="00210F0B" w:rsidRPr="00A51779">
        <w:rPr>
          <w:vertAlign w:val="superscript"/>
        </w:rPr>
        <w:t>2</w:t>
      </w:r>
      <w:r w:rsidR="00210F0B" w:rsidRPr="00A51779">
        <w:t xml:space="preserve"> </w:t>
      </w:r>
      <w:r w:rsidRPr="00A51779">
        <w:t>across the 45 states falls from 0.81 at one day to 0.57 at two days and 0.44 at three days, placing the largest initial decline close to the horizon at which the national mean ridge</w:t>
      </w:r>
      <w:r w:rsidR="005C7A6A" w:rsidRPr="00A51779">
        <w:t>-</w:t>
      </w:r>
      <w:r w:rsidRPr="00A51779">
        <w:t>HGB difference crosses zero. Median persistence falls further to 0.29 at five days, 0.22 at seven days, and below 0.04 at ten and fourteen days. Across all 315 state</w:t>
      </w:r>
      <w:r w:rsidR="00210F0B" w:rsidRPr="00A51779">
        <w:t>-</w:t>
      </w:r>
      <w:r w:rsidRPr="00A51779">
        <w:t xml:space="preserve">horizon observations, persistence </w:t>
      </w:r>
      <w:r w:rsidR="00210F0B" w:rsidRPr="00A51779">
        <w:t>R</w:t>
      </w:r>
      <w:r w:rsidR="00210F0B" w:rsidRPr="00A51779">
        <w:rPr>
          <w:vertAlign w:val="superscript"/>
        </w:rPr>
        <w:t>2</w:t>
      </w:r>
      <w:r w:rsidR="00210F0B" w:rsidRPr="00A51779">
        <w:t xml:space="preserve"> </w:t>
      </w:r>
      <w:r w:rsidRPr="00A51779">
        <w:t>is strongly negatively associated with the HGB–ridge difference (</w:t>
      </w:r>
      <m:oMath>
        <m:r>
          <w:rPr>
            <w:rFonts w:ascii="Cambria Math" w:hAnsi="Cambria Math"/>
          </w:rPr>
          <m:t>r=-0.68</m:t>
        </m:r>
      </m:oMath>
      <w:r w:rsidRPr="00A51779">
        <w:t>): higher persistence corresponds to a greater relative advantage for ridge, whereas lower persistence corresponds to a greater HGB advantage.</w:t>
      </w:r>
    </w:p>
    <w:p w14:paraId="157231B4" w14:textId="480639C5" w:rsidR="00B919ED" w:rsidRPr="00A51779" w:rsidRDefault="00B919ED" w:rsidP="00703316">
      <w:pPr>
        <w:spacing w:line="480" w:lineRule="auto"/>
        <w:jc w:val="both"/>
      </w:pPr>
      <w:r w:rsidRPr="00A51779">
        <w:t xml:space="preserve">The horizon effect was tested formally using cluster-robust regression. The estimated slope was 0.00945 </w:t>
      </w:r>
      <w:r w:rsidR="00210F0B" w:rsidRPr="00A51779">
        <w:t>R</w:t>
      </w:r>
      <w:r w:rsidR="00210F0B" w:rsidRPr="00A51779">
        <w:rPr>
          <w:vertAlign w:val="superscript"/>
        </w:rPr>
        <w:t>2</w:t>
      </w:r>
      <w:r w:rsidR="00210F0B" w:rsidRPr="00A51779">
        <w:t xml:space="preserve"> </w:t>
      </w:r>
      <w:r w:rsidRPr="00A51779">
        <w:t>points per additional forecast day. Because clustering changes the covariance estimate rather than the fitted coefficient, the point estimate is identical under state- and region-clustered specifications.</w:t>
      </w:r>
    </w:p>
    <w:p w14:paraId="58E97286" w14:textId="31E31D40" w:rsidR="00B919ED" w:rsidRPr="00A51779" w:rsidRDefault="00B919ED" w:rsidP="00703316">
      <w:pPr>
        <w:spacing w:line="480" w:lineRule="auto"/>
        <w:jc w:val="both"/>
      </w:pPr>
      <w:r w:rsidRPr="00A51779">
        <w:t>With standard errors clustered by state (</w:t>
      </w:r>
      <m:oMath>
        <m:r>
          <w:rPr>
            <w:rFonts w:ascii="Cambria Math" w:hAnsi="Cambria Math"/>
          </w:rPr>
          <m:t>G=45</m:t>
        </m:r>
      </m:oMath>
      <w:r w:rsidRPr="00A51779">
        <w:t>), the horizon effect was strongly significant (</w:t>
      </w:r>
      <m:oMath>
        <m:r>
          <w:rPr>
            <w:rFonts w:ascii="Cambria Math" w:hAnsi="Cambria Math"/>
          </w:rPr>
          <m:t>t=14.31</m:t>
        </m:r>
      </m:oMath>
      <w:r w:rsidRPr="00A51779">
        <w:t xml:space="preserve">, </w:t>
      </w:r>
      <m:oMath>
        <m:r>
          <w:rPr>
            <w:rFonts w:ascii="Cambria Math" w:hAnsi="Cambria Math"/>
          </w:rPr>
          <m:t>p&lt;</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51779">
        <w:t xml:space="preserve">). This specification accounts for repeated horizon observations within each state </w:t>
      </w:r>
      <w:r w:rsidRPr="00A51779">
        <w:lastRenderedPageBreak/>
        <w:t xml:space="preserve">but does not model dependence among different states. Clustering by Census region permits arbitrary dependence among states within a region. The corresponding asymptotic CR1 test yielded </w:t>
      </w:r>
      <m:oMath>
        <m:r>
          <w:rPr>
            <w:rFonts w:ascii="Cambria Math" w:hAnsi="Cambria Math"/>
          </w:rPr>
          <m:t>t=9.29</m:t>
        </m:r>
      </m:oMath>
      <w:r w:rsidR="00210F0B" w:rsidRPr="00A51779">
        <w:t xml:space="preserve"> </w:t>
      </w:r>
      <w:r w:rsidRPr="00A51779">
        <w:t xml:space="preserve">and </w:t>
      </w:r>
      <m:oMath>
        <m:r>
          <w:rPr>
            <w:rFonts w:ascii="Cambria Math" w:hAnsi="Cambria Math"/>
          </w:rPr>
          <m:t>p=0.0026</m:t>
        </m:r>
      </m:oMath>
      <w:r w:rsidRPr="00A51779">
        <w:t>. With only four regional clusters, however, this asymptotic result is not sufficiently reliable on its own.</w:t>
      </w:r>
    </w:p>
    <w:p w14:paraId="0EDB57FF" w14:textId="77777777" w:rsidR="00B919ED" w:rsidRPr="00A51779" w:rsidRDefault="00B919ED" w:rsidP="00703316">
      <w:pPr>
        <w:spacing w:line="480" w:lineRule="auto"/>
        <w:jc w:val="both"/>
      </w:pPr>
      <w:r w:rsidRPr="00A51779">
        <w:t xml:space="preserve">The exact wild-cluster sign-flip test therefore provides an important small-cluster complement. With four regions, only 16 possible cluster-level sign assignments exist. Two of the 16 produced a statistic at least as extreme as the observed value, yielding an exact two-sided </w:t>
      </w:r>
      <m:oMath>
        <m:r>
          <w:rPr>
            <w:rFonts w:ascii="Cambria Math" w:hAnsi="Cambria Math"/>
          </w:rPr>
          <m:t>p=0.125</m:t>
        </m:r>
      </m:oMath>
      <w:r w:rsidRPr="00A51779">
        <w:t>. The regional test consequently lacks sufficient resolution for conventional 5% rejection. This should not be interpreted as evidence that the horizon effect is absent; rather, it reflects the limited inferential granularity available with only four independent regional clusters.</w:t>
      </w:r>
    </w:p>
    <w:p w14:paraId="0FCB98E6" w14:textId="6B11C1D4" w:rsidR="00B919ED" w:rsidRPr="004219A9" w:rsidRDefault="00B919ED" w:rsidP="00703316">
      <w:pPr>
        <w:spacing w:line="480" w:lineRule="auto"/>
        <w:jc w:val="both"/>
      </w:pPr>
      <w:r w:rsidRPr="004219A9">
        <w:t>Table 1</w:t>
      </w:r>
      <w:r w:rsidR="004219A9" w:rsidRPr="004219A9">
        <w:t>8</w:t>
      </w:r>
      <w:r w:rsidRPr="004219A9">
        <w:t>. Cluster-robust OLS regression of ΔR</w:t>
      </w:r>
      <w:r w:rsidR="00210F0B" w:rsidRPr="004219A9">
        <w:rPr>
          <w:vertAlign w:val="superscript"/>
        </w:rPr>
        <w:t>2</w:t>
      </w:r>
      <w:r w:rsidR="00210F0B" w:rsidRPr="004219A9">
        <w:t xml:space="preserve"> </w:t>
      </w:r>
      <w:r w:rsidRPr="004219A9">
        <w:t>(HGB</w:t>
      </w:r>
      <w:r w:rsidR="00210F0B" w:rsidRPr="004219A9">
        <w:t>-</w:t>
      </w:r>
      <w:r w:rsidRPr="004219A9">
        <w:t>ridge) on forecast horizon, 315 state-horizon observations.</w:t>
      </w:r>
    </w:p>
    <w:tbl>
      <w:tblPr>
        <w:tblStyle w:val="PlainTable2"/>
        <w:tblW w:w="5000" w:type="pct"/>
        <w:tblLook w:val="04A0" w:firstRow="1" w:lastRow="0" w:firstColumn="1" w:lastColumn="0" w:noHBand="0" w:noVBand="1"/>
      </w:tblPr>
      <w:tblGrid>
        <w:gridCol w:w="3925"/>
        <w:gridCol w:w="1003"/>
        <w:gridCol w:w="1181"/>
        <w:gridCol w:w="996"/>
        <w:gridCol w:w="1003"/>
        <w:gridCol w:w="1252"/>
      </w:tblGrid>
      <w:tr w:rsidR="00B919ED" w:rsidRPr="00A51779" w14:paraId="0F605F90" w14:textId="77777777" w:rsidTr="00210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0B55911" w14:textId="77777777" w:rsidR="00B919ED" w:rsidRPr="00A51779" w:rsidRDefault="00B919ED" w:rsidP="00703316">
            <w:pPr>
              <w:spacing w:line="480" w:lineRule="auto"/>
              <w:jc w:val="both"/>
            </w:pPr>
            <w:r w:rsidRPr="00A51779">
              <w:t>Clustering / test</w:t>
            </w:r>
          </w:p>
        </w:tc>
        <w:tc>
          <w:tcPr>
            <w:tcW w:w="542" w:type="pct"/>
            <w:vAlign w:val="center"/>
            <w:hideMark/>
          </w:tcPr>
          <w:p w14:paraId="1826ACC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 clusters</w:t>
            </w:r>
          </w:p>
        </w:tc>
        <w:tc>
          <w:tcPr>
            <w:tcW w:w="728" w:type="pct"/>
            <w:vAlign w:val="center"/>
            <w:hideMark/>
          </w:tcPr>
          <w:p w14:paraId="1EBF32B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 slope</w:t>
            </w:r>
          </w:p>
        </w:tc>
        <w:tc>
          <w:tcPr>
            <w:tcW w:w="433" w:type="pct"/>
            <w:vAlign w:val="center"/>
            <w:hideMark/>
          </w:tcPr>
          <w:p w14:paraId="2808BFC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SE</w:t>
            </w:r>
          </w:p>
        </w:tc>
        <w:tc>
          <w:tcPr>
            <w:tcW w:w="500" w:type="pct"/>
            <w:vAlign w:val="center"/>
            <w:hideMark/>
          </w:tcPr>
          <w:p w14:paraId="72B27C2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t statistic</w:t>
            </w:r>
          </w:p>
        </w:tc>
        <w:tc>
          <w:tcPr>
            <w:tcW w:w="569" w:type="pct"/>
            <w:vAlign w:val="center"/>
            <w:hideMark/>
          </w:tcPr>
          <w:p w14:paraId="4451C0D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r>
      <w:tr w:rsidR="00B919ED" w:rsidRPr="00A51779" w14:paraId="19F1944B" w14:textId="77777777" w:rsidTr="00210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hideMark/>
          </w:tcPr>
          <w:p w14:paraId="7F3ECE28" w14:textId="77777777" w:rsidR="00B919ED" w:rsidRPr="00A51779" w:rsidRDefault="00B919ED" w:rsidP="00703316">
            <w:pPr>
              <w:spacing w:line="480" w:lineRule="auto"/>
              <w:jc w:val="both"/>
            </w:pPr>
            <w:r w:rsidRPr="00A51779">
              <w:t>Census region, asymptotic CR1</w:t>
            </w:r>
          </w:p>
        </w:tc>
        <w:tc>
          <w:tcPr>
            <w:tcW w:w="542" w:type="pct"/>
            <w:vAlign w:val="center"/>
            <w:hideMark/>
          </w:tcPr>
          <w:p w14:paraId="2777D33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w:t>
            </w:r>
          </w:p>
        </w:tc>
        <w:tc>
          <w:tcPr>
            <w:tcW w:w="728" w:type="pct"/>
            <w:vAlign w:val="center"/>
            <w:hideMark/>
          </w:tcPr>
          <w:p w14:paraId="3AEF84A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0.00945</w:t>
            </w:r>
          </w:p>
        </w:tc>
        <w:tc>
          <w:tcPr>
            <w:tcW w:w="433" w:type="pct"/>
            <w:vAlign w:val="center"/>
            <w:hideMark/>
          </w:tcPr>
          <w:p w14:paraId="11BFFA8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0.00102</w:t>
            </w:r>
          </w:p>
        </w:tc>
        <w:tc>
          <w:tcPr>
            <w:tcW w:w="500" w:type="pct"/>
            <w:vAlign w:val="center"/>
            <w:hideMark/>
          </w:tcPr>
          <w:p w14:paraId="0CFB691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9.29</w:t>
            </w:r>
          </w:p>
        </w:tc>
        <w:tc>
          <w:tcPr>
            <w:tcW w:w="569" w:type="pct"/>
            <w:vAlign w:val="center"/>
            <w:hideMark/>
          </w:tcPr>
          <w:p w14:paraId="23FC1D0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0.0026</w:t>
            </w:r>
          </w:p>
        </w:tc>
      </w:tr>
      <w:tr w:rsidR="00B919ED" w:rsidRPr="00A51779" w14:paraId="4570BD0D" w14:textId="77777777" w:rsidTr="00210F0B">
        <w:tc>
          <w:tcPr>
            <w:cnfStyle w:val="001000000000" w:firstRow="0" w:lastRow="0" w:firstColumn="1" w:lastColumn="0" w:oddVBand="0" w:evenVBand="0" w:oddHBand="0" w:evenHBand="0" w:firstRowFirstColumn="0" w:firstRowLastColumn="0" w:lastRowFirstColumn="0" w:lastRowLastColumn="0"/>
            <w:tcW w:w="2115" w:type="pct"/>
            <w:hideMark/>
          </w:tcPr>
          <w:p w14:paraId="63D2CE6C" w14:textId="77777777" w:rsidR="00B919ED" w:rsidRPr="00A51779" w:rsidRDefault="00B919ED" w:rsidP="00703316">
            <w:pPr>
              <w:spacing w:line="480" w:lineRule="auto"/>
              <w:jc w:val="both"/>
            </w:pPr>
            <w:r w:rsidRPr="00A51779">
              <w:t>Census region, exact wild-cluster permutation</w:t>
            </w:r>
          </w:p>
        </w:tc>
        <w:tc>
          <w:tcPr>
            <w:tcW w:w="542" w:type="pct"/>
            <w:vAlign w:val="center"/>
            <w:hideMark/>
          </w:tcPr>
          <w:p w14:paraId="2945E28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w:t>
            </w:r>
          </w:p>
        </w:tc>
        <w:tc>
          <w:tcPr>
            <w:tcW w:w="728" w:type="pct"/>
            <w:vAlign w:val="center"/>
            <w:hideMark/>
          </w:tcPr>
          <w:p w14:paraId="790FE7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0.00945</w:t>
            </w:r>
          </w:p>
        </w:tc>
        <w:tc>
          <w:tcPr>
            <w:tcW w:w="433" w:type="pct"/>
            <w:vAlign w:val="center"/>
            <w:hideMark/>
          </w:tcPr>
          <w:p w14:paraId="7235C0C2" w14:textId="63AB7A22"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p>
        </w:tc>
        <w:tc>
          <w:tcPr>
            <w:tcW w:w="500" w:type="pct"/>
            <w:vAlign w:val="center"/>
            <w:hideMark/>
          </w:tcPr>
          <w:p w14:paraId="1330D86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9.29</w:t>
            </w:r>
          </w:p>
        </w:tc>
        <w:tc>
          <w:tcPr>
            <w:tcW w:w="569" w:type="pct"/>
            <w:vAlign w:val="center"/>
            <w:hideMark/>
          </w:tcPr>
          <w:p w14:paraId="53E9A52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0.125</w:t>
            </w:r>
          </w:p>
        </w:tc>
      </w:tr>
      <w:tr w:rsidR="00B919ED" w:rsidRPr="00A51779" w14:paraId="15A41D92" w14:textId="77777777" w:rsidTr="00210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hideMark/>
          </w:tcPr>
          <w:p w14:paraId="1111824D" w14:textId="77777777" w:rsidR="00B919ED" w:rsidRPr="00A51779" w:rsidRDefault="00B919ED" w:rsidP="00703316">
            <w:pPr>
              <w:spacing w:line="480" w:lineRule="auto"/>
              <w:jc w:val="both"/>
            </w:pPr>
            <w:r w:rsidRPr="00A51779">
              <w:t>State, asymptotic CR1</w:t>
            </w:r>
          </w:p>
        </w:tc>
        <w:tc>
          <w:tcPr>
            <w:tcW w:w="542" w:type="pct"/>
            <w:vAlign w:val="center"/>
            <w:hideMark/>
          </w:tcPr>
          <w:p w14:paraId="67C090F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45</w:t>
            </w:r>
          </w:p>
        </w:tc>
        <w:tc>
          <w:tcPr>
            <w:tcW w:w="728" w:type="pct"/>
            <w:vAlign w:val="center"/>
            <w:hideMark/>
          </w:tcPr>
          <w:p w14:paraId="61877C5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0.00945</w:t>
            </w:r>
          </w:p>
        </w:tc>
        <w:tc>
          <w:tcPr>
            <w:tcW w:w="433" w:type="pct"/>
            <w:vAlign w:val="center"/>
            <w:hideMark/>
          </w:tcPr>
          <w:p w14:paraId="25BA49E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0.00066</w:t>
            </w:r>
          </w:p>
        </w:tc>
        <w:tc>
          <w:tcPr>
            <w:tcW w:w="500" w:type="pct"/>
            <w:vAlign w:val="center"/>
            <w:hideMark/>
          </w:tcPr>
          <w:p w14:paraId="76B13DF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14.31</w:t>
            </w:r>
          </w:p>
        </w:tc>
        <w:tc>
          <w:tcPr>
            <w:tcW w:w="569" w:type="pct"/>
            <w:vAlign w:val="center"/>
            <w:hideMark/>
          </w:tcPr>
          <w:p w14:paraId="08A3F96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&lt;0.000001</w:t>
            </w:r>
          </w:p>
        </w:tc>
      </w:tr>
    </w:tbl>
    <w:p w14:paraId="79DCF2B4" w14:textId="77777777" w:rsidR="00336CF0" w:rsidRPr="00A51779" w:rsidRDefault="00336CF0" w:rsidP="00703316">
      <w:pPr>
        <w:spacing w:line="480" w:lineRule="auto"/>
        <w:jc w:val="both"/>
      </w:pPr>
    </w:p>
    <w:p w14:paraId="540F1725" w14:textId="49E88FAE" w:rsidR="00B919ED" w:rsidRPr="00A51779" w:rsidRDefault="00B919ED" w:rsidP="00703316">
      <w:pPr>
        <w:spacing w:line="480" w:lineRule="auto"/>
        <w:jc w:val="both"/>
      </w:pPr>
      <w:r w:rsidRPr="00A51779">
        <w:t xml:space="preserve">Neither clustering scheme completely resolves dependence among states. State clustering is silent about cross-state dependence by construction, whereas the exact region-level test is limited by having only four clusters. The regional directional breakdown in Table 11 therefore remains important complementary evidence because the same one-day ridge and seven-day HGB pattern </w:t>
      </w:r>
      <w:r w:rsidRPr="00A51779">
        <w:lastRenderedPageBreak/>
        <w:t>appears in all four Census regions without relying on the regression's clustering assumptions. The fitted regression crosses zero at approximately 2.03 days, closely matching the transition observed directly in the national mean trajectory.</w:t>
      </w:r>
    </w:p>
    <w:p w14:paraId="61F7CD9E" w14:textId="39845753" w:rsidR="00B919ED" w:rsidRPr="00A51779" w:rsidRDefault="00B919ED" w:rsidP="00703316">
      <w:pPr>
        <w:spacing w:line="480" w:lineRule="auto"/>
        <w:jc w:val="both"/>
      </w:pPr>
      <w:r w:rsidRPr="00A51779">
        <w:t xml:space="preserve">Taken together, the persistence and cluster analyses support the interpretation that forecast horizon is not merely a labeling variable but is systematically associated with the relative value of model flexibility. The crossover </w:t>
      </w:r>
      <w:r w:rsidR="005C7A6A" w:rsidRPr="00A51779">
        <w:t>coincides with</w:t>
      </w:r>
      <w:r w:rsidRPr="00A51779">
        <w:t xml:space="preserve"> short-horizon autoregressive predictability erodes, and the relative advantage of HGB increases as less of the future outcome can be recovered from persistence alone.</w:t>
      </w:r>
    </w:p>
    <w:p w14:paraId="52C891F4" w14:textId="73CB6C7F" w:rsidR="001A1C94" w:rsidRPr="00A51779" w:rsidRDefault="005C7A6A" w:rsidP="005C7A6A">
      <w:pPr>
        <w:spacing w:line="480" w:lineRule="auto"/>
        <w:jc w:val="both"/>
      </w:pPr>
      <w:r w:rsidRPr="00A51779">
        <w:t xml:space="preserve">Fig. </w:t>
      </w:r>
      <w:r w:rsidR="003901F5">
        <w:t>14</w:t>
      </w:r>
      <w:r w:rsidR="001A1C94" w:rsidRPr="00A51779">
        <w:t xml:space="preserve"> </w:t>
      </w:r>
      <w:r w:rsidRPr="00A51779">
        <w:t>summarizes the association between declining autoregressive persistence and the ridge</w:t>
      </w:r>
      <w:r w:rsidR="00295BA3" w:rsidRPr="00295BA3">
        <w:rPr>
          <w:lang w:val="en-US"/>
        </w:rPr>
        <w:t>-</w:t>
      </w:r>
      <w:r w:rsidRPr="00A51779">
        <w:t>HGB performance gap. Panel (a) shows persistence R</w:t>
      </w:r>
      <w:r w:rsidRPr="00A51779">
        <w:rPr>
          <w:vertAlign w:val="superscript"/>
        </w:rPr>
        <w:t>2</w:t>
      </w:r>
      <w:r w:rsidRPr="00A51779">
        <w:t xml:space="preserve"> across horizons, and panel (b) displays all 315 state-horizon observations with the pooled association (r = -0.68).</w:t>
      </w:r>
    </w:p>
    <w:p w14:paraId="515F3CBC" w14:textId="77777777" w:rsidR="00D46B27" w:rsidRPr="00A51779" w:rsidRDefault="00D46B27" w:rsidP="00D46B27">
      <w:pPr>
        <w:spacing w:line="480" w:lineRule="auto"/>
        <w:jc w:val="both"/>
      </w:pPr>
      <w:r w:rsidRPr="00A51779">
        <w:rPr>
          <w:noProof/>
        </w:rPr>
        <w:drawing>
          <wp:inline distT="0" distB="0" distL="0" distR="0" wp14:anchorId="4E6174E2" wp14:editId="14D80FEA">
            <wp:extent cx="5897303" cy="2485292"/>
            <wp:effectExtent l="0" t="0" r="0" b="4445"/>
            <wp:docPr id="838799234" name="Picture 83879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28359" cy="2498380"/>
                    </a:xfrm>
                    <a:prstGeom prst="rect">
                      <a:avLst/>
                    </a:prstGeom>
                  </pic:spPr>
                </pic:pic>
              </a:graphicData>
            </a:graphic>
          </wp:inline>
        </w:drawing>
      </w:r>
    </w:p>
    <w:p w14:paraId="1E789F99" w14:textId="649D3F51" w:rsidR="005C7A6A" w:rsidRPr="00A51779" w:rsidRDefault="005C7A6A" w:rsidP="001A1C94">
      <w:pPr>
        <w:spacing w:line="480" w:lineRule="auto"/>
        <w:jc w:val="both"/>
      </w:pPr>
      <w:r w:rsidRPr="00A51779">
        <w:t>Fig. 1</w:t>
      </w:r>
      <w:r w:rsidR="0079599D">
        <w:t>4</w:t>
      </w:r>
      <w:r w:rsidRPr="00A51779">
        <w:t>. Autoregressive persistence and the ridge</w:t>
      </w:r>
      <w:r w:rsidR="00295BA3" w:rsidRPr="00295BA3">
        <w:rPr>
          <w:lang w:val="en-US"/>
        </w:rPr>
        <w:t>-</w:t>
      </w:r>
      <w:r w:rsidRPr="00A51779">
        <w:t>HGB performance gap across 45 states and seven forecast horizons. (a) Mean and median persistence R</w:t>
      </w:r>
      <w:r w:rsidRPr="00A51779">
        <w:rPr>
          <w:vertAlign w:val="superscript"/>
        </w:rPr>
        <w:t>2</w:t>
      </w:r>
      <w:r w:rsidRPr="00A51779">
        <w:t xml:space="preserve"> by horizon. (b) Pooled association between persistence R</w:t>
      </w:r>
      <w:r w:rsidRPr="00A51779">
        <w:rPr>
          <w:vertAlign w:val="superscript"/>
        </w:rPr>
        <w:t>2</w:t>
      </w:r>
      <w:r w:rsidRPr="00A51779">
        <w:t xml:space="preserve"> and ΔR</w:t>
      </w:r>
      <w:r w:rsidRPr="00A51779">
        <w:rPr>
          <w:vertAlign w:val="superscript"/>
        </w:rPr>
        <w:t>2</w:t>
      </w:r>
      <w:r w:rsidRPr="00A51779">
        <w:t xml:space="preserve"> = R</w:t>
      </w:r>
      <w:r w:rsidRPr="00A51779">
        <w:rPr>
          <w:vertAlign w:val="superscript"/>
        </w:rPr>
        <w:t>2</w:t>
      </w:r>
      <w:r w:rsidRPr="00A51779">
        <w:t xml:space="preserve">(HGB) </w:t>
      </w:r>
      <w:r w:rsidR="00295BA3" w:rsidRPr="00295BA3">
        <w:rPr>
          <w:lang w:val="en-US"/>
        </w:rPr>
        <w:t>-</w:t>
      </w:r>
      <w:r w:rsidRPr="00A51779">
        <w:t xml:space="preserve"> R</w:t>
      </w:r>
      <w:r w:rsidRPr="00A51779">
        <w:rPr>
          <w:vertAlign w:val="superscript"/>
        </w:rPr>
        <w:t>2</w:t>
      </w:r>
      <w:r w:rsidRPr="00A51779">
        <w:t xml:space="preserve">(ridge) across 315 state-horizon observations. </w:t>
      </w:r>
    </w:p>
    <w:p w14:paraId="22FDD098" w14:textId="23E4D615" w:rsidR="001A1C94" w:rsidRPr="00A51779" w:rsidRDefault="001A1C94" w:rsidP="005C7A6A">
      <w:pPr>
        <w:spacing w:line="480" w:lineRule="auto"/>
        <w:jc w:val="both"/>
      </w:pPr>
      <w:r w:rsidRPr="00A51779">
        <w:t>Fig</w:t>
      </w:r>
      <w:r w:rsidR="005C7A6A" w:rsidRPr="00A51779">
        <w:t>. 1</w:t>
      </w:r>
      <w:r w:rsidR="003901F5">
        <w:t xml:space="preserve">5 </w:t>
      </w:r>
      <w:r w:rsidRPr="00A51779">
        <w:t xml:space="preserve">extends this regional check across the full horizon curve rather than the two endpoints in Table 11. All four Census regions trace the same rising shape, but not at the same pace: the West </w:t>
      </w:r>
      <w:r w:rsidRPr="00A51779">
        <w:lastRenderedPageBreak/>
        <w:t>lags the other three regions at every horizon from three days onward, reaching only about +0.07 by fourteen days against roughly +0.11 to +0.12 elsewhere. Identifying what distinguishes the West's grids is a natural further question this manuscript does not resolve.</w:t>
      </w:r>
    </w:p>
    <w:p w14:paraId="6820992C" w14:textId="77777777" w:rsidR="00D46B27" w:rsidRPr="00A51779" w:rsidRDefault="00D46B27" w:rsidP="00D46B27">
      <w:pPr>
        <w:spacing w:line="480" w:lineRule="auto"/>
        <w:jc w:val="both"/>
      </w:pPr>
      <w:r w:rsidRPr="00A51779">
        <w:rPr>
          <w:noProof/>
        </w:rPr>
        <w:drawing>
          <wp:inline distT="0" distB="0" distL="0" distR="0" wp14:anchorId="74531485" wp14:editId="32472FE6">
            <wp:extent cx="4381500" cy="3200400"/>
            <wp:effectExtent l="0" t="0" r="0" b="0"/>
            <wp:docPr id="92419480" name="Picture 9241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200400"/>
                    </a:xfrm>
                    <a:prstGeom prst="rect">
                      <a:avLst/>
                    </a:prstGeom>
                  </pic:spPr>
                </pic:pic>
              </a:graphicData>
            </a:graphic>
          </wp:inline>
        </w:drawing>
      </w:r>
    </w:p>
    <w:p w14:paraId="45A10C4B" w14:textId="11516834" w:rsidR="00D46B27" w:rsidRPr="00A51779" w:rsidRDefault="00D46B27" w:rsidP="00D46B27">
      <w:pPr>
        <w:spacing w:line="480" w:lineRule="auto"/>
        <w:jc w:val="both"/>
      </w:pPr>
      <w:r w:rsidRPr="00A51779">
        <w:t>Fig</w:t>
      </w:r>
      <w:r w:rsidR="005C7A6A" w:rsidRPr="00A51779">
        <w:t>. 1</w:t>
      </w:r>
      <w:r w:rsidR="0079599D">
        <w:t>5</w:t>
      </w:r>
      <w:r w:rsidRPr="00A51779">
        <w:t>. The horizon-dependent crossover by U.S. Census region: the West lags the other three regions from three days onward.</w:t>
      </w:r>
    </w:p>
    <w:p w14:paraId="42DA0EEE" w14:textId="77777777" w:rsidR="00336CF0" w:rsidRPr="00A51779" w:rsidRDefault="00336CF0" w:rsidP="00703316">
      <w:pPr>
        <w:spacing w:line="480" w:lineRule="auto"/>
        <w:jc w:val="both"/>
      </w:pPr>
    </w:p>
    <w:p w14:paraId="7A9804CE" w14:textId="77777777" w:rsidR="00B919ED" w:rsidRPr="00A51779" w:rsidRDefault="00B919ED" w:rsidP="00703316">
      <w:pPr>
        <w:spacing w:line="480" w:lineRule="auto"/>
        <w:jc w:val="both"/>
        <w:outlineLvl w:val="1"/>
        <w:rPr>
          <w:b/>
          <w:bCs/>
        </w:rPr>
      </w:pPr>
      <w:r w:rsidRPr="00A51779">
        <w:rPr>
          <w:b/>
          <w:bCs/>
        </w:rPr>
        <w:t>3.7 Additive nonlinearity and robustness of the multihorizon crossover</w:t>
      </w:r>
    </w:p>
    <w:p w14:paraId="34FD4DF2" w14:textId="0527D6E8" w:rsidR="00B919ED" w:rsidRPr="00A51779" w:rsidRDefault="00B919ED" w:rsidP="00703316">
      <w:pPr>
        <w:spacing w:line="480" w:lineRule="auto"/>
        <w:jc w:val="both"/>
      </w:pPr>
      <w:r w:rsidRPr="00A51779">
        <w:t>The persistence analysis explains when the ridge</w:t>
      </w:r>
      <w:r w:rsidR="00210F0B" w:rsidRPr="00A51779">
        <w:t>-</w:t>
      </w:r>
      <w:r w:rsidRPr="00A51779">
        <w:t>HGB ranking changes but does not by itself identify which aspect of HGB's additional flexibility is responsible. HGB can represent both nonlinear predictor-response relationships and higher-order interactions among predictors. The GAM analysis separates these possibilities because it permits smooth nonlinear effects for individual predictors while excluding cross-feature interactions by construction.</w:t>
      </w:r>
    </w:p>
    <w:p w14:paraId="74A4012C" w14:textId="238B655A" w:rsidR="00B919ED" w:rsidRPr="00A51779" w:rsidRDefault="00B919ED" w:rsidP="00703316">
      <w:pPr>
        <w:spacing w:line="480" w:lineRule="auto"/>
        <w:jc w:val="both"/>
      </w:pPr>
      <w:r w:rsidRPr="00A51779">
        <w:t>Across all 45 states, mean GAM performance closely follows HGB at every horizon. The mean GAM</w:t>
      </w:r>
      <w:r w:rsidR="00210F0B" w:rsidRPr="00A51779">
        <w:t>-</w:t>
      </w:r>
      <w:r w:rsidRPr="00A51779">
        <w:t xml:space="preserve">ridge difference increases from </w:t>
      </w:r>
      <m:oMath>
        <m:r>
          <w:rPr>
            <w:rFonts w:ascii="Cambria Math" w:hAnsi="Cambria Math"/>
          </w:rPr>
          <m:t>-0.0092</m:t>
        </m:r>
      </m:oMath>
      <w:r w:rsidR="00210F0B" w:rsidRPr="00A51779">
        <w:t xml:space="preserve"> </w:t>
      </w:r>
      <w:r w:rsidRPr="00A51779">
        <w:t xml:space="preserve">at one day to </w:t>
      </w:r>
      <m:oMath>
        <m:r>
          <w:rPr>
            <w:rFonts w:ascii="Cambria Math" w:hAnsi="Cambria Math"/>
          </w:rPr>
          <m:t>+0.1006</m:t>
        </m:r>
      </m:oMath>
      <w:r w:rsidR="00210F0B" w:rsidRPr="00A51779">
        <w:t xml:space="preserve"> </w:t>
      </w:r>
      <w:r w:rsidRPr="00A51779">
        <w:t xml:space="preserve">at fourteen days. By </w:t>
      </w:r>
      <w:r w:rsidRPr="00A51779">
        <w:lastRenderedPageBreak/>
        <w:t>contrast, HGB</w:t>
      </w:r>
      <w:r w:rsidR="00210F0B" w:rsidRPr="00A51779">
        <w:t>-</w:t>
      </w:r>
      <w:r w:rsidRPr="00A51779">
        <w:t>GAM remains small relative to this gain throughout the horizon range and averages approximately zero across all 315 state</w:t>
      </w:r>
      <w:r w:rsidR="00210F0B" w:rsidRPr="00A51779">
        <w:t>-</w:t>
      </w:r>
      <w:r w:rsidRPr="00A51779">
        <w:t>horizon observations.</w:t>
      </w:r>
    </w:p>
    <w:p w14:paraId="52CDE108" w14:textId="46A5F55D" w:rsidR="00B919ED" w:rsidRPr="004219A9" w:rsidRDefault="00B919ED" w:rsidP="00703316">
      <w:pPr>
        <w:spacing w:line="480" w:lineRule="auto"/>
        <w:jc w:val="both"/>
      </w:pPr>
      <w:r w:rsidRPr="004219A9">
        <w:t>Table 1</w:t>
      </w:r>
      <w:r w:rsidR="004219A9" w:rsidRPr="004219A9">
        <w:t>9</w:t>
      </w:r>
      <w:r w:rsidRPr="004219A9">
        <w:t>. National GAM decomposition of the ridge-HGB gap, mean of all 45 states by horizon.</w:t>
      </w:r>
    </w:p>
    <w:tbl>
      <w:tblPr>
        <w:tblStyle w:val="PlainTable2"/>
        <w:tblW w:w="5000" w:type="pct"/>
        <w:tblLook w:val="04A0" w:firstRow="1" w:lastRow="0" w:firstColumn="1" w:lastColumn="0" w:noHBand="0" w:noVBand="1"/>
      </w:tblPr>
      <w:tblGrid>
        <w:gridCol w:w="2148"/>
        <w:gridCol w:w="1966"/>
        <w:gridCol w:w="1966"/>
        <w:gridCol w:w="3280"/>
      </w:tblGrid>
      <w:tr w:rsidR="00B919ED" w:rsidRPr="00A51779" w14:paraId="0942E49D"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3F3EC6E6" w14:textId="77777777" w:rsidR="00B919ED" w:rsidRPr="00A51779" w:rsidRDefault="00B919ED" w:rsidP="00703316">
            <w:pPr>
              <w:spacing w:line="480" w:lineRule="auto"/>
              <w:jc w:val="both"/>
            </w:pPr>
            <w:r w:rsidRPr="00A51779">
              <w:t>Horizon (days)</w:t>
            </w:r>
          </w:p>
        </w:tc>
        <w:tc>
          <w:tcPr>
            <w:tcW w:w="1050" w:type="pct"/>
            <w:hideMark/>
          </w:tcPr>
          <w:p w14:paraId="66613AF9" w14:textId="07F5D5E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GAM </w:t>
            </w:r>
            <w:r w:rsidR="00210F0B" w:rsidRPr="00A51779">
              <w:t>-</w:t>
            </w:r>
            <w:r w:rsidRPr="00A51779">
              <w:t xml:space="preserve"> ridge</w:t>
            </w:r>
          </w:p>
        </w:tc>
        <w:tc>
          <w:tcPr>
            <w:tcW w:w="1050" w:type="pct"/>
            <w:hideMark/>
          </w:tcPr>
          <w:p w14:paraId="3B203EFE" w14:textId="2D691DE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GAM</w:t>
            </w:r>
          </w:p>
        </w:tc>
        <w:tc>
          <w:tcPr>
            <w:tcW w:w="1753" w:type="pct"/>
            <w:hideMark/>
          </w:tcPr>
          <w:p w14:paraId="5F1D7CA0" w14:textId="6C2B2256"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ridge (total gap)</w:t>
            </w:r>
          </w:p>
        </w:tc>
      </w:tr>
      <w:tr w:rsidR="00B919ED" w:rsidRPr="00A51779" w14:paraId="0664E4E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66491062" w14:textId="77777777" w:rsidR="00B919ED" w:rsidRPr="00A51779" w:rsidRDefault="00B919ED" w:rsidP="00703316">
            <w:pPr>
              <w:spacing w:line="480" w:lineRule="auto"/>
              <w:jc w:val="both"/>
            </w:pPr>
            <w:r w:rsidRPr="00A51779">
              <w:t>1</w:t>
            </w:r>
          </w:p>
        </w:tc>
        <w:tc>
          <w:tcPr>
            <w:tcW w:w="1050" w:type="pct"/>
            <w:hideMark/>
          </w:tcPr>
          <w:p w14:paraId="1C066608" w14:textId="52E3211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0.0092</w:t>
            </w:r>
          </w:p>
        </w:tc>
        <w:tc>
          <w:tcPr>
            <w:tcW w:w="1050" w:type="pct"/>
            <w:hideMark/>
          </w:tcPr>
          <w:p w14:paraId="3C84FFFF" w14:textId="3A6A8813"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0.0027</w:t>
            </w:r>
          </w:p>
        </w:tc>
        <w:tc>
          <w:tcPr>
            <w:tcW w:w="1753" w:type="pct"/>
            <w:hideMark/>
          </w:tcPr>
          <w:p w14:paraId="555DB13A" w14:textId="6C38324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0.0065</w:t>
            </w:r>
          </w:p>
        </w:tc>
      </w:tr>
      <w:tr w:rsidR="00B919ED" w:rsidRPr="00A51779" w14:paraId="2DC30A66" w14:textId="77777777" w:rsidTr="00450A61">
        <w:tc>
          <w:tcPr>
            <w:cnfStyle w:val="001000000000" w:firstRow="0" w:lastRow="0" w:firstColumn="1" w:lastColumn="0" w:oddVBand="0" w:evenVBand="0" w:oddHBand="0" w:evenHBand="0" w:firstRowFirstColumn="0" w:firstRowLastColumn="0" w:lastRowFirstColumn="0" w:lastRowLastColumn="0"/>
            <w:tcW w:w="1148" w:type="pct"/>
            <w:hideMark/>
          </w:tcPr>
          <w:p w14:paraId="67AD20F1" w14:textId="77777777" w:rsidR="00B919ED" w:rsidRPr="00A51779" w:rsidRDefault="00B919ED" w:rsidP="00703316">
            <w:pPr>
              <w:spacing w:line="480" w:lineRule="auto"/>
              <w:jc w:val="both"/>
            </w:pPr>
            <w:r w:rsidRPr="00A51779">
              <w:t>2</w:t>
            </w:r>
          </w:p>
        </w:tc>
        <w:tc>
          <w:tcPr>
            <w:tcW w:w="1050" w:type="pct"/>
            <w:hideMark/>
          </w:tcPr>
          <w:p w14:paraId="77D5A6E6" w14:textId="1FBCD11D"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0.0020</w:t>
            </w:r>
          </w:p>
        </w:tc>
        <w:tc>
          <w:tcPr>
            <w:tcW w:w="1050" w:type="pct"/>
            <w:hideMark/>
          </w:tcPr>
          <w:p w14:paraId="5A70AE3A" w14:textId="40CB9765"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0.0002</w:t>
            </w:r>
          </w:p>
        </w:tc>
        <w:tc>
          <w:tcPr>
            <w:tcW w:w="1753" w:type="pct"/>
            <w:hideMark/>
          </w:tcPr>
          <w:p w14:paraId="2FD8DDD5" w14:textId="57CE3330"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0.0017</w:t>
            </w:r>
          </w:p>
        </w:tc>
      </w:tr>
      <w:tr w:rsidR="00B919ED" w:rsidRPr="00A51779" w14:paraId="6F11F615"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2E72B29D" w14:textId="77777777" w:rsidR="00B919ED" w:rsidRPr="00A51779" w:rsidRDefault="00B919ED" w:rsidP="00703316">
            <w:pPr>
              <w:spacing w:line="480" w:lineRule="auto"/>
              <w:jc w:val="both"/>
            </w:pPr>
            <w:r w:rsidRPr="00A51779">
              <w:t>3</w:t>
            </w:r>
          </w:p>
        </w:tc>
        <w:tc>
          <w:tcPr>
            <w:tcW w:w="1050" w:type="pct"/>
            <w:hideMark/>
          </w:tcPr>
          <w:p w14:paraId="013AF66C" w14:textId="70B41EA5"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0.0070</w:t>
            </w:r>
          </w:p>
        </w:tc>
        <w:tc>
          <w:tcPr>
            <w:tcW w:w="1050" w:type="pct"/>
            <w:hideMark/>
          </w:tcPr>
          <w:p w14:paraId="4E0C485A" w14:textId="23D9679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0.0016</w:t>
            </w:r>
          </w:p>
        </w:tc>
        <w:tc>
          <w:tcPr>
            <w:tcW w:w="1753" w:type="pct"/>
            <w:hideMark/>
          </w:tcPr>
          <w:p w14:paraId="48408A99" w14:textId="24A4B2D7"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0.0053</w:t>
            </w:r>
          </w:p>
        </w:tc>
      </w:tr>
      <w:tr w:rsidR="00B919ED" w:rsidRPr="00A51779" w14:paraId="3A92D962" w14:textId="77777777" w:rsidTr="00450A61">
        <w:tc>
          <w:tcPr>
            <w:cnfStyle w:val="001000000000" w:firstRow="0" w:lastRow="0" w:firstColumn="1" w:lastColumn="0" w:oddVBand="0" w:evenVBand="0" w:oddHBand="0" w:evenHBand="0" w:firstRowFirstColumn="0" w:firstRowLastColumn="0" w:lastRowFirstColumn="0" w:lastRowLastColumn="0"/>
            <w:tcW w:w="1148" w:type="pct"/>
            <w:hideMark/>
          </w:tcPr>
          <w:p w14:paraId="1F1A700D" w14:textId="77777777" w:rsidR="00B919ED" w:rsidRPr="00A51779" w:rsidRDefault="00B919ED" w:rsidP="00703316">
            <w:pPr>
              <w:spacing w:line="480" w:lineRule="auto"/>
              <w:jc w:val="both"/>
            </w:pPr>
            <w:r w:rsidRPr="00A51779">
              <w:t>5</w:t>
            </w:r>
          </w:p>
        </w:tc>
        <w:tc>
          <w:tcPr>
            <w:tcW w:w="1050" w:type="pct"/>
            <w:hideMark/>
          </w:tcPr>
          <w:p w14:paraId="54497644" w14:textId="635472BB"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0.0346</w:t>
            </w:r>
          </w:p>
        </w:tc>
        <w:tc>
          <w:tcPr>
            <w:tcW w:w="1050" w:type="pct"/>
            <w:hideMark/>
          </w:tcPr>
          <w:p w14:paraId="214AFCDA" w14:textId="5BFAD236"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0.0088</w:t>
            </w:r>
          </w:p>
        </w:tc>
        <w:tc>
          <w:tcPr>
            <w:tcW w:w="1753" w:type="pct"/>
            <w:hideMark/>
          </w:tcPr>
          <w:p w14:paraId="54D2EB1F" w14:textId="5490F2F1"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0.0259</w:t>
            </w:r>
          </w:p>
        </w:tc>
      </w:tr>
      <w:tr w:rsidR="00B919ED" w:rsidRPr="00A51779" w14:paraId="30F033F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2EAA4544" w14:textId="77777777" w:rsidR="00B919ED" w:rsidRPr="00A51779" w:rsidRDefault="00B919ED" w:rsidP="00703316">
            <w:pPr>
              <w:spacing w:line="480" w:lineRule="auto"/>
              <w:jc w:val="both"/>
            </w:pPr>
            <w:r w:rsidRPr="00A51779">
              <w:t>7</w:t>
            </w:r>
          </w:p>
        </w:tc>
        <w:tc>
          <w:tcPr>
            <w:tcW w:w="1050" w:type="pct"/>
            <w:hideMark/>
          </w:tcPr>
          <w:p w14:paraId="5530122D" w14:textId="1EF9CD80"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0.0520</w:t>
            </w:r>
          </w:p>
        </w:tc>
        <w:tc>
          <w:tcPr>
            <w:tcW w:w="1050" w:type="pct"/>
            <w:hideMark/>
          </w:tcPr>
          <w:p w14:paraId="30362556" w14:textId="22DD0DA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0.0043</w:t>
            </w:r>
          </w:p>
        </w:tc>
        <w:tc>
          <w:tcPr>
            <w:tcW w:w="1753" w:type="pct"/>
            <w:hideMark/>
          </w:tcPr>
          <w:p w14:paraId="284317AE" w14:textId="368630D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0.0477</w:t>
            </w:r>
          </w:p>
        </w:tc>
      </w:tr>
      <w:tr w:rsidR="00B919ED" w:rsidRPr="00A51779" w14:paraId="1B802A1E" w14:textId="77777777" w:rsidTr="00450A61">
        <w:tc>
          <w:tcPr>
            <w:cnfStyle w:val="001000000000" w:firstRow="0" w:lastRow="0" w:firstColumn="1" w:lastColumn="0" w:oddVBand="0" w:evenVBand="0" w:oddHBand="0" w:evenHBand="0" w:firstRowFirstColumn="0" w:firstRowLastColumn="0" w:lastRowFirstColumn="0" w:lastRowLastColumn="0"/>
            <w:tcW w:w="1148" w:type="pct"/>
            <w:hideMark/>
          </w:tcPr>
          <w:p w14:paraId="0A068F0F" w14:textId="77777777" w:rsidR="00B919ED" w:rsidRPr="00A51779" w:rsidRDefault="00B919ED" w:rsidP="00703316">
            <w:pPr>
              <w:spacing w:line="480" w:lineRule="auto"/>
              <w:jc w:val="both"/>
            </w:pPr>
            <w:r w:rsidRPr="00A51779">
              <w:t>10</w:t>
            </w:r>
          </w:p>
        </w:tc>
        <w:tc>
          <w:tcPr>
            <w:tcW w:w="1050" w:type="pct"/>
            <w:hideMark/>
          </w:tcPr>
          <w:p w14:paraId="38AADD62" w14:textId="0EEFED74"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0.0799</w:t>
            </w:r>
          </w:p>
        </w:tc>
        <w:tc>
          <w:tcPr>
            <w:tcW w:w="1050" w:type="pct"/>
            <w:hideMark/>
          </w:tcPr>
          <w:p w14:paraId="0DFBD584" w14:textId="70A4099F"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0.0038</w:t>
            </w:r>
          </w:p>
        </w:tc>
        <w:tc>
          <w:tcPr>
            <w:tcW w:w="1753" w:type="pct"/>
            <w:hideMark/>
          </w:tcPr>
          <w:p w14:paraId="113AE56C" w14:textId="3E1DA96E"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0.0837</w:t>
            </w:r>
          </w:p>
        </w:tc>
      </w:tr>
      <w:tr w:rsidR="00B919ED" w:rsidRPr="00A51779" w14:paraId="0C8C018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1EDC781F" w14:textId="77777777" w:rsidR="00B919ED" w:rsidRPr="00A51779" w:rsidRDefault="00B919ED" w:rsidP="00703316">
            <w:pPr>
              <w:spacing w:line="480" w:lineRule="auto"/>
              <w:jc w:val="both"/>
            </w:pPr>
            <w:r w:rsidRPr="00A51779">
              <w:t>14</w:t>
            </w:r>
          </w:p>
        </w:tc>
        <w:tc>
          <w:tcPr>
            <w:tcW w:w="1050" w:type="pct"/>
            <w:hideMark/>
          </w:tcPr>
          <w:p w14:paraId="0AF91216" w14:textId="3A2BE766"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0.1006</w:t>
            </w:r>
          </w:p>
        </w:tc>
        <w:tc>
          <w:tcPr>
            <w:tcW w:w="1050" w:type="pct"/>
            <w:hideMark/>
          </w:tcPr>
          <w:p w14:paraId="10377AC9" w14:textId="3093F61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0.0078</w:t>
            </w:r>
          </w:p>
        </w:tc>
        <w:tc>
          <w:tcPr>
            <w:tcW w:w="1753" w:type="pct"/>
            <w:hideMark/>
          </w:tcPr>
          <w:p w14:paraId="3B6E2B9D" w14:textId="10244BC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0.1084</w:t>
            </w:r>
          </w:p>
        </w:tc>
      </w:tr>
    </w:tbl>
    <w:p w14:paraId="72234333" w14:textId="2E4AF4A4" w:rsidR="00B919ED" w:rsidRPr="00A51779" w:rsidRDefault="00B919ED" w:rsidP="00703316">
      <w:pPr>
        <w:spacing w:line="480" w:lineRule="auto"/>
        <w:jc w:val="both"/>
      </w:pPr>
      <w:r w:rsidRPr="00A51779">
        <w:t>Across the complete 315-observation panel, GAM</w:t>
      </w:r>
      <w:r w:rsidR="00210F0B" w:rsidRPr="00A51779">
        <w:t>-</w:t>
      </w:r>
      <w:r w:rsidRPr="00A51779">
        <w:t>ridge is strongly correlated with the total HGB–ridge gap (</w:t>
      </w:r>
      <m:oMath>
        <m:r>
          <w:rPr>
            <w:rFonts w:ascii="Cambria Math" w:hAnsi="Cambria Math"/>
          </w:rPr>
          <m:t>r=0.90</m:t>
        </m:r>
      </m:oMath>
      <w:r w:rsidRPr="00A51779">
        <w:t>). The GAM</w:t>
      </w:r>
      <w:r w:rsidR="00210F0B" w:rsidRPr="00A51779">
        <w:t>-</w:t>
      </w:r>
      <w:r w:rsidRPr="00A51779">
        <w:t>ridge state-by-horizon heatmap is correspondingly very similar to the HGB</w:t>
      </w:r>
      <w:r w:rsidR="00210F0B" w:rsidRPr="00A51779">
        <w:t>-</w:t>
      </w:r>
      <w:r w:rsidRPr="00A51779">
        <w:t>ridge heatmap, including New Mexico as the principal persistent exception. The nationwide results therefore indicate that the dominant long-horizon gain associated with HGB can already be recovered by an interaction-free additive nonlinear model.</w:t>
      </w:r>
    </w:p>
    <w:p w14:paraId="1AC14180" w14:textId="77777777" w:rsidR="00357E8D" w:rsidRPr="00A51779" w:rsidRDefault="00357E8D" w:rsidP="00703316">
      <w:pPr>
        <w:spacing w:before="160" w:line="480" w:lineRule="auto"/>
        <w:jc w:val="both"/>
      </w:pPr>
      <w:r w:rsidRPr="00A51779">
        <w:rPr>
          <w:noProof/>
        </w:rPr>
        <w:lastRenderedPageBreak/>
        <w:drawing>
          <wp:inline distT="0" distB="0" distL="0" distR="0" wp14:anchorId="6875C461" wp14:editId="08FBA1A5">
            <wp:extent cx="4572000" cy="3333750"/>
            <wp:effectExtent l="0" t="0" r="0" b="0"/>
            <wp:docPr id="1003770257" name="Picture 100377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333750"/>
                    </a:xfrm>
                    <a:prstGeom prst="rect">
                      <a:avLst/>
                    </a:prstGeom>
                  </pic:spPr>
                </pic:pic>
              </a:graphicData>
            </a:graphic>
          </wp:inline>
        </w:drawing>
      </w:r>
    </w:p>
    <w:p w14:paraId="60515405" w14:textId="6856CBC4" w:rsidR="00FC10EE" w:rsidRPr="00A51779" w:rsidRDefault="00357E8D" w:rsidP="00FC10EE">
      <w:pPr>
        <w:spacing w:before="160" w:line="480" w:lineRule="auto"/>
        <w:jc w:val="both"/>
      </w:pPr>
      <w:r w:rsidRPr="00A51779">
        <w:t>Fig</w:t>
      </w:r>
      <w:r w:rsidR="00FC10EE" w:rsidRPr="00A51779">
        <w:t>.</w:t>
      </w:r>
      <w:r w:rsidRPr="00A51779">
        <w:t xml:space="preserve"> 1</w:t>
      </w:r>
      <w:r w:rsidR="0079599D">
        <w:t>6</w:t>
      </w:r>
      <w:r w:rsidRPr="00A51779">
        <w:t xml:space="preserve">. </w:t>
      </w:r>
      <w:r w:rsidR="00FC10EE" w:rsidRPr="00A51779">
        <w:t>Nationwide mean R</w:t>
      </w:r>
      <w:r w:rsidR="00FC10EE" w:rsidRPr="00A51779">
        <w:rPr>
          <w:vertAlign w:val="superscript"/>
        </w:rPr>
        <w:t>2</w:t>
      </w:r>
      <w:r w:rsidR="00FC10EE" w:rsidRPr="00A51779">
        <w:t xml:space="preserve"> by forecast horizon for ridge regression, GAM, and HGB across all 45 multihorizon-eligible states.</w:t>
      </w:r>
    </w:p>
    <w:p w14:paraId="76FCFFB5" w14:textId="042A281B" w:rsidR="00E76F19" w:rsidRPr="00A51779" w:rsidRDefault="00E76F19" w:rsidP="00FC10EE">
      <w:pPr>
        <w:spacing w:before="160" w:line="480" w:lineRule="auto"/>
        <w:jc w:val="both"/>
      </w:pPr>
      <w:r w:rsidRPr="00A51779">
        <w:rPr>
          <w:noProof/>
        </w:rPr>
        <w:drawing>
          <wp:inline distT="0" distB="0" distL="0" distR="0" wp14:anchorId="63404302" wp14:editId="33578C54">
            <wp:extent cx="4000500" cy="3648075"/>
            <wp:effectExtent l="0" t="0" r="0" b="0"/>
            <wp:docPr id="1042359199" name="Picture 104235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3648075"/>
                    </a:xfrm>
                    <a:prstGeom prst="rect">
                      <a:avLst/>
                    </a:prstGeom>
                  </pic:spPr>
                </pic:pic>
              </a:graphicData>
            </a:graphic>
          </wp:inline>
        </w:drawing>
      </w:r>
    </w:p>
    <w:p w14:paraId="74D38D59" w14:textId="363DE8DF" w:rsidR="00E76F19" w:rsidRPr="00A51779" w:rsidRDefault="00E76F19" w:rsidP="00E76F19">
      <w:pPr>
        <w:spacing w:line="480" w:lineRule="auto"/>
        <w:jc w:val="both"/>
      </w:pPr>
      <w:r w:rsidRPr="00A51779">
        <w:lastRenderedPageBreak/>
        <w:t>Fig</w:t>
      </w:r>
      <w:r w:rsidR="00FC10EE" w:rsidRPr="00A51779">
        <w:t>. 1</w:t>
      </w:r>
      <w:r w:rsidR="0079599D">
        <w:t>7</w:t>
      </w:r>
      <w:r w:rsidR="00FC10EE" w:rsidRPr="00A51779">
        <w:t xml:space="preserve">. </w:t>
      </w:r>
      <w:r w:rsidRPr="00A51779">
        <w:t>GAM-ridge versus the total HGB</w:t>
      </w:r>
      <w:r w:rsidR="001A1C94" w:rsidRPr="00A51779">
        <w:t>-</w:t>
      </w:r>
      <w:r w:rsidRPr="00A51779">
        <w:t>ridge gap, all 45 states × 7 horizons. Points near the dashed identity line indicate GAM alone reproduces the HGB advantage.</w:t>
      </w:r>
    </w:p>
    <w:p w14:paraId="3068B690" w14:textId="68143FE1" w:rsidR="00B919ED" w:rsidRPr="00A51779" w:rsidRDefault="00FF326E" w:rsidP="00703316">
      <w:pPr>
        <w:spacing w:line="480" w:lineRule="auto"/>
        <w:jc w:val="both"/>
      </w:pPr>
      <w:r w:rsidRPr="00A51779">
        <w:t>Fig. 1</w:t>
      </w:r>
      <w:r w:rsidR="00B22838">
        <w:t>8</w:t>
      </w:r>
      <w:r w:rsidRPr="00A51779">
        <w:t xml:space="preserve"> retains the original three-state illustration of the same pattern. </w:t>
      </w:r>
      <w:r w:rsidR="00B919ED" w:rsidRPr="00A51779">
        <w:t>Averaged across TX, PA, and CA, the GAM</w:t>
      </w:r>
      <w:r w:rsidR="00A25972" w:rsidRPr="00A25972">
        <w:rPr>
          <w:lang w:val="en-US"/>
        </w:rPr>
        <w:t>-</w:t>
      </w:r>
      <w:r w:rsidR="00B919ED" w:rsidRPr="00A51779">
        <w:t xml:space="preserve">ridge difference increases from </w:t>
      </w:r>
      <m:oMath>
        <m:r>
          <w:rPr>
            <w:rFonts w:ascii="Cambria Math" w:hAnsi="Cambria Math"/>
          </w:rPr>
          <m:t>-0.0062</m:t>
        </m:r>
      </m:oMath>
      <w:r w:rsidR="00210F0B" w:rsidRPr="00A51779">
        <w:t xml:space="preserve"> </w:t>
      </w:r>
      <w:r w:rsidR="00B919ED" w:rsidRPr="00A51779">
        <w:t xml:space="preserve">at one day to </w:t>
      </w:r>
      <m:oMath>
        <m:r>
          <w:rPr>
            <w:rFonts w:ascii="Cambria Math" w:hAnsi="Cambria Math"/>
          </w:rPr>
          <m:t>+0.1242</m:t>
        </m:r>
      </m:oMath>
      <w:r w:rsidR="00210F0B" w:rsidRPr="00A51779">
        <w:t xml:space="preserve"> </w:t>
      </w:r>
      <w:r w:rsidR="00B919ED" w:rsidRPr="00A51779">
        <w:t>at fourteen days, closely tracking the overall ridge</w:t>
      </w:r>
      <w:r w:rsidR="00210F0B" w:rsidRPr="00A51779">
        <w:t>-</w:t>
      </w:r>
      <w:r w:rsidR="00B919ED" w:rsidRPr="00A51779">
        <w:t>HGB gap. The residual HGB</w:t>
      </w:r>
      <w:r w:rsidR="00210F0B" w:rsidRPr="00A51779">
        <w:t>-</w:t>
      </w:r>
      <w:r w:rsidR="00B919ED" w:rsidRPr="00A51779">
        <w:t>GAM difference remains comparatively small and shows no corresponding monotonic horizon trend.</w:t>
      </w:r>
    </w:p>
    <w:p w14:paraId="3C308136" w14:textId="68154DEC" w:rsidR="00B919ED" w:rsidRPr="004219A9" w:rsidRDefault="00B919ED" w:rsidP="00703316">
      <w:pPr>
        <w:spacing w:line="480" w:lineRule="auto"/>
        <w:jc w:val="both"/>
      </w:pPr>
      <w:r w:rsidRPr="004219A9">
        <w:t xml:space="preserve">Table </w:t>
      </w:r>
      <w:r w:rsidR="004219A9" w:rsidRPr="004219A9">
        <w:t>20</w:t>
      </w:r>
      <w:r w:rsidRPr="004219A9">
        <w:t>. GAM decomposition of the ridge-HGB gap, mean of TX/PA/CA by horizon.</w:t>
      </w:r>
    </w:p>
    <w:tbl>
      <w:tblPr>
        <w:tblStyle w:val="PlainTable2"/>
        <w:tblW w:w="5000" w:type="pct"/>
        <w:tblLook w:val="04A0" w:firstRow="1" w:lastRow="0" w:firstColumn="1" w:lastColumn="0" w:noHBand="0" w:noVBand="1"/>
      </w:tblPr>
      <w:tblGrid>
        <w:gridCol w:w="2129"/>
        <w:gridCol w:w="1924"/>
        <w:gridCol w:w="1924"/>
        <w:gridCol w:w="3383"/>
      </w:tblGrid>
      <w:tr w:rsidR="00B919ED" w:rsidRPr="00A51779" w14:paraId="1C6A30C6"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2BD9D8B9" w14:textId="77777777" w:rsidR="00B919ED" w:rsidRPr="00A51779" w:rsidRDefault="00B919ED" w:rsidP="00703316">
            <w:pPr>
              <w:spacing w:line="480" w:lineRule="auto"/>
              <w:jc w:val="both"/>
            </w:pPr>
            <w:r w:rsidRPr="00A51779">
              <w:t>Horizon (days)</w:t>
            </w:r>
          </w:p>
        </w:tc>
        <w:tc>
          <w:tcPr>
            <w:tcW w:w="1006" w:type="pct"/>
            <w:hideMark/>
          </w:tcPr>
          <w:p w14:paraId="5F5BFE75" w14:textId="3389C856"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GAM </w:t>
            </w:r>
            <w:r w:rsidR="00210F0B" w:rsidRPr="00A51779">
              <w:t>-</w:t>
            </w:r>
            <w:r w:rsidRPr="00A51779">
              <w:t xml:space="preserve"> ridge</w:t>
            </w:r>
          </w:p>
        </w:tc>
        <w:tc>
          <w:tcPr>
            <w:tcW w:w="1006" w:type="pct"/>
            <w:hideMark/>
          </w:tcPr>
          <w:p w14:paraId="673DB2C2" w14:textId="29C710E9"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GAM</w:t>
            </w:r>
          </w:p>
        </w:tc>
        <w:tc>
          <w:tcPr>
            <w:tcW w:w="1768" w:type="pct"/>
            <w:hideMark/>
          </w:tcPr>
          <w:p w14:paraId="44FF97AA" w14:textId="450F3D5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ridge (total gap)</w:t>
            </w:r>
          </w:p>
        </w:tc>
      </w:tr>
      <w:tr w:rsidR="00B919ED" w:rsidRPr="00A51779" w14:paraId="5E7508E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30DDD181" w14:textId="77777777" w:rsidR="00B919ED" w:rsidRPr="00A51779" w:rsidRDefault="00B919ED" w:rsidP="00703316">
            <w:pPr>
              <w:spacing w:line="480" w:lineRule="auto"/>
              <w:jc w:val="both"/>
            </w:pPr>
            <w:r w:rsidRPr="00A51779">
              <w:t>1</w:t>
            </w:r>
          </w:p>
        </w:tc>
        <w:tc>
          <w:tcPr>
            <w:tcW w:w="1006" w:type="pct"/>
            <w:hideMark/>
          </w:tcPr>
          <w:p w14:paraId="48BB16D5" w14:textId="49D7E4D3"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0.0062</w:t>
            </w:r>
          </w:p>
        </w:tc>
        <w:tc>
          <w:tcPr>
            <w:tcW w:w="1006" w:type="pct"/>
            <w:hideMark/>
          </w:tcPr>
          <w:p w14:paraId="4C67C278" w14:textId="26D22F9E"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0.0059</w:t>
            </w:r>
          </w:p>
        </w:tc>
        <w:tc>
          <w:tcPr>
            <w:tcW w:w="1768" w:type="pct"/>
            <w:hideMark/>
          </w:tcPr>
          <w:p w14:paraId="439C4E4F" w14:textId="26A170D7"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0.0003</w:t>
            </w:r>
          </w:p>
        </w:tc>
      </w:tr>
      <w:tr w:rsidR="00B919ED" w:rsidRPr="00A51779" w14:paraId="4914B7C5" w14:textId="77777777" w:rsidTr="00450A61">
        <w:tc>
          <w:tcPr>
            <w:cnfStyle w:val="001000000000" w:firstRow="0" w:lastRow="0" w:firstColumn="1" w:lastColumn="0" w:oddVBand="0" w:evenVBand="0" w:oddHBand="0" w:evenHBand="0" w:firstRowFirstColumn="0" w:firstRowLastColumn="0" w:lastRowFirstColumn="0" w:lastRowLastColumn="0"/>
            <w:tcW w:w="1113" w:type="pct"/>
            <w:hideMark/>
          </w:tcPr>
          <w:p w14:paraId="4AE4A9AA" w14:textId="77777777" w:rsidR="00B919ED" w:rsidRPr="00A51779" w:rsidRDefault="00B919ED" w:rsidP="00703316">
            <w:pPr>
              <w:spacing w:line="480" w:lineRule="auto"/>
              <w:jc w:val="both"/>
            </w:pPr>
            <w:r w:rsidRPr="00A51779">
              <w:t>2</w:t>
            </w:r>
          </w:p>
        </w:tc>
        <w:tc>
          <w:tcPr>
            <w:tcW w:w="1006" w:type="pct"/>
            <w:hideMark/>
          </w:tcPr>
          <w:p w14:paraId="414DCDBA" w14:textId="1A52FC87"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0.0031</w:t>
            </w:r>
          </w:p>
        </w:tc>
        <w:tc>
          <w:tcPr>
            <w:tcW w:w="1006" w:type="pct"/>
            <w:hideMark/>
          </w:tcPr>
          <w:p w14:paraId="60DA32C8" w14:textId="5943507E"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0.0015</w:t>
            </w:r>
          </w:p>
        </w:tc>
        <w:tc>
          <w:tcPr>
            <w:tcW w:w="1768" w:type="pct"/>
            <w:hideMark/>
          </w:tcPr>
          <w:p w14:paraId="2DDB172C" w14:textId="3D8A697A"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0.0046</w:t>
            </w:r>
          </w:p>
        </w:tc>
      </w:tr>
      <w:tr w:rsidR="00B919ED" w:rsidRPr="00A51779" w14:paraId="1E35F782"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3ADAD0AA" w14:textId="77777777" w:rsidR="00B919ED" w:rsidRPr="00A51779" w:rsidRDefault="00B919ED" w:rsidP="00703316">
            <w:pPr>
              <w:spacing w:line="480" w:lineRule="auto"/>
              <w:jc w:val="both"/>
            </w:pPr>
            <w:r w:rsidRPr="00A51779">
              <w:t>3</w:t>
            </w:r>
          </w:p>
        </w:tc>
        <w:tc>
          <w:tcPr>
            <w:tcW w:w="1006" w:type="pct"/>
            <w:hideMark/>
          </w:tcPr>
          <w:p w14:paraId="7783EA43" w14:textId="4DA1C659"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0.0145</w:t>
            </w:r>
          </w:p>
        </w:tc>
        <w:tc>
          <w:tcPr>
            <w:tcW w:w="1006" w:type="pct"/>
            <w:hideMark/>
          </w:tcPr>
          <w:p w14:paraId="1ABF0ABF" w14:textId="0D12D947"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0.0026</w:t>
            </w:r>
          </w:p>
        </w:tc>
        <w:tc>
          <w:tcPr>
            <w:tcW w:w="1768" w:type="pct"/>
            <w:hideMark/>
          </w:tcPr>
          <w:p w14:paraId="2E0C0559" w14:textId="6CA2A16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0.0119</w:t>
            </w:r>
          </w:p>
        </w:tc>
      </w:tr>
      <w:tr w:rsidR="00B919ED" w:rsidRPr="00A51779" w14:paraId="7A97A3CE" w14:textId="77777777" w:rsidTr="00450A61">
        <w:tc>
          <w:tcPr>
            <w:cnfStyle w:val="001000000000" w:firstRow="0" w:lastRow="0" w:firstColumn="1" w:lastColumn="0" w:oddVBand="0" w:evenVBand="0" w:oddHBand="0" w:evenHBand="0" w:firstRowFirstColumn="0" w:firstRowLastColumn="0" w:lastRowFirstColumn="0" w:lastRowLastColumn="0"/>
            <w:tcW w:w="1113" w:type="pct"/>
            <w:hideMark/>
          </w:tcPr>
          <w:p w14:paraId="1764F758" w14:textId="77777777" w:rsidR="00B919ED" w:rsidRPr="00A51779" w:rsidRDefault="00B919ED" w:rsidP="00703316">
            <w:pPr>
              <w:spacing w:line="480" w:lineRule="auto"/>
              <w:jc w:val="both"/>
            </w:pPr>
            <w:r w:rsidRPr="00A51779">
              <w:t>5</w:t>
            </w:r>
          </w:p>
        </w:tc>
        <w:tc>
          <w:tcPr>
            <w:tcW w:w="1006" w:type="pct"/>
            <w:hideMark/>
          </w:tcPr>
          <w:p w14:paraId="17719887" w14:textId="75C0BA72"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0.0519</w:t>
            </w:r>
          </w:p>
        </w:tc>
        <w:tc>
          <w:tcPr>
            <w:tcW w:w="1006" w:type="pct"/>
            <w:hideMark/>
          </w:tcPr>
          <w:p w14:paraId="7BF5374D" w14:textId="7F5D5AA6"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0.0183</w:t>
            </w:r>
          </w:p>
        </w:tc>
        <w:tc>
          <w:tcPr>
            <w:tcW w:w="1768" w:type="pct"/>
            <w:hideMark/>
          </w:tcPr>
          <w:p w14:paraId="09577106" w14:textId="55CF0E88"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0.0336</w:t>
            </w:r>
          </w:p>
        </w:tc>
      </w:tr>
      <w:tr w:rsidR="00B919ED" w:rsidRPr="00A51779" w14:paraId="6926B02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2674119F" w14:textId="77777777" w:rsidR="00B919ED" w:rsidRPr="00A51779" w:rsidRDefault="00B919ED" w:rsidP="00703316">
            <w:pPr>
              <w:spacing w:line="480" w:lineRule="auto"/>
              <w:jc w:val="both"/>
            </w:pPr>
            <w:r w:rsidRPr="00A51779">
              <w:t>7</w:t>
            </w:r>
          </w:p>
        </w:tc>
        <w:tc>
          <w:tcPr>
            <w:tcW w:w="1006" w:type="pct"/>
            <w:hideMark/>
          </w:tcPr>
          <w:p w14:paraId="4DD4B6EF" w14:textId="6C3693C9"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0.0742</w:t>
            </w:r>
          </w:p>
        </w:tc>
        <w:tc>
          <w:tcPr>
            <w:tcW w:w="1006" w:type="pct"/>
            <w:hideMark/>
          </w:tcPr>
          <w:p w14:paraId="747AD52C" w14:textId="3890117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0.0023</w:t>
            </w:r>
          </w:p>
        </w:tc>
        <w:tc>
          <w:tcPr>
            <w:tcW w:w="1768" w:type="pct"/>
            <w:hideMark/>
          </w:tcPr>
          <w:p w14:paraId="2750FDD6" w14:textId="1487C76A"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0.0765</w:t>
            </w:r>
          </w:p>
        </w:tc>
      </w:tr>
      <w:tr w:rsidR="00B919ED" w:rsidRPr="00A51779" w14:paraId="1A8F2A6B" w14:textId="77777777" w:rsidTr="00450A61">
        <w:tc>
          <w:tcPr>
            <w:cnfStyle w:val="001000000000" w:firstRow="0" w:lastRow="0" w:firstColumn="1" w:lastColumn="0" w:oddVBand="0" w:evenVBand="0" w:oddHBand="0" w:evenHBand="0" w:firstRowFirstColumn="0" w:firstRowLastColumn="0" w:lastRowFirstColumn="0" w:lastRowLastColumn="0"/>
            <w:tcW w:w="1113" w:type="pct"/>
            <w:hideMark/>
          </w:tcPr>
          <w:p w14:paraId="0C4128A8" w14:textId="77777777" w:rsidR="00B919ED" w:rsidRPr="00A51779" w:rsidRDefault="00B919ED" w:rsidP="00703316">
            <w:pPr>
              <w:spacing w:line="480" w:lineRule="auto"/>
              <w:jc w:val="both"/>
            </w:pPr>
            <w:r w:rsidRPr="00A51779">
              <w:t>10</w:t>
            </w:r>
          </w:p>
        </w:tc>
        <w:tc>
          <w:tcPr>
            <w:tcW w:w="1006" w:type="pct"/>
            <w:hideMark/>
          </w:tcPr>
          <w:p w14:paraId="3AC17000" w14:textId="4D5B5A3B"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0.1116</w:t>
            </w:r>
          </w:p>
        </w:tc>
        <w:tc>
          <w:tcPr>
            <w:tcW w:w="1006" w:type="pct"/>
            <w:hideMark/>
          </w:tcPr>
          <w:p w14:paraId="29F287F8" w14:textId="09C8BA64"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0.0063</w:t>
            </w:r>
          </w:p>
        </w:tc>
        <w:tc>
          <w:tcPr>
            <w:tcW w:w="1768" w:type="pct"/>
            <w:hideMark/>
          </w:tcPr>
          <w:p w14:paraId="5856F202" w14:textId="097DC69C"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0.1179</w:t>
            </w:r>
          </w:p>
        </w:tc>
      </w:tr>
      <w:tr w:rsidR="00B919ED" w:rsidRPr="00A51779" w14:paraId="2B102E1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015B0FBC" w14:textId="77777777" w:rsidR="00B919ED" w:rsidRPr="00A51779" w:rsidRDefault="00B919ED" w:rsidP="00703316">
            <w:pPr>
              <w:spacing w:line="480" w:lineRule="auto"/>
              <w:jc w:val="both"/>
            </w:pPr>
            <w:r w:rsidRPr="00A51779">
              <w:t>14</w:t>
            </w:r>
          </w:p>
        </w:tc>
        <w:tc>
          <w:tcPr>
            <w:tcW w:w="1006" w:type="pct"/>
            <w:hideMark/>
          </w:tcPr>
          <w:p w14:paraId="1D775001" w14:textId="7FFF93D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0.1242</w:t>
            </w:r>
          </w:p>
        </w:tc>
        <w:tc>
          <w:tcPr>
            <w:tcW w:w="1006" w:type="pct"/>
            <w:hideMark/>
          </w:tcPr>
          <w:p w14:paraId="0544EC64" w14:textId="0D55D6B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0.0070</w:t>
            </w:r>
          </w:p>
        </w:tc>
        <w:tc>
          <w:tcPr>
            <w:tcW w:w="1768" w:type="pct"/>
            <w:hideMark/>
          </w:tcPr>
          <w:p w14:paraId="402D75E2" w14:textId="5A36E76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0.1312</w:t>
            </w:r>
          </w:p>
        </w:tc>
      </w:tr>
    </w:tbl>
    <w:p w14:paraId="0CEDFF80" w14:textId="77777777" w:rsidR="00336CF0" w:rsidRPr="00A51779" w:rsidRDefault="00336CF0" w:rsidP="00703316">
      <w:pPr>
        <w:spacing w:line="480" w:lineRule="auto"/>
        <w:jc w:val="both"/>
      </w:pPr>
    </w:p>
    <w:p w14:paraId="26C5E9F3" w14:textId="1108B229" w:rsidR="00B919ED" w:rsidRPr="00A51779" w:rsidRDefault="00B919ED" w:rsidP="00703316">
      <w:pPr>
        <w:spacing w:line="480" w:lineRule="auto"/>
        <w:jc w:val="both"/>
      </w:pPr>
      <w:r w:rsidRPr="00A51779">
        <w:t>PA provides the clearest separation: at fourteen days, GAM</w:t>
      </w:r>
      <w:r w:rsidR="00210F0B" w:rsidRPr="00A51779">
        <w:t>-</w:t>
      </w:r>
      <w:r w:rsidRPr="00A51779">
        <w:t xml:space="preserve">ridge reaches </w:t>
      </w:r>
      <m:oMath>
        <m:r>
          <w:rPr>
            <w:rFonts w:ascii="Cambria Math" w:hAnsi="Cambria Math"/>
          </w:rPr>
          <m:t>+0.191</m:t>
        </m:r>
      </m:oMath>
      <w:r w:rsidRPr="00A51779">
        <w:t>, whereas HGB</w:t>
      </w:r>
      <w:r w:rsidR="00210F0B" w:rsidRPr="00A51779">
        <w:t>-</w:t>
      </w:r>
      <w:r w:rsidRPr="00A51779">
        <w:t xml:space="preserve">GAM is only </w:t>
      </w:r>
      <m:oMath>
        <m:r>
          <w:rPr>
            <w:rFonts w:ascii="Cambria Math" w:hAnsi="Cambria Math"/>
          </w:rPr>
          <m:t>+0.030</m:t>
        </m:r>
      </m:oMath>
      <w:r w:rsidRPr="00A51779">
        <w:t>. TX and CA show smaller but qualitatively similar patterns. Whatever additional nonlinear structure becomes useful at longer horizons, the results indicate that GAM already captures most of it with an explicitly interaction-free specification. Most of the value of increased complexity as persistence decays is therefore reproducible by smooth univariate nonlinearities rather than requiring interactions among CO</w:t>
      </w:r>
      <w:r w:rsidR="00295BA3" w:rsidRPr="00295BA3">
        <w:rPr>
          <w:vertAlign w:val="subscript"/>
          <w:lang w:val="en-US"/>
        </w:rPr>
        <w:t>2</w:t>
      </w:r>
      <w:r w:rsidRPr="00A51779">
        <w:t>-history, calendar, and operational predictors.</w:t>
      </w:r>
    </w:p>
    <w:p w14:paraId="19A8E013" w14:textId="77777777" w:rsidR="00357E8D" w:rsidRPr="00A51779" w:rsidRDefault="00357E8D" w:rsidP="00703316">
      <w:pPr>
        <w:spacing w:before="160" w:line="480" w:lineRule="auto"/>
        <w:jc w:val="both"/>
      </w:pPr>
      <w:r w:rsidRPr="00A51779">
        <w:rPr>
          <w:noProof/>
        </w:rPr>
        <w:lastRenderedPageBreak/>
        <w:drawing>
          <wp:inline distT="0" distB="0" distL="0" distR="0" wp14:anchorId="3481519B" wp14:editId="60247E73">
            <wp:extent cx="4572000" cy="3333750"/>
            <wp:effectExtent l="0" t="0" r="0" b="0"/>
            <wp:docPr id="633501769" name="Picture 63350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333750"/>
                    </a:xfrm>
                    <a:prstGeom prst="rect">
                      <a:avLst/>
                    </a:prstGeom>
                  </pic:spPr>
                </pic:pic>
              </a:graphicData>
            </a:graphic>
          </wp:inline>
        </w:drawing>
      </w:r>
    </w:p>
    <w:p w14:paraId="0049783C" w14:textId="3A98A8A5" w:rsidR="00FF326E" w:rsidRPr="00A51779" w:rsidRDefault="00FF326E" w:rsidP="00FF326E">
      <w:pPr>
        <w:spacing w:line="480" w:lineRule="auto"/>
        <w:jc w:val="both"/>
      </w:pPr>
      <w:r w:rsidRPr="00A51779">
        <w:t>Fig. 1</w:t>
      </w:r>
      <w:r w:rsidR="0079599D">
        <w:t>8</w:t>
      </w:r>
      <w:r w:rsidR="00357E8D" w:rsidRPr="00A51779">
        <w:t xml:space="preserve">. </w:t>
      </w:r>
      <w:r w:rsidRPr="00A51779">
        <w:t>Mean R</w:t>
      </w:r>
      <w:r w:rsidRPr="00A51779">
        <w:rPr>
          <w:vertAlign w:val="superscript"/>
        </w:rPr>
        <w:t>2</w:t>
      </w:r>
      <w:r w:rsidRPr="00A51779">
        <w:t xml:space="preserve"> by forecast horizon for ridge regression, GAM, and HGB in Texas, Pennsylvania, and California.</w:t>
      </w:r>
    </w:p>
    <w:p w14:paraId="01F859BD" w14:textId="0227EDBF" w:rsidR="00B919ED" w:rsidRPr="00A51779" w:rsidRDefault="00B919ED" w:rsidP="00703316">
      <w:pPr>
        <w:spacing w:line="480" w:lineRule="auto"/>
        <w:jc w:val="both"/>
      </w:pPr>
      <w:r w:rsidRPr="00A51779">
        <w:t>A final robustness analysis examined whether the complete 1</w:t>
      </w:r>
      <w:r w:rsidR="00210F0B" w:rsidRPr="00A51779">
        <w:t>-</w:t>
      </w:r>
      <w:r w:rsidRPr="00A51779">
        <w:t>14-day crossover persists under substantially broader hyperparameter searches. The full 45-state × seven-horizon sweep was repeated using 30 ridge regularization values and 60 HGB configurations instead of the primary 12-point searches.</w:t>
      </w:r>
    </w:p>
    <w:p w14:paraId="2F974FD3" w14:textId="4EFF2F28" w:rsidR="00B919ED" w:rsidRPr="00A51779" w:rsidRDefault="00B919ED" w:rsidP="00703316">
      <w:pPr>
        <w:spacing w:line="480" w:lineRule="auto"/>
        <w:jc w:val="both"/>
      </w:pPr>
      <w:r w:rsidRPr="00A51779">
        <w:t>The resulting national trajectory was essentially unchanged. At one day, the expanded search produced a mean HGB</w:t>
      </w:r>
      <w:r w:rsidR="00210F0B" w:rsidRPr="00A51779">
        <w:t>-</w:t>
      </w:r>
      <w:r w:rsidRPr="00A51779">
        <w:t xml:space="preserve">ridge difference of </w:t>
      </w:r>
      <m:oMath>
        <m:r>
          <w:rPr>
            <w:rFonts w:ascii="Cambria Math" w:hAnsi="Cambria Math"/>
          </w:rPr>
          <m:t>-0.0075</m:t>
        </m:r>
      </m:oMath>
      <w:r w:rsidRPr="00A51779">
        <w:t xml:space="preserve">, compared with </w:t>
      </w:r>
      <m:oMath>
        <m:r>
          <w:rPr>
            <w:rFonts w:ascii="Cambria Math" w:hAnsi="Cambria Math"/>
          </w:rPr>
          <m:t>-0.0065</m:t>
        </m:r>
      </m:oMath>
      <w:r w:rsidR="00210F0B" w:rsidRPr="00A51779">
        <w:t xml:space="preserve"> </w:t>
      </w:r>
      <w:r w:rsidRPr="00A51779">
        <w:t xml:space="preserve">under the primary specification, and both confidence intervals excluded zero. Both specifications crossed zero between two and three days and showed confidence intervals favoring HGB from five days onward. At fourteen days, the expanded-search difference remained large at </w:t>
      </w:r>
      <m:oMath>
        <m:r>
          <w:rPr>
            <w:rFonts w:ascii="Cambria Math" w:hAnsi="Cambria Math"/>
          </w:rPr>
          <m:t>+0.1020</m:t>
        </m:r>
      </m:oMath>
      <w:r w:rsidRPr="00A51779">
        <w:t xml:space="preserve">, compared with </w:t>
      </w:r>
      <m:oMath>
        <m:r>
          <w:rPr>
            <w:rFonts w:ascii="Cambria Math" w:hAnsi="Cambria Math"/>
          </w:rPr>
          <m:t>+0.1084</m:t>
        </m:r>
      </m:oMath>
      <w:r w:rsidR="00210F0B" w:rsidRPr="00A51779">
        <w:t xml:space="preserve"> </w:t>
      </w:r>
      <w:r w:rsidRPr="00A51779">
        <w:t>under the primary search.</w:t>
      </w:r>
    </w:p>
    <w:p w14:paraId="5ADE12EA" w14:textId="22437176" w:rsidR="00B919ED" w:rsidRPr="004219A9" w:rsidRDefault="00B919ED" w:rsidP="00703316">
      <w:pPr>
        <w:spacing w:line="480" w:lineRule="auto"/>
        <w:jc w:val="both"/>
      </w:pPr>
      <w:r w:rsidRPr="004219A9">
        <w:lastRenderedPageBreak/>
        <w:t xml:space="preserve">Table </w:t>
      </w:r>
      <w:r w:rsidR="004219A9" w:rsidRPr="004219A9">
        <w:t>21</w:t>
      </w:r>
      <w:r w:rsidRPr="004219A9">
        <w:t>. National mean R</w:t>
      </w:r>
      <w:r w:rsidR="00210F0B" w:rsidRPr="004219A9">
        <w:rPr>
          <w:vertAlign w:val="superscript"/>
        </w:rPr>
        <w:t>2</w:t>
      </w:r>
      <w:r w:rsidRPr="004219A9">
        <w:t>(HGB)</w:t>
      </w:r>
      <w:r w:rsidR="00210F0B" w:rsidRPr="004219A9">
        <w:t>-</w:t>
      </w:r>
      <w:r w:rsidRPr="004219A9">
        <w:t>R</w:t>
      </w:r>
      <w:r w:rsidR="00210F0B" w:rsidRPr="004219A9">
        <w:rPr>
          <w:vertAlign w:val="superscript"/>
        </w:rPr>
        <w:t>2</w:t>
      </w:r>
      <w:r w:rsidRPr="004219A9">
        <w:t>(ridge) by horizon, primary versus expanded hyperparameter search (45 states).</w:t>
      </w:r>
    </w:p>
    <w:tbl>
      <w:tblPr>
        <w:tblStyle w:val="PlainTable2"/>
        <w:tblW w:w="5000" w:type="pct"/>
        <w:tblLook w:val="04A0" w:firstRow="1" w:lastRow="0" w:firstColumn="1" w:lastColumn="0" w:noHBand="0" w:noVBand="1"/>
      </w:tblPr>
      <w:tblGrid>
        <w:gridCol w:w="1708"/>
        <w:gridCol w:w="2347"/>
        <w:gridCol w:w="3147"/>
        <w:gridCol w:w="2158"/>
      </w:tblGrid>
      <w:tr w:rsidR="00B919ED" w:rsidRPr="00A51779" w14:paraId="627B4D9F"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148893DF" w14:textId="77777777" w:rsidR="00B919ED" w:rsidRPr="00A51779" w:rsidRDefault="00B919ED" w:rsidP="00703316">
            <w:pPr>
              <w:spacing w:line="480" w:lineRule="auto"/>
              <w:jc w:val="both"/>
            </w:pPr>
            <w:r w:rsidRPr="00A51779">
              <w:t>Horizon (days)</w:t>
            </w:r>
          </w:p>
        </w:tc>
        <w:tc>
          <w:tcPr>
            <w:tcW w:w="1254" w:type="pct"/>
            <w:hideMark/>
          </w:tcPr>
          <w:p w14:paraId="569D84F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Primary (12-pt grids)</w:t>
            </w:r>
          </w:p>
        </w:tc>
        <w:tc>
          <w:tcPr>
            <w:tcW w:w="1681" w:type="pct"/>
            <w:hideMark/>
          </w:tcPr>
          <w:p w14:paraId="7402BEFC"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Expanded (30-ridge/60-HGB)</w:t>
            </w:r>
          </w:p>
        </w:tc>
        <w:tc>
          <w:tcPr>
            <w:tcW w:w="1153" w:type="pct"/>
            <w:hideMark/>
          </w:tcPr>
          <w:p w14:paraId="2865BFC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Absolute difference</w:t>
            </w:r>
          </w:p>
        </w:tc>
      </w:tr>
      <w:tr w:rsidR="00B919ED" w:rsidRPr="00A51779" w14:paraId="30A7E77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2F5DB12B" w14:textId="77777777" w:rsidR="00B919ED" w:rsidRPr="00A51779" w:rsidRDefault="00B919ED" w:rsidP="00703316">
            <w:pPr>
              <w:spacing w:line="480" w:lineRule="auto"/>
              <w:jc w:val="both"/>
            </w:pPr>
            <w:r w:rsidRPr="00A51779">
              <w:t>1</w:t>
            </w:r>
          </w:p>
        </w:tc>
        <w:tc>
          <w:tcPr>
            <w:tcW w:w="1254" w:type="pct"/>
            <w:hideMark/>
          </w:tcPr>
          <w:p w14:paraId="38628162" w14:textId="3CC70AB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0.0065</w:t>
            </w:r>
          </w:p>
        </w:tc>
        <w:tc>
          <w:tcPr>
            <w:tcW w:w="1681" w:type="pct"/>
            <w:hideMark/>
          </w:tcPr>
          <w:p w14:paraId="360A605F" w14:textId="6B82A4B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0.0075</w:t>
            </w:r>
          </w:p>
        </w:tc>
        <w:tc>
          <w:tcPr>
            <w:tcW w:w="1153" w:type="pct"/>
            <w:hideMark/>
          </w:tcPr>
          <w:p w14:paraId="471FF93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0.0010</w:t>
            </w:r>
          </w:p>
        </w:tc>
      </w:tr>
      <w:tr w:rsidR="00B919ED" w:rsidRPr="00A51779" w14:paraId="0FF49CDA" w14:textId="77777777" w:rsidTr="00450A61">
        <w:tc>
          <w:tcPr>
            <w:cnfStyle w:val="001000000000" w:firstRow="0" w:lastRow="0" w:firstColumn="1" w:lastColumn="0" w:oddVBand="0" w:evenVBand="0" w:oddHBand="0" w:evenHBand="0" w:firstRowFirstColumn="0" w:firstRowLastColumn="0" w:lastRowFirstColumn="0" w:lastRowLastColumn="0"/>
            <w:tcW w:w="912" w:type="pct"/>
            <w:hideMark/>
          </w:tcPr>
          <w:p w14:paraId="34672362" w14:textId="77777777" w:rsidR="00B919ED" w:rsidRPr="00A51779" w:rsidRDefault="00B919ED" w:rsidP="00703316">
            <w:pPr>
              <w:spacing w:line="480" w:lineRule="auto"/>
              <w:jc w:val="both"/>
            </w:pPr>
            <w:r w:rsidRPr="00A51779">
              <w:t>2</w:t>
            </w:r>
          </w:p>
        </w:tc>
        <w:tc>
          <w:tcPr>
            <w:tcW w:w="1254" w:type="pct"/>
            <w:hideMark/>
          </w:tcPr>
          <w:p w14:paraId="73C5430F" w14:textId="41D3B119"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0.0017</w:t>
            </w:r>
          </w:p>
        </w:tc>
        <w:tc>
          <w:tcPr>
            <w:tcW w:w="1681" w:type="pct"/>
            <w:hideMark/>
          </w:tcPr>
          <w:p w14:paraId="71AA9C32" w14:textId="5AC5F02D"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0.0006</w:t>
            </w:r>
          </w:p>
        </w:tc>
        <w:tc>
          <w:tcPr>
            <w:tcW w:w="1153" w:type="pct"/>
            <w:hideMark/>
          </w:tcPr>
          <w:p w14:paraId="39370CD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0.0011</w:t>
            </w:r>
          </w:p>
        </w:tc>
      </w:tr>
      <w:tr w:rsidR="00B919ED" w:rsidRPr="00A51779" w14:paraId="59EF1179"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36321DA1" w14:textId="77777777" w:rsidR="00B919ED" w:rsidRPr="00A51779" w:rsidRDefault="00B919ED" w:rsidP="00703316">
            <w:pPr>
              <w:spacing w:line="480" w:lineRule="auto"/>
              <w:jc w:val="both"/>
            </w:pPr>
            <w:r w:rsidRPr="00A51779">
              <w:t>3</w:t>
            </w:r>
          </w:p>
        </w:tc>
        <w:tc>
          <w:tcPr>
            <w:tcW w:w="1254" w:type="pct"/>
            <w:hideMark/>
          </w:tcPr>
          <w:p w14:paraId="3BA77970" w14:textId="69C7FCF5"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0.0053</w:t>
            </w:r>
          </w:p>
        </w:tc>
        <w:tc>
          <w:tcPr>
            <w:tcW w:w="1681" w:type="pct"/>
            <w:hideMark/>
          </w:tcPr>
          <w:p w14:paraId="22EA9043" w14:textId="543E69D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0.0058</w:t>
            </w:r>
          </w:p>
        </w:tc>
        <w:tc>
          <w:tcPr>
            <w:tcW w:w="1153" w:type="pct"/>
            <w:hideMark/>
          </w:tcPr>
          <w:p w14:paraId="1BAD144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0.0004</w:t>
            </w:r>
          </w:p>
        </w:tc>
      </w:tr>
      <w:tr w:rsidR="00B919ED" w:rsidRPr="00A51779" w14:paraId="0D80BEF1" w14:textId="77777777" w:rsidTr="00450A61">
        <w:tc>
          <w:tcPr>
            <w:cnfStyle w:val="001000000000" w:firstRow="0" w:lastRow="0" w:firstColumn="1" w:lastColumn="0" w:oddVBand="0" w:evenVBand="0" w:oddHBand="0" w:evenHBand="0" w:firstRowFirstColumn="0" w:firstRowLastColumn="0" w:lastRowFirstColumn="0" w:lastRowLastColumn="0"/>
            <w:tcW w:w="912" w:type="pct"/>
            <w:hideMark/>
          </w:tcPr>
          <w:p w14:paraId="437E4592" w14:textId="77777777" w:rsidR="00B919ED" w:rsidRPr="00A51779" w:rsidRDefault="00B919ED" w:rsidP="00703316">
            <w:pPr>
              <w:spacing w:line="480" w:lineRule="auto"/>
              <w:jc w:val="both"/>
            </w:pPr>
            <w:r w:rsidRPr="00A51779">
              <w:t>5</w:t>
            </w:r>
          </w:p>
        </w:tc>
        <w:tc>
          <w:tcPr>
            <w:tcW w:w="1254" w:type="pct"/>
            <w:hideMark/>
          </w:tcPr>
          <w:p w14:paraId="5E3FBA1E" w14:textId="3C127A0B"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0.0259</w:t>
            </w:r>
          </w:p>
        </w:tc>
        <w:tc>
          <w:tcPr>
            <w:tcW w:w="1681" w:type="pct"/>
            <w:hideMark/>
          </w:tcPr>
          <w:p w14:paraId="4DD4070F" w14:textId="6ACD0884"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0.0310</w:t>
            </w:r>
          </w:p>
        </w:tc>
        <w:tc>
          <w:tcPr>
            <w:tcW w:w="1153" w:type="pct"/>
            <w:hideMark/>
          </w:tcPr>
          <w:p w14:paraId="5A1FB57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0.0052</w:t>
            </w:r>
          </w:p>
        </w:tc>
      </w:tr>
      <w:tr w:rsidR="00B919ED" w:rsidRPr="00A51779" w14:paraId="1A6816E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1F29E5F1" w14:textId="77777777" w:rsidR="00B919ED" w:rsidRPr="00A51779" w:rsidRDefault="00B919ED" w:rsidP="00703316">
            <w:pPr>
              <w:spacing w:line="480" w:lineRule="auto"/>
              <w:jc w:val="both"/>
            </w:pPr>
            <w:r w:rsidRPr="00A51779">
              <w:t>7</w:t>
            </w:r>
          </w:p>
        </w:tc>
        <w:tc>
          <w:tcPr>
            <w:tcW w:w="1254" w:type="pct"/>
            <w:hideMark/>
          </w:tcPr>
          <w:p w14:paraId="2566FF7B" w14:textId="73D4CA1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0.0477</w:t>
            </w:r>
          </w:p>
        </w:tc>
        <w:tc>
          <w:tcPr>
            <w:tcW w:w="1681" w:type="pct"/>
            <w:hideMark/>
          </w:tcPr>
          <w:p w14:paraId="7B63DC9C" w14:textId="052D04AE"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0.0499</w:t>
            </w:r>
          </w:p>
        </w:tc>
        <w:tc>
          <w:tcPr>
            <w:tcW w:w="1153" w:type="pct"/>
            <w:hideMark/>
          </w:tcPr>
          <w:p w14:paraId="41133F1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0.0022</w:t>
            </w:r>
          </w:p>
        </w:tc>
      </w:tr>
      <w:tr w:rsidR="00B919ED" w:rsidRPr="00A51779" w14:paraId="7707B09B" w14:textId="77777777" w:rsidTr="00450A61">
        <w:tc>
          <w:tcPr>
            <w:cnfStyle w:val="001000000000" w:firstRow="0" w:lastRow="0" w:firstColumn="1" w:lastColumn="0" w:oddVBand="0" w:evenVBand="0" w:oddHBand="0" w:evenHBand="0" w:firstRowFirstColumn="0" w:firstRowLastColumn="0" w:lastRowFirstColumn="0" w:lastRowLastColumn="0"/>
            <w:tcW w:w="912" w:type="pct"/>
            <w:hideMark/>
          </w:tcPr>
          <w:p w14:paraId="26440CBD" w14:textId="77777777" w:rsidR="00B919ED" w:rsidRPr="00A51779" w:rsidRDefault="00B919ED" w:rsidP="00703316">
            <w:pPr>
              <w:spacing w:line="480" w:lineRule="auto"/>
              <w:jc w:val="both"/>
            </w:pPr>
            <w:r w:rsidRPr="00A51779">
              <w:t>10</w:t>
            </w:r>
          </w:p>
        </w:tc>
        <w:tc>
          <w:tcPr>
            <w:tcW w:w="1254" w:type="pct"/>
            <w:hideMark/>
          </w:tcPr>
          <w:p w14:paraId="1BA9808F" w14:textId="7E27C4DC"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0.0837</w:t>
            </w:r>
          </w:p>
        </w:tc>
        <w:tc>
          <w:tcPr>
            <w:tcW w:w="1681" w:type="pct"/>
            <w:hideMark/>
          </w:tcPr>
          <w:p w14:paraId="50B5B5E1" w14:textId="00E7AF62"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0.0812</w:t>
            </w:r>
          </w:p>
        </w:tc>
        <w:tc>
          <w:tcPr>
            <w:tcW w:w="1153" w:type="pct"/>
            <w:hideMark/>
          </w:tcPr>
          <w:p w14:paraId="660F60F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0.0026</w:t>
            </w:r>
          </w:p>
        </w:tc>
      </w:tr>
      <w:tr w:rsidR="00B919ED" w:rsidRPr="00A51779" w14:paraId="2E713073"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7D0F1215" w14:textId="77777777" w:rsidR="00B919ED" w:rsidRPr="00A51779" w:rsidRDefault="00B919ED" w:rsidP="00703316">
            <w:pPr>
              <w:spacing w:line="480" w:lineRule="auto"/>
              <w:jc w:val="both"/>
            </w:pPr>
            <w:r w:rsidRPr="00A51779">
              <w:t>14</w:t>
            </w:r>
          </w:p>
        </w:tc>
        <w:tc>
          <w:tcPr>
            <w:tcW w:w="1254" w:type="pct"/>
            <w:hideMark/>
          </w:tcPr>
          <w:p w14:paraId="46359F7F" w14:textId="23CE8DA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0.1084</w:t>
            </w:r>
          </w:p>
        </w:tc>
        <w:tc>
          <w:tcPr>
            <w:tcW w:w="1681" w:type="pct"/>
            <w:hideMark/>
          </w:tcPr>
          <w:p w14:paraId="1234AC52" w14:textId="56745E96"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0.1020</w:t>
            </w:r>
          </w:p>
        </w:tc>
        <w:tc>
          <w:tcPr>
            <w:tcW w:w="1153" w:type="pct"/>
            <w:hideMark/>
          </w:tcPr>
          <w:p w14:paraId="09C38FD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0.0064</w:t>
            </w:r>
          </w:p>
        </w:tc>
      </w:tr>
    </w:tbl>
    <w:p w14:paraId="4DA963DD" w14:textId="77777777" w:rsidR="00336CF0" w:rsidRPr="00A51779" w:rsidRDefault="00336CF0" w:rsidP="00703316">
      <w:pPr>
        <w:spacing w:line="480" w:lineRule="auto"/>
        <w:jc w:val="both"/>
      </w:pPr>
    </w:p>
    <w:p w14:paraId="475C785B" w14:textId="131D177A" w:rsidR="00B919ED" w:rsidRPr="00A51779" w:rsidRDefault="00B919ED" w:rsidP="00703316">
      <w:pPr>
        <w:spacing w:line="480" w:lineRule="auto"/>
        <w:jc w:val="both"/>
      </w:pPr>
      <w:r w:rsidRPr="00A51779">
        <w:t xml:space="preserve">Across the seven horizons, the national mean curves from the primary and expanded searches correlate at </w:t>
      </w:r>
      <m:oMath>
        <m:r>
          <w:rPr>
            <w:rFonts w:ascii="Cambria Math" w:hAnsi="Cambria Math"/>
          </w:rPr>
          <m:t>r=0.998</m:t>
        </m:r>
      </m:oMath>
      <w:r w:rsidRPr="00A51779">
        <w:t xml:space="preserve">. The largest absolute difference between them at any single horizon is only 0.0064 </w:t>
      </w:r>
      <w:r w:rsidR="003D4C79" w:rsidRPr="00A51779">
        <w:t>R</w:t>
      </w:r>
      <w:r w:rsidR="003D4C79" w:rsidRPr="00A51779">
        <w:rPr>
          <w:vertAlign w:val="superscript"/>
        </w:rPr>
        <w:t>2</w:t>
      </w:r>
      <w:r w:rsidR="003D4C79" w:rsidRPr="00A51779">
        <w:t xml:space="preserve"> </w:t>
      </w:r>
      <w:r w:rsidRPr="00A51779">
        <w:t>points, an order of magnitude smaller than the overall change in the ridge</w:t>
      </w:r>
      <w:r w:rsidR="003D4C79" w:rsidRPr="00A51779">
        <w:t>-</w:t>
      </w:r>
      <w:r w:rsidRPr="00A51779">
        <w:t>HGB gap across the horizon range. Search-budget limitations therefore do not explain the multihorizon crossover.</w:t>
      </w:r>
    </w:p>
    <w:p w14:paraId="35488F7D" w14:textId="69953EBB" w:rsidR="00752DDC" w:rsidRPr="00A51779" w:rsidRDefault="00752DDC" w:rsidP="00703316">
      <w:pPr>
        <w:spacing w:before="160" w:line="480" w:lineRule="auto"/>
        <w:jc w:val="both"/>
      </w:pPr>
      <w:r w:rsidRPr="00A51779">
        <w:rPr>
          <w:noProof/>
        </w:rPr>
        <w:lastRenderedPageBreak/>
        <w:drawing>
          <wp:inline distT="0" distB="0" distL="0" distR="0" wp14:anchorId="0F0D4BC8" wp14:editId="068633CF">
            <wp:extent cx="4953000" cy="2998909"/>
            <wp:effectExtent l="0" t="0" r="0" b="0"/>
            <wp:docPr id="509637543" name="Picture 50963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8740"/>
                    <a:stretch>
                      <a:fillRect/>
                    </a:stretch>
                  </pic:blipFill>
                  <pic:spPr bwMode="auto">
                    <a:xfrm>
                      <a:off x="0" y="0"/>
                      <a:ext cx="4953000" cy="2998909"/>
                    </a:xfrm>
                    <a:prstGeom prst="rect">
                      <a:avLst/>
                    </a:prstGeom>
                    <a:ln>
                      <a:noFill/>
                    </a:ln>
                    <a:extLst>
                      <a:ext uri="{53640926-AAD7-44D8-BBD7-CCE9431645EC}">
                        <a14:shadowObscured xmlns:a14="http://schemas.microsoft.com/office/drawing/2010/main"/>
                      </a:ext>
                    </a:extLst>
                  </pic:spPr>
                </pic:pic>
              </a:graphicData>
            </a:graphic>
          </wp:inline>
        </w:drawing>
      </w:r>
    </w:p>
    <w:p w14:paraId="418206F6" w14:textId="1A112182" w:rsidR="00B919ED" w:rsidRPr="00A51779" w:rsidRDefault="00B919ED" w:rsidP="00703316">
      <w:pPr>
        <w:spacing w:line="480" w:lineRule="auto"/>
        <w:jc w:val="both"/>
      </w:pPr>
      <w:r w:rsidRPr="003732CB">
        <w:t>Fig</w:t>
      </w:r>
      <w:r w:rsidR="003732CB" w:rsidRPr="003732CB">
        <w:t>.</w:t>
      </w:r>
      <w:r w:rsidRPr="003732CB">
        <w:t xml:space="preserve"> 1</w:t>
      </w:r>
      <w:r w:rsidR="0079599D">
        <w:t>9</w:t>
      </w:r>
      <w:r w:rsidRPr="003732CB">
        <w:t>.</w:t>
      </w:r>
      <w:r w:rsidRPr="00A51779">
        <w:t xml:space="preserve"> Horizon crossover under the primary 12-point grids versus the expanded 30-ridge/60-HGB search: national bootstrap mean ± 95% CI, both specifications, all 45 states.</w:t>
      </w:r>
    </w:p>
    <w:p w14:paraId="672B3253" w14:textId="77777777" w:rsidR="00FF326E" w:rsidRPr="00A51779" w:rsidRDefault="00B919ED" w:rsidP="00FF326E">
      <w:pPr>
        <w:spacing w:line="480" w:lineRule="auto"/>
        <w:jc w:val="both"/>
      </w:pPr>
      <w:r w:rsidRPr="00A51779">
        <w:t>The combined evidence changes the appropriate framing of model comparison for power-sector CO</w:t>
      </w:r>
      <w:r w:rsidR="003D4C79" w:rsidRPr="00A51779">
        <w:rPr>
          <w:rFonts w:ascii="Cambria Math" w:hAnsi="Cambria Math"/>
          <w:vertAlign w:val="subscript"/>
        </w:rPr>
        <w:t>2</w:t>
      </w:r>
      <w:r w:rsidRPr="00A51779">
        <w:t xml:space="preserve"> forecasting. Asking whether HGB or ridge is generally superior is not well posed because the answer depends systematically on forecast horizon. Ridge is favored at the shortest horizon, when autoregressive persistence remains strong; the models become approximately equivalent around two to three days; and HGB gains progressively as the horizon increases and persistence collapses. </w:t>
      </w:r>
      <w:r w:rsidR="00FF326E" w:rsidRPr="00A51779">
        <w:t>The GAM decomposition further shows that most of this aggregate long-horizon advantage can be reproduced through smooth additive nonlinearities without explicit higher-order interaction terms.</w:t>
      </w:r>
    </w:p>
    <w:p w14:paraId="44D5D3CC" w14:textId="7F3677F6" w:rsidR="00B919ED" w:rsidRPr="00A51779" w:rsidRDefault="00B919ED" w:rsidP="00E332FE">
      <w:pPr>
        <w:spacing w:line="480" w:lineRule="auto"/>
        <w:jc w:val="both"/>
      </w:pPr>
      <w:r w:rsidRPr="00A51779">
        <w:t>Importantly, the crossover is geographically widespread, strongly supported under state-clustered inference, and essentially unchanged under a substantially larger hyperparameter search. The region-clustered exact test is necessarily inconclusive because only four Census-region clusters are available, but all four regions display the same directional horizon pattern. The horizon-</w:t>
      </w:r>
      <w:r w:rsidRPr="00A51779">
        <w:lastRenderedPageBreak/>
        <w:t>dependent change in the value of model complexity is therefore substantially more robust than any individual state-level or single-horizon superiority claim identified in the three-state analysis.</w:t>
      </w:r>
    </w:p>
    <w:p w14:paraId="7F16EF6D" w14:textId="7668F364" w:rsidR="0052347F" w:rsidRPr="00A51779" w:rsidRDefault="0052347F" w:rsidP="00E332FE">
      <w:pPr>
        <w:spacing w:line="480" w:lineRule="auto"/>
        <w:jc w:val="both"/>
      </w:pPr>
    </w:p>
    <w:p w14:paraId="0E5248AF" w14:textId="67896059" w:rsidR="0052347F" w:rsidRPr="00A51779" w:rsidRDefault="00157712" w:rsidP="00703316">
      <w:pPr>
        <w:pStyle w:val="Heading2"/>
        <w:spacing w:line="480" w:lineRule="auto"/>
        <w:jc w:val="both"/>
        <w:rPr>
          <w:color w:val="auto"/>
          <w:sz w:val="24"/>
          <w:szCs w:val="24"/>
        </w:rPr>
      </w:pPr>
      <w:r w:rsidRPr="00A51779">
        <w:rPr>
          <w:b/>
          <w:bCs/>
          <w:color w:val="auto"/>
          <w:sz w:val="24"/>
          <w:szCs w:val="24"/>
        </w:rPr>
        <w:t>4. Limitations</w:t>
      </w:r>
      <w:r w:rsidR="00336CF0" w:rsidRPr="00A51779">
        <w:rPr>
          <w:b/>
          <w:bCs/>
          <w:color w:val="auto"/>
          <w:sz w:val="24"/>
          <w:szCs w:val="24"/>
        </w:rPr>
        <w:t xml:space="preserve"> and future directions</w:t>
      </w:r>
    </w:p>
    <w:p w14:paraId="1856A82F" w14:textId="77777777" w:rsidR="00336CF0" w:rsidRPr="00A51779" w:rsidRDefault="00336CF0" w:rsidP="00703316">
      <w:pPr>
        <w:pStyle w:val="pdq2pgselectionanchorcontainer"/>
        <w:spacing w:before="0" w:beforeAutospacing="0" w:after="0" w:afterAutospacing="0" w:line="480" w:lineRule="auto"/>
        <w:jc w:val="both"/>
      </w:pPr>
      <w:r w:rsidRPr="00A51779">
        <w:t>Several limitations define the scope of the present findings. First, the primary model comparison is restricted to three specific levels of functional flexibility: ridge regression, a generalized additive model (GAM), and histogram gradient boosting (HGB). These models represent linear, additive-nonlinear, and interaction-capable formulations, respectively, and are evaluated nationwide in Section 3.7. The results therefore establish how these particular model classes behave as forecast horizon changes rather than supporting a universal conclusion about model complexity. XGBoost and LSTM-based variants were examined only in supplementary analyses and were not evaluated under the same complete prospective framework as the primary models (Section 2.5). Classical statistical time-series models, such as seasonal-naive and ARIMA formulations, and an independent implementation of gradient boosting were not included. Their omission should not be interpreted as evidence that they would exhibit different horizon-dependent behavior; extending the model hierarchy to these alternatives would provide an important test of the generality of the present findings.</w:t>
      </w:r>
    </w:p>
    <w:p w14:paraId="4F7ED1CA" w14:textId="377BE159" w:rsidR="00336CF0" w:rsidRPr="00A51779" w:rsidRDefault="00336CF0" w:rsidP="00703316">
      <w:pPr>
        <w:pStyle w:val="NormalWeb"/>
        <w:spacing w:before="0" w:beforeAutospacing="0" w:after="0" w:afterAutospacing="0" w:line="480" w:lineRule="auto"/>
        <w:jc w:val="both"/>
      </w:pPr>
      <w:r w:rsidRPr="00A51779">
        <w:t xml:space="preserve">Second, several detailed methodological diagnostics were conducted only for TX, PA, and CA. These include the feature-group ablation, aligned-window evaluation, feature-representation and hyperparameter-chronology analysis, and expanded nested temporal-CV retuning examined in Section 3.3. In contrast, the multihorizon crossover, its association with persistence decay, and the GAM decomposition were evaluated nationwide across the 45-state panel (Sections 3.5-3.7). The present analysis therefore establishes that the principal horizon-dependent pattern and the </w:t>
      </w:r>
      <w:r w:rsidRPr="00A51779">
        <w:lastRenderedPageBreak/>
        <w:t>contribution of additive nonlinearity generalize geographically, but it does not determine whether the state-specific sensitivities observed in the three-state case study are typical of the broader panel. Nor does it identify which individual nonlinear predictor–response relationships account for the GAM improvement in each state. State-level decomposition of the fitted GAM functions and nationwide replication of the remaining diagnostic analyses would provide a natural extension.</w:t>
      </w:r>
    </w:p>
    <w:p w14:paraId="4F430D7F" w14:textId="77777777" w:rsidR="00336CF0" w:rsidRPr="00A51779" w:rsidRDefault="00336CF0" w:rsidP="00703316">
      <w:pPr>
        <w:pStyle w:val="NormalWeb"/>
        <w:spacing w:before="0" w:beforeAutospacing="0" w:after="0" w:afterAutospacing="0" w:line="480" w:lineRule="auto"/>
        <w:jc w:val="both"/>
      </w:pPr>
      <w:r w:rsidRPr="00A51779">
        <w:t>Third, the consistently reporting facility analysis in Section 3.3 cannot distinguish incomplete reporting from genuine intermittent generator operation. The restricted and full-panel results show that state-level aggregates, particularly for PA and CA, are sensitive to which facilities contribute observations, but the CAMPD variables used here do not provide sufficient information to identify the source of that variation. Facility-level characteristics such as unit type, capacity factor, operating status, and reporting history would be required to separate data-quality effects from genuine operational intermittency.</w:t>
      </w:r>
    </w:p>
    <w:p w14:paraId="5A69962E" w14:textId="595AA47D" w:rsidR="00336CF0" w:rsidRPr="00A51779" w:rsidRDefault="00336CF0" w:rsidP="00703316">
      <w:pPr>
        <w:pStyle w:val="NormalWeb"/>
        <w:spacing w:before="0" w:beforeAutospacing="0" w:after="0" w:afterAutospacing="0" w:line="480" w:lineRule="auto"/>
        <w:jc w:val="both"/>
      </w:pPr>
      <w:r w:rsidRPr="00A51779">
        <w:t>Fourth, the analysis is conducted exclusively at daily resolution. CAMPD also provides hourly observations, which could support evaluation at substantially shorter forecast horizons and reveal whether the model-complexity crossover observed here persists at intraday timescales. The present findings should therefore be interpreted as applying to daily power-sector CO</w:t>
      </w:r>
      <w:r w:rsidR="00295BA3" w:rsidRPr="00295BA3">
        <w:rPr>
          <w:vertAlign w:val="subscript"/>
          <w:lang w:val="en-US"/>
        </w:rPr>
        <w:t>2</w:t>
      </w:r>
      <w:r w:rsidRPr="00A51779">
        <w:t xml:space="preserve"> forecasting rather than to higher-frequency operational forecasting more generally.</w:t>
      </w:r>
    </w:p>
    <w:p w14:paraId="1FB342C5" w14:textId="77777777" w:rsidR="00336CF0" w:rsidRPr="00A51779" w:rsidRDefault="00336CF0" w:rsidP="00703316">
      <w:pPr>
        <w:pStyle w:val="NormalWeb"/>
        <w:spacing w:before="0" w:beforeAutospacing="0" w:after="0" w:afterAutospacing="0" w:line="480" w:lineRule="auto"/>
        <w:jc w:val="both"/>
      </w:pPr>
      <w:r w:rsidRPr="00A51779">
        <w:t xml:space="preserve">Fifth, although the multihorizon analysis extends the observation window to seven complete years from 2019 through 2025 (Section 2.6), this remains substantially shorter than the full historical record available through EPA's Part 75 monitoring program. The period also includes the 2020 COVID-19 demand disruption within the historical information available to subsequent rolling-origin models. The present study does not separately evaluate whether the location or magnitude of the crossover differs across pre- and post-2020 periods or under other structural changes, such </w:t>
      </w:r>
      <w:r w:rsidRPr="00A51779">
        <w:lastRenderedPageBreak/>
        <w:t>as fuel-price cycles, generation-fleet turnover, or different rates of renewable deployment. Longer historical windows and explicitly regime-stratified analyses would be needed to establish the temporal stability of the horizon effect.</w:t>
      </w:r>
    </w:p>
    <w:p w14:paraId="3B155429" w14:textId="36FF8D22" w:rsidR="00336CF0" w:rsidRPr="00A51779" w:rsidRDefault="00336CF0" w:rsidP="00703316">
      <w:pPr>
        <w:pStyle w:val="NormalWeb"/>
        <w:spacing w:before="0" w:beforeAutospacing="0" w:after="0" w:afterAutospacing="0" w:line="480" w:lineRule="auto"/>
        <w:jc w:val="both"/>
      </w:pPr>
      <w:r w:rsidRPr="00A51779">
        <w:t>Sixth, the forecasts are conditional on a finalized end-of-day information set. Same-day values of gross load, heat input, SO</w:t>
      </w:r>
      <w:r w:rsidRPr="00A51779">
        <w:rPr>
          <w:vertAlign w:val="subscript"/>
        </w:rPr>
        <w:t>2</w:t>
      </w:r>
      <w:r w:rsidRPr="00A51779">
        <w:t>, NO</w:t>
      </w:r>
      <w:r w:rsidRPr="00A51779">
        <w:rPr>
          <w:vertAlign w:val="subscript"/>
        </w:rPr>
        <w:t>x</w:t>
      </w:r>
      <w:r w:rsidRPr="00A51779">
        <w:t xml:space="preserve">, and related operational variables are treated as available when forecasting emissions at future horizons, as defined in Section 2.3. Whether all such measurements would be available without delay to an operational forecast issued at the close of day </w:t>
      </w:r>
      <w:r w:rsidRPr="00A51779">
        <w:rPr>
          <w:i/>
          <w:iCs/>
        </w:rPr>
        <w:t>t</w:t>
      </w:r>
      <w:r w:rsidRPr="00A51779">
        <w:t xml:space="preserve"> is not established here. The study should therefore be interpreted as a controlled comparison of forecasting models under a common realized information set rather than as a real-time deployment benchmark. An operational extension would replace unavailable contemporaneous inputs with forecasts or nowcasts of quantities such as load, weather, generation mix, and other system conditions.</w:t>
      </w:r>
    </w:p>
    <w:p w14:paraId="623E8CC7" w14:textId="7E9C0B50" w:rsidR="00336CF0" w:rsidRPr="00E332FE" w:rsidRDefault="00336CF0" w:rsidP="00E83E75">
      <w:pPr>
        <w:pStyle w:val="NormalWeb"/>
        <w:spacing w:before="0" w:beforeAutospacing="0" w:after="0" w:afterAutospacing="0" w:line="480" w:lineRule="auto"/>
        <w:jc w:val="both"/>
        <w:rPr>
          <w:lang w:val="en-US"/>
        </w:rPr>
      </w:pPr>
      <w:r w:rsidRPr="00A51779">
        <w:t xml:space="preserve">Finally, the analysis evaluates statistical forecasting performance rather than the downstream value of the forecasts themselves. The practical benefit of matching model flexibility to forecast horizon will ultimately depend on the decision problem in which the forecasts are used. For applications such as carbon-aware load scheduling </w:t>
      </w:r>
      <w:r w:rsidR="00295BA3" w:rsidRPr="00295BA3">
        <w:rPr>
          <w:color w:val="EE0000"/>
        </w:rPr>
        <w:fldChar w:fldCharType="begin" w:fldLock="1"/>
      </w:r>
      <w:r w:rsidR="00295BA3">
        <w:rPr>
          <w:color w:val="EE0000"/>
        </w:rPr>
        <w:instrText>ADDIN CSL_CITATION {"citationItems":[{"id":"ITEM-1","itemData":{"DOI":"10.1109/TPWRS.2022.3173250","ISSN":"1558-0679 VO  - 38","author":[{"dropping-particle":"","family":"Radovanović","given":"A","non-dropping-particle":"","parse-names":false,"suffix":""},{"dropping-particle":"","family":"Koningstein","given":"R","non-dropping-particle":"","parse-names":false,"suffix":""},{"dropping-particle":"","family":"Schneider","given":"I","non-dropping-particle":"","parse-names":false,"suffix":""},{"dropping-particle":"","family":"Chen","given":"B","non-dropping-particle":"","parse-names":false,"suffix":""},{"dropping-particle":"","family":"Duarte","given":"A","non-dropping-particle":"","parse-names":false,"suffix":""},{"dropping-particle":"","family":"Roy","given":"B","non-dropping-particle":"","parse-names":false,"suffix":""},{"dropping-particle":"","family":"Xiao","given":"D","non-dropping-particle":"","parse-names":false,"suffix":""},{"dropping-particle":"","family":"Haridasan","given":"M","non-dropping-particle":"","parse-names":false,"suffix":""},{"dropping-particle":"","family":"Hung","given":"P","non-dropping-particle":"","parse-names":false,"suffix":""},{"dropping-particle":"","family":"Care","given":"N","non-dropping-particle":"","parse-names":false,"suffix":""},{"dropping-particle":"","family":"Talukdar","given":"S","non-dropping-particle":"","parse-names":false,"suffix":""},{"dropping-particle":"","family":"Mullen","given":"E","non-dropping-particle":"","parse-names":false,"suffix":""},{"dropping-particle":"","family":"Smith","given":"K","non-dropping-particle":"","parse-names":false,"suffix":""},{"dropping-particle":"","family":"Cottman","given":"M","non-dropping-particle":"","parse-names":false,"suffix":""},{"dropping-particle":"","family":"Cirne","given":"W","non-dropping-particle":"","parse-names":false,"suffix":""}],"container-title":"IEEE Transactions on Power Systems","id":"ITEM-1","issue":"2","issued":{"date-parts":[["2023"]]},"page":"1270-1280","title":"Carbon-Aware Computing for Datacenters","type":"article-journal","volume":"38"},"uris":["http://www.mendeley.com/documents/?uuid=e2456fbd-e9fd-46ac-82fe-d7b469759f8c"]}],"mendeley":{"formattedCitation":"[2]","plainTextFormattedCitation":"[2]","previouslyFormattedCitation":"[2]"},"properties":{"noteIndex":0},"schema":"https://github.com/citation-style-language/schema/raw/master/csl-citation.json"}</w:instrText>
      </w:r>
      <w:r w:rsidR="00295BA3" w:rsidRPr="00295BA3">
        <w:rPr>
          <w:color w:val="EE0000"/>
        </w:rPr>
        <w:fldChar w:fldCharType="separate"/>
      </w:r>
      <w:r w:rsidR="00295BA3" w:rsidRPr="00295BA3">
        <w:rPr>
          <w:noProof/>
          <w:color w:val="EE0000"/>
        </w:rPr>
        <w:t>[2]</w:t>
      </w:r>
      <w:r w:rsidR="00295BA3" w:rsidRPr="00295BA3">
        <w:rPr>
          <w:color w:val="EE0000"/>
        </w:rPr>
        <w:fldChar w:fldCharType="end"/>
      </w:r>
      <w:r w:rsidRPr="00A51779">
        <w:t>, for example, an improvement in R</w:t>
      </w:r>
      <w:r w:rsidRPr="00A51779">
        <w:rPr>
          <w:vertAlign w:val="superscript"/>
        </w:rPr>
        <w:t>2</w:t>
      </w:r>
      <w:r w:rsidRPr="00A51779">
        <w:t xml:space="preserve"> or RMSE is valuable only to the extent that it changes scheduling decisions, emissions outcomes, operating costs, or other application-specific objectives. Linking the horizon-dependent forecasting results established here to such downstream decision metrics is therefore an important next step.</w:t>
      </w:r>
    </w:p>
    <w:p w14:paraId="0DF12067" w14:textId="77777777" w:rsidR="00E50756" w:rsidRPr="00E332FE" w:rsidRDefault="00E50756" w:rsidP="00E83E75">
      <w:pPr>
        <w:pStyle w:val="NormalWeb"/>
        <w:spacing w:before="0" w:beforeAutospacing="0" w:after="0" w:afterAutospacing="0" w:line="480" w:lineRule="auto"/>
        <w:jc w:val="both"/>
        <w:rPr>
          <w:lang w:val="en-US"/>
        </w:rPr>
      </w:pPr>
    </w:p>
    <w:p w14:paraId="4E3C461F" w14:textId="1F39567D" w:rsidR="00E50756" w:rsidRPr="002E63B1" w:rsidRDefault="00E50756" w:rsidP="00E83E75">
      <w:pPr>
        <w:pStyle w:val="Heading1"/>
        <w:spacing w:line="480" w:lineRule="auto"/>
        <w:jc w:val="both"/>
        <w:rPr>
          <w:color w:val="auto"/>
          <w:sz w:val="24"/>
          <w:szCs w:val="24"/>
          <w:lang w:val="en-US"/>
        </w:rPr>
      </w:pPr>
      <w:r w:rsidRPr="002E63B1">
        <w:rPr>
          <w:b/>
          <w:bCs/>
          <w:color w:val="auto"/>
          <w:sz w:val="24"/>
          <w:szCs w:val="24"/>
          <w:lang w:val="en-US"/>
        </w:rPr>
        <w:t>5</w:t>
      </w:r>
      <w:r w:rsidRPr="002E63B1">
        <w:rPr>
          <w:b/>
          <w:bCs/>
          <w:color w:val="auto"/>
          <w:sz w:val="24"/>
          <w:szCs w:val="24"/>
        </w:rPr>
        <w:t xml:space="preserve">. </w:t>
      </w:r>
      <w:r w:rsidRPr="002E63B1">
        <w:rPr>
          <w:b/>
          <w:bCs/>
          <w:color w:val="auto"/>
          <w:sz w:val="24"/>
          <w:szCs w:val="24"/>
          <w:lang w:val="en-US"/>
        </w:rPr>
        <w:t>Practical Implications</w:t>
      </w:r>
    </w:p>
    <w:p w14:paraId="227F055C" w14:textId="632E5403" w:rsidR="00E50756" w:rsidRPr="002E63B1" w:rsidRDefault="00E50756" w:rsidP="00E50756">
      <w:pPr>
        <w:spacing w:line="480" w:lineRule="auto"/>
        <w:jc w:val="both"/>
        <w:rPr>
          <w:rFonts w:asciiTheme="majorBidi" w:hAnsiTheme="majorBidi" w:cstheme="majorBidi"/>
        </w:rPr>
      </w:pPr>
      <w:r w:rsidRPr="002E63B1">
        <w:rPr>
          <w:rFonts w:asciiTheme="majorBidi" w:hAnsiTheme="majorBidi" w:cstheme="majorBidi"/>
        </w:rPr>
        <w:t xml:space="preserve">Based on the results obtained, the choice of a forecasting model for the daily carbon dioxide emissions in the </w:t>
      </w:r>
      <w:r w:rsidR="002E63B1" w:rsidRPr="002E63B1">
        <w:rPr>
          <w:rFonts w:asciiTheme="majorBidi" w:hAnsiTheme="majorBidi" w:cstheme="majorBidi"/>
        </w:rPr>
        <w:t>power</w:t>
      </w:r>
      <w:r w:rsidRPr="002E63B1">
        <w:rPr>
          <w:rFonts w:asciiTheme="majorBidi" w:hAnsiTheme="majorBidi" w:cstheme="majorBidi"/>
        </w:rPr>
        <w:t xml:space="preserve"> sector depends on the forecast horizon used. Using the current data and </w:t>
      </w:r>
      <w:r w:rsidRPr="002E63B1">
        <w:rPr>
          <w:rFonts w:asciiTheme="majorBidi" w:hAnsiTheme="majorBidi" w:cstheme="majorBidi"/>
        </w:rPr>
        <w:lastRenderedPageBreak/>
        <w:t>model set, a linear model is still an extremely competitive choice for the one-day-ahead forecast, while the benefits of using nonlinearity become obvious after about three days in the future, and HGB achieves the highest scores at the horizons between seven and fourteen days.</w:t>
      </w:r>
    </w:p>
    <w:p w14:paraId="3B302C0F" w14:textId="77777777" w:rsidR="002E63B1" w:rsidRPr="002E63B1" w:rsidRDefault="002E63B1" w:rsidP="002E63B1">
      <w:pPr>
        <w:spacing w:line="480" w:lineRule="auto"/>
        <w:jc w:val="both"/>
      </w:pPr>
      <w:r>
        <w:t xml:space="preserve">However, the findings do not support a general rule of selecting ridge regression for short-term forecasts and HGB for longer forecast horizons. Rather, model selection should reflect a practical trade-off between the potential benefits of introducing nonlinearity and the associated increases in computational cost and interpretability complexity, while also considering the forecast horizon and the persistence characteristics of the target process. In applications requiring forecasts across multiple </w:t>
      </w:r>
      <w:r w:rsidRPr="002E63B1">
        <w:t>horizons, the use of a single model for all horizons may therefore be overly restrictive and result in suboptimal predictive performance.</w:t>
      </w:r>
    </w:p>
    <w:p w14:paraId="25A1FAE5" w14:textId="7657868F" w:rsidR="002E63B1" w:rsidRDefault="0043190D" w:rsidP="002E63B1">
      <w:pPr>
        <w:pStyle w:val="NormalWeb"/>
        <w:spacing w:before="0" w:beforeAutospacing="0" w:after="0" w:afterAutospacing="0" w:line="480" w:lineRule="auto"/>
        <w:jc w:val="both"/>
      </w:pPr>
      <w:r>
        <w:t>These findings are specific to the daily, state-aggregated CO</w:t>
      </w:r>
      <w:r w:rsidRPr="0043190D">
        <w:rPr>
          <w:vertAlign w:val="subscript"/>
        </w:rPr>
        <w:t>2</w:t>
      </w:r>
      <w:r>
        <w:t xml:space="preserve"> emissions from the U.S. </w:t>
      </w:r>
      <w:r>
        <w:t>power</w:t>
      </w:r>
      <w:r>
        <w:t xml:space="preserve"> sector examined in this study, as well as to the particular set of features and model classes considered; whether a similar crossover holds at other temporal or spatial resolutions, or across different countries, sectors, and forecasting targets, remains an open question. Within this scope, however, the practical conclusion is clear: for any application spanning more than a few days of lead time, committing to a single model at all horizons trades away forecast accuracy that a horizon-aware choice would recover.</w:t>
      </w:r>
    </w:p>
    <w:p w14:paraId="68B2DD0F" w14:textId="77777777" w:rsidR="0043190D" w:rsidRPr="00E50756" w:rsidRDefault="0043190D" w:rsidP="002E63B1">
      <w:pPr>
        <w:pStyle w:val="NormalWeb"/>
        <w:spacing w:before="0" w:beforeAutospacing="0" w:after="0" w:afterAutospacing="0" w:line="480" w:lineRule="auto"/>
        <w:jc w:val="both"/>
        <w:rPr>
          <w:lang w:val="en-US"/>
        </w:rPr>
      </w:pPr>
    </w:p>
    <w:p w14:paraId="5F2D3E28" w14:textId="4967926B" w:rsidR="0052347F" w:rsidRPr="00A51779" w:rsidRDefault="00E50756" w:rsidP="002E63B1">
      <w:pPr>
        <w:pStyle w:val="Heading1"/>
        <w:spacing w:line="480" w:lineRule="auto"/>
        <w:jc w:val="both"/>
        <w:rPr>
          <w:color w:val="auto"/>
          <w:sz w:val="24"/>
          <w:szCs w:val="24"/>
        </w:rPr>
      </w:pPr>
      <w:r w:rsidRPr="00E332FE">
        <w:rPr>
          <w:b/>
          <w:bCs/>
          <w:color w:val="auto"/>
          <w:sz w:val="24"/>
          <w:szCs w:val="24"/>
          <w:lang w:val="en-US"/>
        </w:rPr>
        <w:t>6</w:t>
      </w:r>
      <w:r w:rsidR="00157712" w:rsidRPr="00A51779">
        <w:rPr>
          <w:b/>
          <w:bCs/>
          <w:color w:val="auto"/>
          <w:sz w:val="24"/>
          <w:szCs w:val="24"/>
        </w:rPr>
        <w:t>. Conclusion</w:t>
      </w:r>
    </w:p>
    <w:p w14:paraId="65B65F7E" w14:textId="5CEC7A33" w:rsidR="0052347F" w:rsidRPr="00A51779" w:rsidRDefault="00000000" w:rsidP="00703316">
      <w:pPr>
        <w:spacing w:line="480" w:lineRule="auto"/>
        <w:jc w:val="both"/>
      </w:pPr>
      <w:r w:rsidRPr="00A51779">
        <w:t>Across 45 U.S. states, seven years (2019</w:t>
      </w:r>
      <w:r w:rsidR="003D4C79" w:rsidRPr="00A51779">
        <w:t>-</w:t>
      </w:r>
      <w:r w:rsidRPr="00A51779">
        <w:t>2025), and seven forecast horizons (1</w:t>
      </w:r>
      <w:r w:rsidR="003D4C79" w:rsidRPr="00A51779">
        <w:t>-</w:t>
      </w:r>
      <w:r w:rsidRPr="00A51779">
        <w:t xml:space="preserve">14 days), the relative performance of ridge regression and histogram gradient boosting (HGB) traces a smooth, nearly monotonic crossover rather than a fixed ranking: ridge is favored at one day, the gap crosses zero around three days, and HGB is favored by a growing margin out to fourteen days. This </w:t>
      </w:r>
      <w:r w:rsidRPr="00A51779">
        <w:lastRenderedPageBreak/>
        <w:t>crossover remains significant once dependence among observations is modeled directly rather than left as a caveat: decisively so when accounting for repeated horizon observations within each state (45 clusters, p&lt;10</w:t>
      </w:r>
      <w:r w:rsidR="00336CF0" w:rsidRPr="00A51779">
        <w:rPr>
          <w:vertAlign w:val="superscript"/>
        </w:rPr>
        <w:t>-6</w:t>
      </w:r>
      <w:r w:rsidRPr="00A51779">
        <w:t>); a complementary test for dependence among states within a region (only 4 clusters) lacks the resolution for conventional significance under exact small-sample inference (p=0.125), though the raw regional pattern remains directionally consistent in all four regions. The crossover also tracks a specific, tested mechanism nationwide: it coincides closely with the decay of autoregressive persistence (r=</w:t>
      </w:r>
      <w:r w:rsidR="00336CF0" w:rsidRPr="00A51779">
        <w:t>-</w:t>
      </w:r>
      <w:r w:rsidRPr="00A51779">
        <w:t>0.68 between persistence R</w:t>
      </w:r>
      <w:r w:rsidR="00336CF0" w:rsidRPr="00A51779">
        <w:rPr>
          <w:vertAlign w:val="superscript"/>
        </w:rPr>
        <w:t>2</w:t>
      </w:r>
      <w:r w:rsidRPr="00A51779">
        <w:t xml:space="preserve"> and the ridge-HGB gap across 315 observations). A genuine additive-spline model with no interaction terms, fit nationwide across all 45 states, closes nearly all of the gap at long horizons (HGB</w:t>
      </w:r>
      <w:r w:rsidR="00336CF0" w:rsidRPr="00A51779">
        <w:t>-</w:t>
      </w:r>
      <w:r w:rsidRPr="00A51779">
        <w:t>GAM stays small relative to this gain and averages approximately zero across the full panel), indicating that higher-order interactions are not required to reproduce most of the value of complexity as persistence decays.</w:t>
      </w:r>
    </w:p>
    <w:p w14:paraId="207A523F" w14:textId="2335E4D0" w:rsidR="0052347F" w:rsidRPr="00A51779" w:rsidRDefault="00000000" w:rsidP="00703316">
      <w:pPr>
        <w:spacing w:line="480" w:lineRule="auto"/>
        <w:jc w:val="both"/>
      </w:pPr>
      <w:r w:rsidRPr="00A51779">
        <w:t xml:space="preserve">This nationwide, multihorizon, </w:t>
      </w:r>
      <w:r w:rsidR="005A2BED" w:rsidRPr="00077F21">
        <w:t>backed up by a statistical pattern indicative of reduced autoregressive persistence</w:t>
      </w:r>
      <w:r w:rsidR="005A2BED" w:rsidRPr="00077F21">
        <w:rPr>
          <w:lang w:val="en-US"/>
        </w:rPr>
        <w:t xml:space="preserve"> </w:t>
      </w:r>
      <w:r w:rsidRPr="00A51779">
        <w:t>result rests on a detailed three-state case study (TX, PA, CA) that shows why single-state, single-horizon superiority claims are fragile even when nominally significant: once feature representation, hyperparameter-selection chronology, evaluation protocol, and hyperparameter search budget were controlled consistently, the one comparison that initially appeared robust (CA at one day) did not survive a substantially larger hyperparameter search. Individual state-level significance remains this fragile at nationwide scale</w:t>
      </w:r>
      <w:r w:rsidR="00336CF0" w:rsidRPr="00A51779">
        <w:t xml:space="preserve">, </w:t>
      </w:r>
      <w:r w:rsidRPr="00A51779">
        <w:t>only 4 of 94 two-horizon comparisons survive Holm correction</w:t>
      </w:r>
      <w:r w:rsidR="00336CF0" w:rsidRPr="00A51779">
        <w:t xml:space="preserve">, </w:t>
      </w:r>
      <w:r w:rsidRPr="00A51779">
        <w:t>but the horizon-dependent pattern itself does not: it is the more robust finding, not the exception requiring caveats.</w:t>
      </w:r>
    </w:p>
    <w:p w14:paraId="0FB1FCD4" w14:textId="4389BE4E" w:rsidR="0052347F" w:rsidRPr="00A51779" w:rsidRDefault="00000000" w:rsidP="0043190D">
      <w:pPr>
        <w:spacing w:line="480" w:lineRule="auto"/>
        <w:jc w:val="both"/>
      </w:pPr>
      <w:r w:rsidRPr="00A51779">
        <w:t>The broader implication is that asking whether a nonlinear model is generally superior to a linear one for power-sector CO</w:t>
      </w:r>
      <w:r w:rsidR="00336CF0" w:rsidRPr="00A51779">
        <w:rPr>
          <w:vertAlign w:val="subscript"/>
        </w:rPr>
        <w:t>2</w:t>
      </w:r>
      <w:r w:rsidRPr="00A51779">
        <w:t xml:space="preserve"> forecasting </w:t>
      </w:r>
      <w:r w:rsidRPr="00ED16C3">
        <w:t xml:space="preserve">is </w:t>
      </w:r>
      <w:r w:rsidR="000153F7" w:rsidRPr="00ED16C3">
        <w:t xml:space="preserve">an ill-posed problem. </w:t>
      </w:r>
      <w:r w:rsidR="000153F7" w:rsidRPr="00ED16C3">
        <w:rPr>
          <w:lang w:val="en-US"/>
        </w:rPr>
        <w:t>The well-posed question is a</w:t>
      </w:r>
      <w:r w:rsidR="000153F7" w:rsidRPr="00ED16C3">
        <w:t>sking when additional model complexity becomes valuable</w:t>
      </w:r>
      <w:r w:rsidR="000153F7" w:rsidRPr="000153F7">
        <w:t>,</w:t>
      </w:r>
      <w:r w:rsidR="005B17A7" w:rsidRPr="00A51779">
        <w:t xml:space="preserve"> and has a nationwide empirical answer here: </w:t>
      </w:r>
      <w:r w:rsidRPr="00A51779">
        <w:lastRenderedPageBreak/>
        <w:t xml:space="preserve">additional model complexity becomes valuable is well posed, and has a specific answer here, established nationwide rather than in a handful of states: additional nonlinear flexibility becomes increasingly valuable as autoregressive persistence decays, and most of that long-horizon gain is reproduced by smooth additive nonlinearities, </w:t>
      </w:r>
      <w:r w:rsidR="007744B5" w:rsidRPr="00A51779">
        <w:t>showing that explicit higher-order interactions are not required to reproduce most of the observed aggregate advantage. Testing this candidate explanation more directly</w:t>
      </w:r>
      <w:r w:rsidR="00336CF0" w:rsidRPr="00A51779">
        <w:t xml:space="preserve">, </w:t>
      </w:r>
      <w:r w:rsidRPr="00A51779">
        <w:t>decomposing which specific univariate relationships the GAM captures state by state, adding classical statistical baselines and a second boosting implementation, and connecting the horizon-dependent choice of model to a downstream application such as emissions-aware load scheduling</w:t>
      </w:r>
      <w:r w:rsidR="00336CF0" w:rsidRPr="00A51779">
        <w:t>,</w:t>
      </w:r>
      <w:r w:rsidRPr="00A51779">
        <w:t xml:space="preserve"> would extend this account from a well-supported empirical pattern toward a fuller mechanistic and practical understanding.</w:t>
      </w:r>
    </w:p>
    <w:p w14:paraId="1A45A11B" w14:textId="77777777" w:rsidR="00AC1AD5" w:rsidRPr="00A51779" w:rsidRDefault="00AC1AD5" w:rsidP="0043190D">
      <w:pPr>
        <w:pStyle w:val="Heading1"/>
        <w:spacing w:line="480" w:lineRule="auto"/>
        <w:jc w:val="both"/>
        <w:rPr>
          <w:b/>
          <w:bCs/>
          <w:color w:val="auto"/>
          <w:sz w:val="24"/>
          <w:szCs w:val="24"/>
        </w:rPr>
      </w:pPr>
    </w:p>
    <w:p w14:paraId="164014FA" w14:textId="77777777" w:rsidR="00AC1AD5" w:rsidRPr="00A51779" w:rsidRDefault="00AC1AD5" w:rsidP="0043190D">
      <w:pPr>
        <w:pStyle w:val="Heading1"/>
        <w:spacing w:line="480" w:lineRule="auto"/>
        <w:jc w:val="both"/>
        <w:rPr>
          <w:b/>
          <w:bCs/>
          <w:color w:val="auto"/>
          <w:sz w:val="24"/>
          <w:szCs w:val="24"/>
        </w:rPr>
      </w:pPr>
    </w:p>
    <w:p w14:paraId="21E06870" w14:textId="77777777" w:rsidR="00AC1AD5" w:rsidRPr="00A51779" w:rsidRDefault="00AC1AD5" w:rsidP="0043190D">
      <w:pPr>
        <w:pStyle w:val="Heading1"/>
        <w:spacing w:line="480" w:lineRule="auto"/>
        <w:jc w:val="both"/>
        <w:rPr>
          <w:b/>
          <w:bCs/>
          <w:color w:val="auto"/>
          <w:sz w:val="24"/>
          <w:szCs w:val="24"/>
        </w:rPr>
      </w:pPr>
    </w:p>
    <w:p w14:paraId="36C2A78C" w14:textId="77777777" w:rsidR="00AC1AD5" w:rsidRPr="00A51779" w:rsidRDefault="00AC1AD5" w:rsidP="0043190D">
      <w:pPr>
        <w:pStyle w:val="Heading1"/>
        <w:spacing w:line="480" w:lineRule="auto"/>
        <w:jc w:val="both"/>
        <w:rPr>
          <w:b/>
          <w:bCs/>
          <w:color w:val="auto"/>
          <w:sz w:val="24"/>
          <w:szCs w:val="24"/>
        </w:rPr>
      </w:pPr>
    </w:p>
    <w:p w14:paraId="46D0A14E" w14:textId="77777777" w:rsidR="00AC1AD5" w:rsidRPr="00A51779" w:rsidRDefault="00AC1AD5" w:rsidP="0043190D">
      <w:pPr>
        <w:pStyle w:val="Heading1"/>
        <w:spacing w:line="480" w:lineRule="auto"/>
        <w:jc w:val="both"/>
        <w:rPr>
          <w:b/>
          <w:bCs/>
          <w:color w:val="auto"/>
          <w:sz w:val="24"/>
          <w:szCs w:val="24"/>
        </w:rPr>
      </w:pPr>
    </w:p>
    <w:p w14:paraId="58A089F3" w14:textId="77777777" w:rsidR="00AC1AD5" w:rsidRDefault="00AC1AD5" w:rsidP="0043190D">
      <w:pPr>
        <w:pStyle w:val="Heading1"/>
        <w:spacing w:line="480" w:lineRule="auto"/>
        <w:jc w:val="both"/>
        <w:rPr>
          <w:b/>
          <w:bCs/>
          <w:color w:val="auto"/>
          <w:sz w:val="24"/>
          <w:szCs w:val="24"/>
        </w:rPr>
      </w:pPr>
    </w:p>
    <w:p w14:paraId="6EE44CDF" w14:textId="77777777" w:rsidR="0043190D" w:rsidRDefault="0043190D" w:rsidP="0043190D">
      <w:pPr>
        <w:pStyle w:val="Heading1"/>
        <w:spacing w:line="480" w:lineRule="auto"/>
        <w:jc w:val="both"/>
        <w:rPr>
          <w:b/>
          <w:bCs/>
          <w:color w:val="auto"/>
          <w:sz w:val="24"/>
          <w:szCs w:val="24"/>
        </w:rPr>
      </w:pPr>
    </w:p>
    <w:p w14:paraId="09933671" w14:textId="77777777" w:rsidR="0043190D" w:rsidRDefault="0043190D" w:rsidP="0043190D">
      <w:pPr>
        <w:pStyle w:val="Heading1"/>
        <w:spacing w:line="480" w:lineRule="auto"/>
        <w:jc w:val="both"/>
        <w:rPr>
          <w:b/>
          <w:bCs/>
          <w:color w:val="auto"/>
          <w:sz w:val="24"/>
          <w:szCs w:val="24"/>
        </w:rPr>
      </w:pPr>
    </w:p>
    <w:p w14:paraId="060EF40F" w14:textId="77777777" w:rsidR="0043190D" w:rsidRDefault="0043190D" w:rsidP="0043190D">
      <w:pPr>
        <w:pStyle w:val="Heading1"/>
        <w:spacing w:line="480" w:lineRule="auto"/>
        <w:jc w:val="both"/>
        <w:rPr>
          <w:b/>
          <w:bCs/>
          <w:color w:val="auto"/>
          <w:sz w:val="24"/>
          <w:szCs w:val="24"/>
        </w:rPr>
      </w:pPr>
    </w:p>
    <w:p w14:paraId="4502D667" w14:textId="77777777" w:rsidR="0043190D" w:rsidRPr="00A51779" w:rsidRDefault="0043190D" w:rsidP="0043190D">
      <w:pPr>
        <w:pStyle w:val="Heading1"/>
        <w:spacing w:line="480" w:lineRule="auto"/>
        <w:jc w:val="both"/>
        <w:rPr>
          <w:b/>
          <w:bCs/>
          <w:color w:val="auto"/>
          <w:sz w:val="24"/>
          <w:szCs w:val="24"/>
        </w:rPr>
      </w:pPr>
    </w:p>
    <w:p w14:paraId="1D25E23F" w14:textId="77777777" w:rsidR="00AC1AD5" w:rsidRPr="00A51779" w:rsidRDefault="00AC1AD5" w:rsidP="0043190D">
      <w:pPr>
        <w:pStyle w:val="Heading1"/>
        <w:spacing w:line="480" w:lineRule="auto"/>
        <w:jc w:val="both"/>
        <w:rPr>
          <w:b/>
          <w:bCs/>
          <w:color w:val="auto"/>
          <w:sz w:val="24"/>
          <w:szCs w:val="24"/>
        </w:rPr>
      </w:pPr>
    </w:p>
    <w:p w14:paraId="370D2551" w14:textId="77777777" w:rsidR="00AC1AD5" w:rsidRPr="00A51779" w:rsidRDefault="00AC1AD5" w:rsidP="0043190D">
      <w:pPr>
        <w:pStyle w:val="Heading1"/>
        <w:spacing w:line="480" w:lineRule="auto"/>
        <w:jc w:val="both"/>
        <w:rPr>
          <w:b/>
          <w:bCs/>
          <w:color w:val="auto"/>
          <w:sz w:val="24"/>
          <w:szCs w:val="24"/>
        </w:rPr>
      </w:pPr>
    </w:p>
    <w:p w14:paraId="56B37289" w14:textId="77777777" w:rsidR="00077F21" w:rsidRDefault="00077F21" w:rsidP="0043190D">
      <w:pPr>
        <w:pStyle w:val="Heading1"/>
        <w:spacing w:line="480" w:lineRule="auto"/>
        <w:jc w:val="both"/>
        <w:rPr>
          <w:b/>
          <w:bCs/>
          <w:color w:val="auto"/>
          <w:sz w:val="24"/>
          <w:szCs w:val="24"/>
        </w:rPr>
      </w:pPr>
    </w:p>
    <w:p w14:paraId="3A3CFE7F" w14:textId="5811BD0A" w:rsidR="0052347F" w:rsidRPr="00A51779" w:rsidRDefault="00000000" w:rsidP="0043190D">
      <w:pPr>
        <w:pStyle w:val="Heading1"/>
        <w:spacing w:line="480" w:lineRule="auto"/>
        <w:jc w:val="both"/>
        <w:rPr>
          <w:color w:val="auto"/>
          <w:sz w:val="24"/>
          <w:szCs w:val="24"/>
        </w:rPr>
      </w:pPr>
      <w:r w:rsidRPr="00A51779">
        <w:rPr>
          <w:b/>
          <w:bCs/>
          <w:color w:val="auto"/>
          <w:sz w:val="24"/>
          <w:szCs w:val="24"/>
        </w:rPr>
        <w:lastRenderedPageBreak/>
        <w:t>Data Availability</w:t>
      </w:r>
    </w:p>
    <w:p w14:paraId="0A2E5136" w14:textId="6C26AF46" w:rsidR="00AC1AD5" w:rsidRDefault="00000000" w:rsidP="0043190D">
      <w:pPr>
        <w:spacing w:line="480" w:lineRule="auto"/>
        <w:jc w:val="both"/>
      </w:pPr>
      <w:r w:rsidRPr="00A51779">
        <w:t>The empirical analysis uses U.S. EPA CAMPD daily facility-aggregation exports for 2019</w:t>
      </w:r>
      <w:r w:rsidR="003D4C79" w:rsidRPr="00A51779">
        <w:t>-</w:t>
      </w:r>
      <w:r w:rsidRPr="00A51779">
        <w:t>2025 [22</w:t>
      </w:r>
      <w:r w:rsidR="00157712" w:rsidRPr="00A51779">
        <w:t>]</w:t>
      </w:r>
      <w:r w:rsidR="00AC1AD5" w:rsidRPr="00A51779">
        <w:t xml:space="preserve">. The source data are publicly available through the U.S. EPA Clean Air Markets Program Data portal: </w:t>
      </w:r>
      <w:hyperlink r:id="rId26" w:history="1">
        <w:r w:rsidR="00AC1AD5" w:rsidRPr="00A51779">
          <w:rPr>
            <w:rStyle w:val="Hyperlink"/>
            <w:color w:val="auto"/>
          </w:rPr>
          <w:t>https://campd.epa.gov/</w:t>
        </w:r>
      </w:hyperlink>
    </w:p>
    <w:p w14:paraId="638AC1A8" w14:textId="77777777" w:rsidR="0043190D" w:rsidRPr="00A51779" w:rsidRDefault="0043190D" w:rsidP="0043190D">
      <w:pPr>
        <w:spacing w:line="480" w:lineRule="auto"/>
        <w:jc w:val="both"/>
      </w:pPr>
    </w:p>
    <w:p w14:paraId="45705E0C" w14:textId="77777777" w:rsidR="0052347F" w:rsidRPr="00A51779" w:rsidRDefault="00000000" w:rsidP="0043190D">
      <w:pPr>
        <w:pStyle w:val="Heading1"/>
        <w:spacing w:line="480" w:lineRule="auto"/>
        <w:jc w:val="both"/>
        <w:rPr>
          <w:color w:val="auto"/>
          <w:sz w:val="24"/>
          <w:szCs w:val="24"/>
        </w:rPr>
      </w:pPr>
      <w:r w:rsidRPr="00A51779">
        <w:rPr>
          <w:b/>
          <w:bCs/>
          <w:color w:val="auto"/>
          <w:sz w:val="24"/>
          <w:szCs w:val="24"/>
        </w:rPr>
        <w:t>CRediT Authorship Contribution Statement</w:t>
      </w:r>
    </w:p>
    <w:p w14:paraId="02D4BD24" w14:textId="5CD82967" w:rsidR="0052347F" w:rsidRPr="00A51779" w:rsidRDefault="00000000" w:rsidP="0043190D">
      <w:pPr>
        <w:spacing w:line="480" w:lineRule="auto"/>
        <w:jc w:val="both"/>
      </w:pPr>
      <w:r w:rsidRPr="00A51779">
        <w:rPr>
          <w:b/>
          <w:bCs/>
        </w:rPr>
        <w:t>Ikram Moulay:</w:t>
      </w:r>
      <w:r w:rsidRPr="00A51779">
        <w:t xml:space="preserve"> Conceptualization, Visualization, Investigation, Writing – original draft, Writing – review &amp; editing, Data curation</w:t>
      </w:r>
      <w:r w:rsidR="00157712" w:rsidRPr="00A51779">
        <w:t>, Methodology;</w:t>
      </w:r>
      <w:r w:rsidRPr="00A51779">
        <w:t xml:space="preserve"> </w:t>
      </w:r>
      <w:r w:rsidRPr="00A51779">
        <w:rPr>
          <w:b/>
          <w:bCs/>
        </w:rPr>
        <w:t>Moussa Red</w:t>
      </w:r>
      <w:r w:rsidR="004B3027" w:rsidRPr="00A51779">
        <w:rPr>
          <w:b/>
          <w:bCs/>
        </w:rPr>
        <w:t>a</w:t>
      </w:r>
      <w:r w:rsidRPr="00A51779">
        <w:rPr>
          <w:b/>
          <w:bCs/>
        </w:rPr>
        <w:t>h:</w:t>
      </w:r>
      <w:r w:rsidRPr="00A51779">
        <w:t xml:space="preserve"> Visualization, Investigation, Writing – review &amp; editing, Data curation</w:t>
      </w:r>
      <w:r w:rsidR="00157712" w:rsidRPr="00A51779">
        <w:t>;</w:t>
      </w:r>
      <w:r w:rsidRPr="00A51779">
        <w:t xml:space="preserve"> </w:t>
      </w:r>
      <w:r w:rsidRPr="00A51779">
        <w:rPr>
          <w:b/>
          <w:bCs/>
        </w:rPr>
        <w:t>Sahar Merrouche:</w:t>
      </w:r>
      <w:r w:rsidRPr="00A51779">
        <w:t xml:space="preserve"> Conceptualization, Visualization, Investigation, Editing. </w:t>
      </w:r>
      <w:r w:rsidR="00157712" w:rsidRPr="00A51779">
        <w:rPr>
          <w:b/>
          <w:bCs/>
        </w:rPr>
        <w:t>Yousef A. Alsunni:</w:t>
      </w:r>
      <w:r w:rsidR="00157712" w:rsidRPr="00A51779">
        <w:t xml:space="preserve"> Revision, Supervision, Writing – review &amp; editing;</w:t>
      </w:r>
      <w:r w:rsidRPr="00A51779">
        <w:t xml:space="preserve"> </w:t>
      </w:r>
      <w:r w:rsidR="00157712" w:rsidRPr="00A51779">
        <w:rPr>
          <w:b/>
          <w:bCs/>
        </w:rPr>
        <w:t>Omar J. Hammad:</w:t>
      </w:r>
      <w:r w:rsidR="00157712" w:rsidRPr="00A51779">
        <w:t xml:space="preserve"> Revision, Investigation, Supervision, Writing – review &amp; editing</w:t>
      </w:r>
    </w:p>
    <w:p w14:paraId="2A84F545" w14:textId="77777777" w:rsidR="0043190D" w:rsidRDefault="0043190D" w:rsidP="0043190D">
      <w:pPr>
        <w:pStyle w:val="Heading1"/>
        <w:spacing w:line="480" w:lineRule="auto"/>
        <w:jc w:val="both"/>
        <w:rPr>
          <w:b/>
          <w:bCs/>
          <w:color w:val="auto"/>
          <w:sz w:val="24"/>
          <w:szCs w:val="24"/>
        </w:rPr>
      </w:pPr>
    </w:p>
    <w:p w14:paraId="3668CC32" w14:textId="054B082A" w:rsidR="0052347F" w:rsidRPr="00A51779" w:rsidRDefault="00000000" w:rsidP="0043190D">
      <w:pPr>
        <w:pStyle w:val="Heading1"/>
        <w:spacing w:line="480" w:lineRule="auto"/>
        <w:jc w:val="both"/>
        <w:rPr>
          <w:color w:val="auto"/>
          <w:sz w:val="24"/>
          <w:szCs w:val="24"/>
        </w:rPr>
      </w:pPr>
      <w:r w:rsidRPr="00A51779">
        <w:rPr>
          <w:b/>
          <w:bCs/>
          <w:color w:val="auto"/>
          <w:sz w:val="24"/>
          <w:szCs w:val="24"/>
        </w:rPr>
        <w:t>Declaration of Competing Interest</w:t>
      </w:r>
    </w:p>
    <w:p w14:paraId="6D6E63E5" w14:textId="77777777" w:rsidR="0052347F" w:rsidRPr="00A51779" w:rsidRDefault="00000000" w:rsidP="0043190D">
      <w:pPr>
        <w:spacing w:line="480" w:lineRule="auto"/>
        <w:jc w:val="both"/>
      </w:pPr>
      <w:r w:rsidRPr="00A51779">
        <w:t>The authors declare that they have no known competing financial interests or personal relationships that could have appeared to influence the work reported in this paper.</w:t>
      </w:r>
    </w:p>
    <w:p w14:paraId="70E713A5" w14:textId="77777777" w:rsidR="0043190D" w:rsidRDefault="0043190D" w:rsidP="0043190D">
      <w:pPr>
        <w:pStyle w:val="Heading1"/>
        <w:spacing w:line="480" w:lineRule="auto"/>
        <w:jc w:val="both"/>
        <w:rPr>
          <w:b/>
          <w:bCs/>
          <w:color w:val="auto"/>
          <w:sz w:val="24"/>
          <w:szCs w:val="24"/>
        </w:rPr>
      </w:pPr>
    </w:p>
    <w:p w14:paraId="3EFB2ED8" w14:textId="2B8037BD" w:rsidR="0052347F" w:rsidRPr="00A51779" w:rsidRDefault="00000000" w:rsidP="0043190D">
      <w:pPr>
        <w:pStyle w:val="Heading1"/>
        <w:spacing w:line="480" w:lineRule="auto"/>
        <w:jc w:val="both"/>
        <w:rPr>
          <w:color w:val="auto"/>
          <w:sz w:val="24"/>
          <w:szCs w:val="24"/>
        </w:rPr>
      </w:pPr>
      <w:r w:rsidRPr="00A51779">
        <w:rPr>
          <w:b/>
          <w:bCs/>
          <w:color w:val="auto"/>
          <w:sz w:val="24"/>
          <w:szCs w:val="24"/>
        </w:rPr>
        <w:t>Acknowledgments</w:t>
      </w:r>
    </w:p>
    <w:p w14:paraId="4540E877" w14:textId="77777777" w:rsidR="0052347F" w:rsidRPr="00A51779" w:rsidRDefault="00000000" w:rsidP="0043190D">
      <w:pPr>
        <w:spacing w:line="480" w:lineRule="auto"/>
        <w:jc w:val="both"/>
      </w:pPr>
      <w:r w:rsidRPr="00A51779">
        <w:rPr>
          <w:highlight w:val="yellow"/>
        </w:rPr>
        <w:t>The authors acknowledge the support provided by the Deanship of Research Oversight and Coordination (DROC).</w:t>
      </w:r>
    </w:p>
    <w:p w14:paraId="2F031EFD" w14:textId="77777777" w:rsidR="00157712" w:rsidRPr="00A51779" w:rsidRDefault="00157712" w:rsidP="0043190D">
      <w:pPr>
        <w:pStyle w:val="Heading1"/>
        <w:spacing w:line="480" w:lineRule="auto"/>
        <w:jc w:val="both"/>
        <w:rPr>
          <w:b/>
          <w:bCs/>
          <w:color w:val="auto"/>
          <w:sz w:val="24"/>
          <w:szCs w:val="24"/>
        </w:rPr>
      </w:pPr>
    </w:p>
    <w:p w14:paraId="1CD1CBAF" w14:textId="77777777" w:rsidR="00157712" w:rsidRPr="00A51779" w:rsidRDefault="00157712" w:rsidP="0043190D">
      <w:pPr>
        <w:pStyle w:val="Heading1"/>
        <w:spacing w:line="480" w:lineRule="auto"/>
        <w:jc w:val="both"/>
        <w:rPr>
          <w:b/>
          <w:bCs/>
          <w:color w:val="auto"/>
          <w:sz w:val="24"/>
          <w:szCs w:val="24"/>
        </w:rPr>
      </w:pPr>
    </w:p>
    <w:p w14:paraId="3BC9946D" w14:textId="77777777" w:rsidR="00157712" w:rsidRDefault="00157712" w:rsidP="0043190D">
      <w:pPr>
        <w:pStyle w:val="Heading1"/>
        <w:spacing w:line="480" w:lineRule="auto"/>
        <w:jc w:val="both"/>
        <w:rPr>
          <w:b/>
          <w:bCs/>
          <w:color w:val="auto"/>
          <w:sz w:val="24"/>
          <w:szCs w:val="24"/>
        </w:rPr>
      </w:pPr>
    </w:p>
    <w:p w14:paraId="49F6C8A6" w14:textId="77777777" w:rsidR="0043190D" w:rsidRDefault="0043190D" w:rsidP="0043190D">
      <w:pPr>
        <w:pStyle w:val="Heading1"/>
        <w:spacing w:line="480" w:lineRule="auto"/>
        <w:jc w:val="both"/>
        <w:rPr>
          <w:b/>
          <w:bCs/>
          <w:color w:val="auto"/>
          <w:sz w:val="24"/>
          <w:szCs w:val="24"/>
        </w:rPr>
      </w:pPr>
    </w:p>
    <w:p w14:paraId="6622E875" w14:textId="3F4FDEE8" w:rsidR="0052347F" w:rsidRPr="00A51779" w:rsidRDefault="00000000" w:rsidP="00703316">
      <w:pPr>
        <w:pStyle w:val="Heading1"/>
        <w:spacing w:before="260" w:line="480" w:lineRule="auto"/>
        <w:jc w:val="both"/>
        <w:rPr>
          <w:b/>
          <w:bCs/>
          <w:color w:val="auto"/>
          <w:sz w:val="24"/>
          <w:szCs w:val="24"/>
        </w:rPr>
      </w:pPr>
      <w:r w:rsidRPr="00A51779">
        <w:rPr>
          <w:b/>
          <w:bCs/>
          <w:color w:val="auto"/>
          <w:sz w:val="24"/>
          <w:szCs w:val="24"/>
        </w:rPr>
        <w:lastRenderedPageBreak/>
        <w:t>References</w:t>
      </w:r>
    </w:p>
    <w:p w14:paraId="53478A1C"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 Ali, M., Khan, D. M., Alshanbari, H. M., &amp; Odhah, O. H. (2025). Forecasting carbon dioxide emission using hybrid machine learning and nonlinear data decomposition methods. IEEE Access, 13, 212942–212958. https://doi.org/10.1109/ACCESS.2025.3630867</w:t>
      </w:r>
    </w:p>
    <w:p w14:paraId="7A8A2EE8"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 Benjamini, Y., &amp; Hochberg, Y. (1995). Controlling the false discovery rate: A practical and powerful approach to multiple testing. Journal of the Royal Statistical Society: Series B, 57(1), 289–300.</w:t>
      </w:r>
    </w:p>
    <w:p w14:paraId="22367936"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[3] Bergmeir, C., &amp; Benítez, J. M. (2012). On the use of cross-validation for time series predictor evaluation. Information Sciences, 191, 192–213. https://doi.org/10.1016/j.ins.2011.12.028</w:t>
      </w:r>
    </w:p>
    <w:p w14:paraId="1ED4DAEB"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[4] Bokde, N., Tranberg, B., &amp; Bruun Andresen, G. (2021). Short-term CO2 emissions forecasting based on decomposition approaches and its impact on electricity market scheduling. Applied Energy, 281, Article 116061. https://doi.org/10.1016/j.apenergy.2020.116061</w:t>
      </w:r>
    </w:p>
    <w:p w14:paraId="66DF3C17"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[5] Cameron, A. C., Gelbach, J. B., &amp; Miller, D. L. (2008). Bootstrap-based improvements for inference with clustered errors. The Review of Economics and Statistics, 90(3), 414–427. https://doi.org/10.1162/rest.90.3.414</w:t>
      </w:r>
    </w:p>
    <w:p w14:paraId="1D112C94"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[6] Chen, T., &amp; Guestrin, C. (2016). XGBoost: A scalable tree boosting system. In Proceedings of the 22nd ACM SIGKDD International Conference on Knowledge Discovery and Data Mining (pp. 785–794). Association for Computing Machinery.</w:t>
      </w:r>
    </w:p>
    <w:p w14:paraId="36E7E4A9"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[7] Chicco, D., Warrens, M. J., &amp; Jurman, G. (2021). The coefficient of determination R-squared is more informative than SMAPE, MAE, MAPE, MSE and RMSE in regression analysis evaluation. PeerJ Computer Science, 7, Article e623.</w:t>
      </w:r>
    </w:p>
    <w:p w14:paraId="793BF864"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[8] Diebold, F. X., &amp; Mariano, R. S. (1995). Comparing predictive accuracy. Journal of Business &amp; Economic Statistics, 13(3), 253–263.</w:t>
      </w:r>
    </w:p>
    <w:p w14:paraId="0CB4FBBC"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lastRenderedPageBreak/>
        <w:t>[9] Efron, B., &amp; Tibshirani, R. J. (1994). An introduction to the bootstrap. Chapman &amp; Hall/CRC.</w:t>
      </w:r>
    </w:p>
    <w:p w14:paraId="162A01E3"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[10] Harvey, D., Leybourne, S., &amp; Newbold, P. (1997). Testing the equality of prediction mean squared errors. International Journal of Forecasting, 13(2), 281–291.</w:t>
      </w:r>
    </w:p>
    <w:p w14:paraId="649729D8"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[11] Hastie, T., &amp; Tibshirani, R. (1986). Generalized additive models. Statistical Science, 1(3), 297–310.</w:t>
      </w:r>
    </w:p>
    <w:p w14:paraId="162D2F25"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[12] Hochreiter, S., &amp; Schmidhuber, J. (1997). Long short-term memory. Neural Computation, 9(8), 1735–1780.</w:t>
      </w:r>
    </w:p>
    <w:p w14:paraId="5E765297"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[13] Holm, S. (1979). A simple sequentially rejective multiple test procedure. Scandinavian Journal of Statistics, 6(2), 65–70.</w:t>
      </w:r>
    </w:p>
    <w:p w14:paraId="7C4B54E0"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[14] Jin, Y., Sharifi, A., Li, Z., Chen, S., Zeng, S., &amp; Zhao, S. (2024). Carbon emission prediction models: A review. Science of the Total Environment, 927, Article 172319.</w:t>
      </w:r>
    </w:p>
    <w:p w14:paraId="71041666"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[15] Künsch, H. R. (1989). The jackknife and the bootstrap for general stationary observations. The Annals of Statistics, 17(3), 1217–1241.</w:t>
      </w:r>
    </w:p>
    <w:p w14:paraId="44DC3F04"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[16] Leerbeck, K., Bacher, P., Grønborg Junker, R., Goranović, G., Corradi, O., Ebrahimy, R., Tveit, A., &amp; Madsen, H. (2020). Short-term forecasting of CO2 emission intensity in power grids by machine learning. Applied Energy, 277, Article 115527.</w:t>
      </w:r>
    </w:p>
    <w:p w14:paraId="506A4EF3"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[17] Maji, D., Shenoy, P., &amp; Sitaraman, R. K. (2022). CarbonCast: Multi-day forecasting of grid carbon intensity. In Proceedings of the 9th ACM International Conference on Systems for Energy-Efficient Buildings, Cities, and Transportation (pp. 198–207). Association for Computing Machinery.</w:t>
      </w:r>
    </w:p>
    <w:p w14:paraId="19639998"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[18] Newey, W. K., &amp; West, K. D. (1987). A simple, positive semi-definite, heteroskedasticity and autocorrelation consistent covariance matrix. Econometrica, 55(3), 703–708.</w:t>
      </w:r>
    </w:p>
    <w:p w14:paraId="1D08237A"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lastRenderedPageBreak/>
        <w:t>[19]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C45CF31"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[20] Politis, D. N., &amp; Romano, J. P. (1994). The stationary bootstrap. Journal of the American Statistical Association, 89(428), 1303–1313.</w:t>
      </w:r>
    </w:p>
    <w:p w14:paraId="7D2A7CC3"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[21] Radovanović, A., Koningstein, R., Schneider, I., Chen, B., Duarte, A., Roy, B., Xiao, D., Haridasan, M., Hung, P., Care, N., Talukdar, S., Mullen, E., Smith, K., Cottman, M., &amp; Cirne, W. (2023). Carbon-aware computing for datacenters. IEEE Transactions on Power Systems, 38(2), 1270–1280.</w:t>
      </w:r>
    </w:p>
    <w:p w14:paraId="62014F9B"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[22] U.S. Environmental Protection Agency. (2026). Clean Air Markets Program Data (CAMPD) [Data set]. https://campd.epa.gov/</w:t>
      </w:r>
    </w:p>
    <w:p w14:paraId="6757D66E"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[23] Yao, X., Zhang, H., Wang, X., Jiang, Y., Zhang, Y., &amp; Na, X. (2024). Which model is more efficient in carbon emission prediction research? Environmental Science and Pollution Research, 31, 19500–19515.</w:t>
      </w:r>
    </w:p>
    <w:p w14:paraId="35CB9BC5" w14:textId="2FCA3418" w:rsidR="00082E51" w:rsidRPr="00A51779" w:rsidRDefault="00082E51" w:rsidP="00703316">
      <w:pPr>
        <w:pStyle w:val="Heading1"/>
        <w:spacing w:line="480" w:lineRule="auto"/>
        <w:jc w:val="both"/>
        <w:rPr>
          <w:color w:val="auto"/>
          <w:sz w:val="24"/>
          <w:szCs w:val="24"/>
        </w:rPr>
      </w:pPr>
      <w:r w:rsidRPr="00A51779">
        <w:rPr>
          <w:color w:val="auto"/>
          <w:sz w:val="24"/>
          <w:szCs w:val="24"/>
        </w:rPr>
        <w:t>[24] Zhao, Q., Xiang, W., Huang, B., Wang, J., &amp; Fang, J. (2022). Optimised extreme gradient boosting model for short term electric load demand forecasting of regional grid system. Scientific Reports, 12, Article 19107. https://doi.org/10.1038/s41598-022-22024-3</w:t>
      </w:r>
    </w:p>
    <w:p w14:paraId="1209D786" w14:textId="04AA11FC" w:rsidR="00CD26DB" w:rsidRPr="00A51779" w:rsidRDefault="00CD26DB" w:rsidP="00703316">
      <w:pPr>
        <w:pStyle w:val="Heading1"/>
        <w:spacing w:line="480" w:lineRule="auto"/>
        <w:jc w:val="both"/>
        <w:rPr>
          <w:color w:val="auto"/>
          <w:sz w:val="24"/>
          <w:szCs w:val="24"/>
        </w:rPr>
      </w:pPr>
      <w:r w:rsidRPr="00A51779">
        <w:rPr>
          <w:color w:val="auto"/>
          <w:sz w:val="24"/>
          <w:szCs w:val="24"/>
        </w:rPr>
        <w:t>[25] IPCC. (2023). Climate Change 2023: Synthesis Report. Contribution of Working Groups I, II and III to the Sixth Assessment Report of the Intergovernmental Panel on Climate Change [Core Writing Team, H. Lee and J. Romero (Eds.)]. IPCC, Geneva, Switzerland. https://doi.org/10.59327/IPCC/AR6-9789291691647</w:t>
      </w:r>
    </w:p>
    <w:p w14:paraId="2B0EDC78" w14:textId="1C51AEC2" w:rsidR="00CD26DB" w:rsidRPr="00A51779" w:rsidRDefault="00CD26DB" w:rsidP="00703316">
      <w:pPr>
        <w:pStyle w:val="Heading1"/>
        <w:spacing w:line="480" w:lineRule="auto"/>
        <w:jc w:val="both"/>
        <w:rPr>
          <w:color w:val="auto"/>
          <w:sz w:val="24"/>
          <w:szCs w:val="24"/>
        </w:rPr>
      </w:pPr>
      <w:r w:rsidRPr="00A51779">
        <w:rPr>
          <w:color w:val="auto"/>
          <w:sz w:val="24"/>
          <w:szCs w:val="24"/>
        </w:rPr>
        <w:t>[26] International Energy Agency. (2026). Global Energy Review 2026. IEA, Paris.</w:t>
      </w:r>
    </w:p>
    <w:p w14:paraId="120D5ABF" w14:textId="742CC434" w:rsidR="00082E51" w:rsidRPr="00E332FE" w:rsidRDefault="00CD26DB" w:rsidP="00703316">
      <w:pPr>
        <w:pStyle w:val="Heading1"/>
        <w:spacing w:line="480" w:lineRule="auto"/>
        <w:jc w:val="both"/>
        <w:rPr>
          <w:color w:val="auto"/>
          <w:sz w:val="24"/>
          <w:szCs w:val="24"/>
          <w:lang w:val="en-US"/>
        </w:rPr>
      </w:pPr>
      <w:r w:rsidRPr="00A51779">
        <w:rPr>
          <w:color w:val="auto"/>
          <w:sz w:val="24"/>
          <w:szCs w:val="24"/>
        </w:rPr>
        <w:lastRenderedPageBreak/>
        <w:t>[27] International Energy Agency. (2025). Electricity 2025: Analysis and Forecast to 2027. IEA, Paris.</w:t>
      </w:r>
    </w:p>
    <w:p w14:paraId="71766143" w14:textId="08A13466" w:rsidR="00295BA3" w:rsidRPr="00E332FE" w:rsidRDefault="00295BA3" w:rsidP="00703316">
      <w:pPr>
        <w:pStyle w:val="Heading1"/>
        <w:spacing w:line="480" w:lineRule="auto"/>
        <w:jc w:val="both"/>
        <w:rPr>
          <w:b/>
          <w:bCs/>
          <w:color w:val="9999FF"/>
          <w:sz w:val="24"/>
          <w:szCs w:val="24"/>
          <w:lang w:val="en-US"/>
        </w:rPr>
      </w:pPr>
      <w:r w:rsidRPr="00E332FE">
        <w:rPr>
          <w:b/>
          <w:bCs/>
          <w:color w:val="9999FF"/>
          <w:sz w:val="24"/>
          <w:szCs w:val="24"/>
          <w:lang w:val="en-US"/>
        </w:rPr>
        <w:t>References</w:t>
      </w:r>
    </w:p>
    <w:p w14:paraId="540C2B58" w14:textId="3D60265D" w:rsidR="00295BA3" w:rsidRPr="00295BA3" w:rsidRDefault="00295BA3" w:rsidP="00295BA3">
      <w:pPr>
        <w:widowControl w:val="0"/>
        <w:autoSpaceDE w:val="0"/>
        <w:autoSpaceDN w:val="0"/>
        <w:adjustRightInd w:val="0"/>
        <w:spacing w:line="480" w:lineRule="auto"/>
        <w:ind w:left="640" w:hanging="640"/>
        <w:rPr>
          <w:noProof/>
        </w:rPr>
      </w:pPr>
      <w:r>
        <w:rPr>
          <w:b/>
          <w:bCs/>
          <w:color w:val="9999FF"/>
          <w:lang w:val="fr-FR"/>
        </w:rPr>
        <w:fldChar w:fldCharType="begin" w:fldLock="1"/>
      </w:r>
      <w:r w:rsidRPr="00E332FE">
        <w:rPr>
          <w:b/>
          <w:bCs/>
          <w:color w:val="9999FF"/>
          <w:lang w:val="en-US"/>
        </w:rPr>
        <w:instrText xml:space="preserve">ADDIN Mendeley Bibliography CSL_BIBLIOGRAPHY </w:instrText>
      </w:r>
      <w:r>
        <w:rPr>
          <w:b/>
          <w:bCs/>
          <w:color w:val="9999FF"/>
          <w:lang w:val="fr-FR"/>
        </w:rPr>
        <w:fldChar w:fldCharType="separate"/>
      </w:r>
      <w:r w:rsidRPr="00295BA3">
        <w:rPr>
          <w:noProof/>
        </w:rPr>
        <w:t>[1]</w:t>
      </w:r>
      <w:r w:rsidRPr="00295BA3">
        <w:rPr>
          <w:noProof/>
        </w:rPr>
        <w:tab/>
        <w:t>N.D. Bokde, B. Tranberg, G.B. Andresen, Short-term CO2 emissions forecasting based on decomposition approaches and its impact on electricity market scheduling, Appl. Energy 281 (2021) 116061. https://doi.org/10.1016/j.apenergy.2020.116061.</w:t>
      </w:r>
    </w:p>
    <w:p w14:paraId="71E7B82A"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[2]</w:t>
      </w:r>
      <w:r w:rsidRPr="00295BA3">
        <w:rPr>
          <w:noProof/>
        </w:rPr>
        <w:tab/>
        <w:t>A. Radovanović, R. Koningstein, I. Schneider, B. Chen, A. Duarte, B. Roy, D. Xiao, M. Haridasan, P. Hung, N. Care, S. Talukdar, E. Mullen, K. Smith, M. Cottman, W. Cirne, Carbon-Aware Computing for Datacenters, IEEE Trans. Power Syst. 38 (2023) 1270–1280. https://doi.org/10.1109/TPWRS.2022.3173250.</w:t>
      </w:r>
    </w:p>
    <w:p w14:paraId="6191245C"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[3]</w:t>
      </w:r>
      <w:r w:rsidRPr="00295BA3">
        <w:rPr>
          <w:noProof/>
        </w:rPr>
        <w:tab/>
        <w:t>H.L. and J.R. (Eds Core Writing Team, IPCC. (2023): Climate Change 2023: Synthesis Report. Contribution of Working Groups I, II and III to the Sixth Assessment Report of the Intergovernmental Panel on Climate Change, Geneva, Switzerland, 2023. https://doi.org/10.59327/IPCC/AR6-9789291691647.</w:t>
      </w:r>
    </w:p>
    <w:p w14:paraId="182CB611"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[4]</w:t>
      </w:r>
      <w:r w:rsidRPr="00295BA3">
        <w:rPr>
          <w:noProof/>
        </w:rPr>
        <w:tab/>
        <w:t>IEA, Electricity 2025: Analysis and Forecast to 2027, (2025). https://www.iea.org/reports/electricity-2025.</w:t>
      </w:r>
    </w:p>
    <w:p w14:paraId="06515916"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[5]</w:t>
      </w:r>
      <w:r w:rsidRPr="00295BA3">
        <w:rPr>
          <w:noProof/>
        </w:rPr>
        <w:tab/>
        <w:t>M. Ali, D.M. Khan, H.M. Alshanbari, O.H. Odhah, Forecasting Carbon Dioxide Emission Using Hybrid Machine Learning and Nonlinear Data Decomposition Methods, IEEE Access 13 (2025) 212942–212958. https://doi.org/10.1109/ACCESS.2025.3630867.</w:t>
      </w:r>
    </w:p>
    <w:p w14:paraId="79D3493A"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[6]</w:t>
      </w:r>
      <w:r w:rsidRPr="00295BA3">
        <w:rPr>
          <w:noProof/>
        </w:rPr>
        <w:tab/>
        <w:t>Y. Jin, A. Sharifi, Z. Li, S. Chen, S. Zeng, S. Zhao, Carbon emission prediction models: A review, Sci. Total Environ. 927 (2024) 172319.</w:t>
      </w:r>
    </w:p>
    <w:p w14:paraId="39AD24AA"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[7]</w:t>
      </w:r>
      <w:r w:rsidRPr="00295BA3">
        <w:rPr>
          <w:noProof/>
        </w:rPr>
        <w:tab/>
        <w:t xml:space="preserve">X. Yao, H. Zhang, X. Wang, Y. Jiang, Y. Zhang, X. Na, Which model is more efficient in carbon emission prediction research? A comparative study of deep learning models, </w:t>
      </w:r>
      <w:r w:rsidRPr="00295BA3">
        <w:rPr>
          <w:noProof/>
        </w:rPr>
        <w:lastRenderedPageBreak/>
        <w:t>machine learning models, and econometric models, Environ. Sci. Pollut. Res. 31 (2024) 19500–19515. https://doi.org/10.1007/s11356-024-32083-w.</w:t>
      </w:r>
    </w:p>
    <w:p w14:paraId="42646B7E"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[8]</w:t>
      </w:r>
      <w:r w:rsidRPr="00295BA3">
        <w:rPr>
          <w:noProof/>
        </w:rPr>
        <w:tab/>
        <w:t>Z. Qinghe, X. Wen, H. Boyan, W. Jong, F. Junlong, Optimised extreme gradient boosting model for short term electric load demand forecasting of regional grid system, Sci. Rep. 12 (2022) 19282. https://doi.org/10.1038/s41598-022-22024-3.</w:t>
      </w:r>
    </w:p>
    <w:p w14:paraId="217CA388"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[9]</w:t>
      </w:r>
      <w:r w:rsidRPr="00295BA3">
        <w:rPr>
          <w:noProof/>
        </w:rPr>
        <w:tab/>
        <w:t>K. Leerbeck, P. Bacher, R.G. Junker, G. Goranović, O. Corradi, R. Ebrahimy, A. Tveit, H. Madsen, Short-term forecasting of CO2 emission intensity in power grids by machine learning, Appl. Energy 277 (2020) 115527. https://doi.org/https://doi.org/10.1016/j.apenergy.2020.115527.</w:t>
      </w:r>
    </w:p>
    <w:p w14:paraId="459A5B51"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[10]</w:t>
      </w:r>
      <w:r w:rsidRPr="00295BA3">
        <w:rPr>
          <w:noProof/>
        </w:rPr>
        <w:tab/>
        <w:t>D. Maji, P. Shenoy, R.K. Sitaraman, CarbonCast: multi-day forecasting of grid carbon intensity, in: Proc. 9th ACM Int. Conf. Syst. Energy-Efficient Build. Cities, Transp., Association for Computing Machinery, New York, NY, USA, 2022: pp. 198–207. https://doi.org/10.1145/3563357.3564079.</w:t>
      </w:r>
    </w:p>
    <w:p w14:paraId="4DAE1422"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[11]</w:t>
      </w:r>
      <w:r w:rsidRPr="00295BA3">
        <w:rPr>
          <w:noProof/>
        </w:rPr>
        <w:tab/>
        <w:t>Y. Jin, A. Sharifi, Z. Li, S. Chen, S. Zeng, S. Zhao, Carbon emission prediction models: A review, Sci. Total Environ. 927 (2024) 172319. https://doi.org/https://doi.org/10.1016/j.scitotenv.2024.172319.</w:t>
      </w:r>
    </w:p>
    <w:p w14:paraId="2A4730CC"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[12]</w:t>
      </w:r>
      <w:r w:rsidRPr="00295BA3">
        <w:rPr>
          <w:noProof/>
        </w:rPr>
        <w:tab/>
        <w:t>T. Hastie, R. Tibshirani, Generalized Additive Models, Stat. Sci. 1 (1986) 297–310. http://www.jstor.org/stable/2245459.</w:t>
      </w:r>
    </w:p>
    <w:p w14:paraId="0827D0CA"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[13]</w:t>
      </w:r>
      <w:r w:rsidRPr="00295BA3">
        <w:rPr>
          <w:noProof/>
        </w:rPr>
        <w:tab/>
        <w:t>C. Bergmeir, J.M. Benítez, On the use of cross-validation for time series predictor evaluation, Inf. Sci. (Ny). 191 (2012) 192–213. https://doi.org/10.1016/j.ins.2011.12.028.</w:t>
      </w:r>
    </w:p>
    <w:p w14:paraId="7A817E37"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[14]</w:t>
      </w:r>
      <w:r w:rsidRPr="00295BA3">
        <w:rPr>
          <w:noProof/>
        </w:rPr>
        <w:tab/>
        <w:t>F.X. Diebold, R.S. Mariano, Comparing Predictive Accuracy, J. Bus. Econ. Stat. 13 (1995) 253–263. https://doi.org/10.2307/1392185.</w:t>
      </w:r>
    </w:p>
    <w:p w14:paraId="54D403F5"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[15]</w:t>
      </w:r>
      <w:r w:rsidRPr="00295BA3">
        <w:rPr>
          <w:noProof/>
        </w:rPr>
        <w:tab/>
        <w:t xml:space="preserve">W.K. Newey, K.D. West, A Simple, Positive Semi-Definite, Heteroskedasticity and </w:t>
      </w:r>
      <w:r w:rsidRPr="00295BA3">
        <w:rPr>
          <w:noProof/>
        </w:rPr>
        <w:lastRenderedPageBreak/>
        <w:t>Autocorrelation Consistent Covariance Matrix, Econometrica 55 (1987) 703–708. https://doi.org/10.2307/1913610.</w:t>
      </w:r>
    </w:p>
    <w:p w14:paraId="64A8B122"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[16]</w:t>
      </w:r>
      <w:r w:rsidRPr="00295BA3">
        <w:rPr>
          <w:noProof/>
        </w:rPr>
        <w:tab/>
        <w:t>D. Harvey, S. Leybourne, P. Newbold, Testing the equality of prediction mean squared errors, Int. J. Forecast. 13 (1997) 281–291. https://doi.org/https://doi.org/10.1016/S0169-2070(96)00719-4.</w:t>
      </w:r>
    </w:p>
    <w:p w14:paraId="36A04B1B"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[17]</w:t>
      </w:r>
      <w:r w:rsidRPr="00295BA3">
        <w:rPr>
          <w:noProof/>
        </w:rPr>
        <w:tab/>
        <w:t>S. Holm, A Simple Sequentially Rejective Multiple Test Procedure, Scand. J. Stat. 6 (1979) 65–70. http://www.jstor.org/stable/4615733.</w:t>
      </w:r>
    </w:p>
    <w:p w14:paraId="3E6E17E9"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[18]</w:t>
      </w:r>
      <w:r w:rsidRPr="00295BA3">
        <w:rPr>
          <w:noProof/>
        </w:rPr>
        <w:tab/>
        <w:t>U.S. Environmental Protection Agency, Clean Air Markets Program Data (CAMPD), (2026). https://campd.epa.gov/.</w:t>
      </w:r>
    </w:p>
    <w:p w14:paraId="20981BF7"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[19]</w:t>
      </w:r>
      <w:r w:rsidRPr="00295BA3">
        <w:rPr>
          <w:noProof/>
        </w:rPr>
        <w:tab/>
        <w:t>F. Pedregosa, G. Varoquaux, A. Gramfort, V. Michel, B. Thirion, O. Grisel, M. Blondel, P. Prettenhofer, R. Weiss, V. Dubourg, Scikit-learn: Machine learning in Python, J. Mach. Learn. Res. 12 (2011) 2825–2830.</w:t>
      </w:r>
    </w:p>
    <w:p w14:paraId="06758FCD"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[20]</w:t>
      </w:r>
      <w:r w:rsidRPr="00295BA3">
        <w:rPr>
          <w:noProof/>
        </w:rPr>
        <w:tab/>
        <w:t>T. Chen, C. Guestrin, Xgboost: A scalable tree boosting system, in: Proc. 22nd Acm Sigkdd Int. Conf. Knowl. Discov. Data Min., 2016: pp. 785–794. https://doi.org/10.1145/2939672.2939785.</w:t>
      </w:r>
    </w:p>
    <w:p w14:paraId="671A605F"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[21]</w:t>
      </w:r>
      <w:r w:rsidRPr="00295BA3">
        <w:rPr>
          <w:noProof/>
        </w:rPr>
        <w:tab/>
        <w:t>S. Hochreiter, J. Schmidhuber, Long short-term memory, Neural Comput. 9 (1997) 1735–1780.</w:t>
      </w:r>
    </w:p>
    <w:p w14:paraId="79EFFF7D"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[22]</w:t>
      </w:r>
      <w:r w:rsidRPr="00295BA3">
        <w:rPr>
          <w:noProof/>
        </w:rPr>
        <w:tab/>
        <w:t>B. Efron, R.J. Tibshirani, An introduction to the bootstrap, Boca Raton, Florida, 2000.</w:t>
      </w:r>
    </w:p>
    <w:p w14:paraId="07295C98"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[23]</w:t>
      </w:r>
      <w:r w:rsidRPr="00295BA3">
        <w:rPr>
          <w:noProof/>
        </w:rPr>
        <w:tab/>
        <w:t>H.R. Künsch, The Jackknife and the Bootstrap for General Stationary Observations, Ann. Stat. 17 (1989) 1217–1241. http://www.jstor.org/stable/2241719.</w:t>
      </w:r>
    </w:p>
    <w:p w14:paraId="58D1E233"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[24]</w:t>
      </w:r>
      <w:r w:rsidRPr="00295BA3">
        <w:rPr>
          <w:noProof/>
        </w:rPr>
        <w:tab/>
        <w:t>Y. Benjamini, Y. Hochberg, Controlling the False Discovery Rate: A Practical and Powerful Approach to Multiple Testing, J. R. Stat. Soc. Ser. B 57 (1995) 289–300. https://doi.org/10.1111/j.2517-6161.1995.tb02031.x.</w:t>
      </w:r>
    </w:p>
    <w:p w14:paraId="06DF9419"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lastRenderedPageBreak/>
        <w:t>[25]</w:t>
      </w:r>
      <w:r w:rsidRPr="00295BA3">
        <w:rPr>
          <w:noProof/>
        </w:rPr>
        <w:tab/>
        <w:t>D. Chicco, M.J. Warrens, G. Jurman, The coefficient of determination R-squared is more informative than SMAPE, MAE, MAPE, MSE and RMSE in regression analysis evaluation, Peerj Comput. Sci. 7 (2021) e623. https://doi.org/10.7717/peerj-cs.623.</w:t>
      </w:r>
    </w:p>
    <w:p w14:paraId="4A414731" w14:textId="77777777" w:rsidR="00295BA3" w:rsidRPr="00295BA3" w:rsidRDefault="00295BA3" w:rsidP="00295BA3">
      <w:pPr>
        <w:widowControl w:val="0"/>
        <w:autoSpaceDE w:val="0"/>
        <w:autoSpaceDN w:val="0"/>
        <w:adjustRightInd w:val="0"/>
        <w:spacing w:line="480" w:lineRule="auto"/>
        <w:ind w:left="640" w:hanging="640"/>
        <w:rPr>
          <w:noProof/>
        </w:rPr>
      </w:pPr>
      <w:r w:rsidRPr="00295BA3">
        <w:rPr>
          <w:noProof/>
        </w:rPr>
        <w:t>[26]</w:t>
      </w:r>
      <w:r w:rsidRPr="00295BA3">
        <w:rPr>
          <w:noProof/>
        </w:rPr>
        <w:tab/>
        <w:t>A. Cameron, J. Gelbach, D. Miller, Bootstrap-Based Improvements for Inference with Clustered Errors, Rev. Econ. Stat. 90 (2008) 414–427. https://econpapers.repec.org/RePEc:tpr:restat:v:90:y:2008:i:3:p:414-427.</w:t>
      </w:r>
    </w:p>
    <w:p w14:paraId="0C4EDE24" w14:textId="441D9168" w:rsidR="00295BA3" w:rsidRPr="00295BA3" w:rsidRDefault="00295BA3" w:rsidP="00703316">
      <w:pPr>
        <w:pStyle w:val="Heading1"/>
        <w:spacing w:line="480" w:lineRule="auto"/>
        <w:jc w:val="both"/>
        <w:rPr>
          <w:b/>
          <w:bCs/>
          <w:color w:val="9999FF"/>
          <w:sz w:val="24"/>
          <w:szCs w:val="24"/>
          <w:lang w:val="fr-FR"/>
        </w:rPr>
      </w:pPr>
      <w:r>
        <w:rPr>
          <w:b/>
          <w:bCs/>
          <w:color w:val="9999FF"/>
          <w:sz w:val="24"/>
          <w:szCs w:val="24"/>
          <w:lang w:val="fr-FR"/>
        </w:rPr>
        <w:fldChar w:fldCharType="end"/>
      </w:r>
    </w:p>
    <w:sectPr w:rsidR="00295BA3" w:rsidRPr="00295BA3" w:rsidSect="00E332FE">
      <w:pgSz w:w="12240" w:h="15840"/>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201B1"/>
    <w:multiLevelType w:val="hybridMultilevel"/>
    <w:tmpl w:val="F196C8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865968"/>
    <w:multiLevelType w:val="hybridMultilevel"/>
    <w:tmpl w:val="5C8CF4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D14289"/>
    <w:multiLevelType w:val="hybridMultilevel"/>
    <w:tmpl w:val="10D4D2E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C07BB"/>
    <w:multiLevelType w:val="hybridMultilevel"/>
    <w:tmpl w:val="E1BECD80"/>
    <w:lvl w:ilvl="0" w:tplc="D1D4554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EE5D49"/>
    <w:multiLevelType w:val="hybridMultilevel"/>
    <w:tmpl w:val="1946F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374551"/>
    <w:multiLevelType w:val="hybridMultilevel"/>
    <w:tmpl w:val="F758915A"/>
    <w:lvl w:ilvl="0" w:tplc="CD302EF8">
      <w:start w:val="1"/>
      <w:numFmt w:val="bullet"/>
      <w:lvlText w:val="●"/>
      <w:lvlJc w:val="left"/>
      <w:pPr>
        <w:ind w:left="720" w:hanging="360"/>
      </w:pPr>
    </w:lvl>
    <w:lvl w:ilvl="1" w:tplc="39A4D8B2">
      <w:start w:val="1"/>
      <w:numFmt w:val="bullet"/>
      <w:lvlText w:val="○"/>
      <w:lvlJc w:val="left"/>
      <w:pPr>
        <w:ind w:left="1440" w:hanging="360"/>
      </w:pPr>
    </w:lvl>
    <w:lvl w:ilvl="2" w:tplc="CD9C81CA">
      <w:start w:val="1"/>
      <w:numFmt w:val="bullet"/>
      <w:lvlText w:val="■"/>
      <w:lvlJc w:val="left"/>
      <w:pPr>
        <w:ind w:left="2160" w:hanging="360"/>
      </w:pPr>
    </w:lvl>
    <w:lvl w:ilvl="3" w:tplc="C5329156">
      <w:start w:val="1"/>
      <w:numFmt w:val="bullet"/>
      <w:lvlText w:val="●"/>
      <w:lvlJc w:val="left"/>
      <w:pPr>
        <w:ind w:left="2880" w:hanging="360"/>
      </w:pPr>
    </w:lvl>
    <w:lvl w:ilvl="4" w:tplc="2A349760">
      <w:start w:val="1"/>
      <w:numFmt w:val="bullet"/>
      <w:lvlText w:val="○"/>
      <w:lvlJc w:val="left"/>
      <w:pPr>
        <w:ind w:left="3600" w:hanging="360"/>
      </w:pPr>
    </w:lvl>
    <w:lvl w:ilvl="5" w:tplc="E0B6379E">
      <w:start w:val="1"/>
      <w:numFmt w:val="bullet"/>
      <w:lvlText w:val="■"/>
      <w:lvlJc w:val="left"/>
      <w:pPr>
        <w:ind w:left="4320" w:hanging="360"/>
      </w:pPr>
    </w:lvl>
    <w:lvl w:ilvl="6" w:tplc="F3E63E7E">
      <w:start w:val="1"/>
      <w:numFmt w:val="bullet"/>
      <w:lvlText w:val="●"/>
      <w:lvlJc w:val="left"/>
      <w:pPr>
        <w:ind w:left="5040" w:hanging="360"/>
      </w:pPr>
    </w:lvl>
    <w:lvl w:ilvl="7" w:tplc="F9FA979E">
      <w:start w:val="1"/>
      <w:numFmt w:val="bullet"/>
      <w:lvlText w:val="●"/>
      <w:lvlJc w:val="left"/>
      <w:pPr>
        <w:ind w:left="5760" w:hanging="360"/>
      </w:pPr>
    </w:lvl>
    <w:lvl w:ilvl="8" w:tplc="F4B0A564">
      <w:start w:val="1"/>
      <w:numFmt w:val="bullet"/>
      <w:lvlText w:val="●"/>
      <w:lvlJc w:val="left"/>
      <w:pPr>
        <w:ind w:left="6480" w:hanging="360"/>
      </w:pPr>
    </w:lvl>
  </w:abstractNum>
  <w:abstractNum w:abstractNumId="6" w15:restartNumberingAfterBreak="0">
    <w:nsid w:val="79200D64"/>
    <w:multiLevelType w:val="hybridMultilevel"/>
    <w:tmpl w:val="EC342A32"/>
    <w:lvl w:ilvl="0" w:tplc="40A424B2">
      <w:start w:val="1"/>
      <w:numFmt w:val="bullet"/>
      <w:lvlText w:val="•"/>
      <w:lvlJc w:val="left"/>
      <w:pPr>
        <w:ind w:left="360" w:hanging="360"/>
      </w:pPr>
    </w:lvl>
    <w:lvl w:ilvl="1" w:tplc="45C27D90">
      <w:numFmt w:val="decimal"/>
      <w:lvlText w:val=""/>
      <w:lvlJc w:val="left"/>
    </w:lvl>
    <w:lvl w:ilvl="2" w:tplc="5AE692AE">
      <w:numFmt w:val="decimal"/>
      <w:lvlText w:val=""/>
      <w:lvlJc w:val="left"/>
    </w:lvl>
    <w:lvl w:ilvl="3" w:tplc="B5DC6596">
      <w:numFmt w:val="decimal"/>
      <w:lvlText w:val=""/>
      <w:lvlJc w:val="left"/>
    </w:lvl>
    <w:lvl w:ilvl="4" w:tplc="AD984F02">
      <w:numFmt w:val="decimal"/>
      <w:lvlText w:val=""/>
      <w:lvlJc w:val="left"/>
    </w:lvl>
    <w:lvl w:ilvl="5" w:tplc="7C0EA68C">
      <w:numFmt w:val="decimal"/>
      <w:lvlText w:val=""/>
      <w:lvlJc w:val="left"/>
    </w:lvl>
    <w:lvl w:ilvl="6" w:tplc="DAAEEC5C">
      <w:numFmt w:val="decimal"/>
      <w:lvlText w:val=""/>
      <w:lvlJc w:val="left"/>
    </w:lvl>
    <w:lvl w:ilvl="7" w:tplc="4C1C442E">
      <w:numFmt w:val="decimal"/>
      <w:lvlText w:val=""/>
      <w:lvlJc w:val="left"/>
    </w:lvl>
    <w:lvl w:ilvl="8" w:tplc="162CFB54">
      <w:numFmt w:val="decimal"/>
      <w:lvlText w:val=""/>
      <w:lvlJc w:val="left"/>
    </w:lvl>
  </w:abstractNum>
  <w:num w:numId="1" w16cid:durableId="1404642588">
    <w:abstractNumId w:val="5"/>
    <w:lvlOverride w:ilvl="0">
      <w:startOverride w:val="1"/>
    </w:lvlOverride>
  </w:num>
  <w:num w:numId="2" w16cid:durableId="316106879">
    <w:abstractNumId w:val="6"/>
    <w:lvlOverride w:ilvl="0">
      <w:startOverride w:val="1"/>
    </w:lvlOverride>
  </w:num>
  <w:num w:numId="3" w16cid:durableId="910967464">
    <w:abstractNumId w:val="4"/>
  </w:num>
  <w:num w:numId="4" w16cid:durableId="128744369">
    <w:abstractNumId w:val="0"/>
  </w:num>
  <w:num w:numId="5" w16cid:durableId="1730877739">
    <w:abstractNumId w:val="1"/>
  </w:num>
  <w:num w:numId="6" w16cid:durableId="2051294619">
    <w:abstractNumId w:val="2"/>
  </w:num>
  <w:num w:numId="7" w16cid:durableId="90604075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7F"/>
    <w:rsid w:val="0000159C"/>
    <w:rsid w:val="00004FA1"/>
    <w:rsid w:val="000153F7"/>
    <w:rsid w:val="00030FAB"/>
    <w:rsid w:val="0006749D"/>
    <w:rsid w:val="00077F21"/>
    <w:rsid w:val="00082E51"/>
    <w:rsid w:val="00087796"/>
    <w:rsid w:val="000A0A17"/>
    <w:rsid w:val="001127A8"/>
    <w:rsid w:val="00157712"/>
    <w:rsid w:val="001724CB"/>
    <w:rsid w:val="001756CC"/>
    <w:rsid w:val="00176F23"/>
    <w:rsid w:val="001A1C94"/>
    <w:rsid w:val="001A2F97"/>
    <w:rsid w:val="001E1FFE"/>
    <w:rsid w:val="001E25CD"/>
    <w:rsid w:val="001E464A"/>
    <w:rsid w:val="0020760F"/>
    <w:rsid w:val="00210F0B"/>
    <w:rsid w:val="00253B8E"/>
    <w:rsid w:val="002545D4"/>
    <w:rsid w:val="00274578"/>
    <w:rsid w:val="00295BA3"/>
    <w:rsid w:val="002E63B1"/>
    <w:rsid w:val="00336CF0"/>
    <w:rsid w:val="003579E7"/>
    <w:rsid w:val="00357B6B"/>
    <w:rsid w:val="00357D53"/>
    <w:rsid w:val="00357E8D"/>
    <w:rsid w:val="003732CB"/>
    <w:rsid w:val="003901F5"/>
    <w:rsid w:val="003D4C79"/>
    <w:rsid w:val="003E6666"/>
    <w:rsid w:val="003F4E7B"/>
    <w:rsid w:val="003F73AB"/>
    <w:rsid w:val="00412B9F"/>
    <w:rsid w:val="004219A9"/>
    <w:rsid w:val="0043190D"/>
    <w:rsid w:val="00450A61"/>
    <w:rsid w:val="004779CE"/>
    <w:rsid w:val="004B2F2B"/>
    <w:rsid w:val="004B3027"/>
    <w:rsid w:val="004D403E"/>
    <w:rsid w:val="004F7FE1"/>
    <w:rsid w:val="0052347F"/>
    <w:rsid w:val="005448CD"/>
    <w:rsid w:val="00545016"/>
    <w:rsid w:val="005627DD"/>
    <w:rsid w:val="00572EED"/>
    <w:rsid w:val="005A2BED"/>
    <w:rsid w:val="005B17A7"/>
    <w:rsid w:val="005C671A"/>
    <w:rsid w:val="005C7A6A"/>
    <w:rsid w:val="005D03C1"/>
    <w:rsid w:val="005E1EB1"/>
    <w:rsid w:val="005F5422"/>
    <w:rsid w:val="00602E73"/>
    <w:rsid w:val="00675962"/>
    <w:rsid w:val="006E6802"/>
    <w:rsid w:val="00703316"/>
    <w:rsid w:val="0074097A"/>
    <w:rsid w:val="007508A8"/>
    <w:rsid w:val="00752DDC"/>
    <w:rsid w:val="00773895"/>
    <w:rsid w:val="007744B5"/>
    <w:rsid w:val="007878CB"/>
    <w:rsid w:val="0079599D"/>
    <w:rsid w:val="007C5733"/>
    <w:rsid w:val="00806971"/>
    <w:rsid w:val="008A0079"/>
    <w:rsid w:val="009069EA"/>
    <w:rsid w:val="00932611"/>
    <w:rsid w:val="00962E5B"/>
    <w:rsid w:val="009706AC"/>
    <w:rsid w:val="009A0BF0"/>
    <w:rsid w:val="009D39BD"/>
    <w:rsid w:val="009F24F8"/>
    <w:rsid w:val="00A25972"/>
    <w:rsid w:val="00A30AED"/>
    <w:rsid w:val="00A347E1"/>
    <w:rsid w:val="00A435B2"/>
    <w:rsid w:val="00A50713"/>
    <w:rsid w:val="00A51779"/>
    <w:rsid w:val="00A81B34"/>
    <w:rsid w:val="00A922C5"/>
    <w:rsid w:val="00A952BA"/>
    <w:rsid w:val="00AC1AD5"/>
    <w:rsid w:val="00B06310"/>
    <w:rsid w:val="00B22838"/>
    <w:rsid w:val="00B371F0"/>
    <w:rsid w:val="00B50902"/>
    <w:rsid w:val="00B7675E"/>
    <w:rsid w:val="00B80FAE"/>
    <w:rsid w:val="00B919ED"/>
    <w:rsid w:val="00BC7B08"/>
    <w:rsid w:val="00BF499A"/>
    <w:rsid w:val="00C65888"/>
    <w:rsid w:val="00C71BF3"/>
    <w:rsid w:val="00C860C3"/>
    <w:rsid w:val="00CA3D31"/>
    <w:rsid w:val="00CD26DB"/>
    <w:rsid w:val="00CE0966"/>
    <w:rsid w:val="00CF7AFE"/>
    <w:rsid w:val="00D06589"/>
    <w:rsid w:val="00D076A3"/>
    <w:rsid w:val="00D44B61"/>
    <w:rsid w:val="00D46B27"/>
    <w:rsid w:val="00DA2807"/>
    <w:rsid w:val="00DB7960"/>
    <w:rsid w:val="00DE3535"/>
    <w:rsid w:val="00DF4A43"/>
    <w:rsid w:val="00E332FE"/>
    <w:rsid w:val="00E35D5F"/>
    <w:rsid w:val="00E40B3A"/>
    <w:rsid w:val="00E50756"/>
    <w:rsid w:val="00E57ED0"/>
    <w:rsid w:val="00E64155"/>
    <w:rsid w:val="00E76F19"/>
    <w:rsid w:val="00E83E75"/>
    <w:rsid w:val="00E8745A"/>
    <w:rsid w:val="00E91572"/>
    <w:rsid w:val="00E924C5"/>
    <w:rsid w:val="00EA3C48"/>
    <w:rsid w:val="00ED16C3"/>
    <w:rsid w:val="00F40839"/>
    <w:rsid w:val="00F7502C"/>
    <w:rsid w:val="00F86A79"/>
    <w:rsid w:val="00FB4822"/>
    <w:rsid w:val="00FC10EE"/>
    <w:rsid w:val="00FD700B"/>
    <w:rsid w:val="00FF326E"/>
  </w:rsids>
  <m:mathPr>
    <m:mathFont m:val="Cambria Math"/>
    <m:brkBin m:val="before"/>
    <m:brkBinSub m:val="--"/>
    <m:smallFrac m:val="0"/>
    <m:dispDef/>
    <m:lMargin m:val="0"/>
    <m:rMargin m:val="0"/>
    <m:defJc m:val="centerGroup"/>
    <m:wrapIndent m:val="1440"/>
    <m:intLim m:val="subSup"/>
    <m:naryLim m:val="undOvr"/>
  </m:mathPr>
  <w:themeFontLang w:val="en-K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BF2E"/>
  <w15:docId w15:val="{4E9D27AC-AD99-5046-B75C-017FC5F7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9ED"/>
    <w:rPr>
      <w:sz w:val="24"/>
      <w:szCs w:val="24"/>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82E51"/>
    <w:rPr>
      <w:color w:val="605E5C"/>
      <w:shd w:val="clear" w:color="auto" w:fill="E1DFDD"/>
    </w:rPr>
  </w:style>
  <w:style w:type="table" w:styleId="PlainTable3">
    <w:name w:val="Plain Table 3"/>
    <w:basedOn w:val="TableNormal"/>
    <w:uiPriority w:val="43"/>
    <w:rsid w:val="00B80FA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80FA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DA2807"/>
    <w:pPr>
      <w:spacing w:before="100" w:beforeAutospacing="1" w:after="100" w:afterAutospacing="1"/>
    </w:pPr>
  </w:style>
  <w:style w:type="character" w:styleId="PlaceholderText">
    <w:name w:val="Placeholder Text"/>
    <w:basedOn w:val="DefaultParagraphFont"/>
    <w:uiPriority w:val="99"/>
    <w:semiHidden/>
    <w:rsid w:val="00DB7960"/>
    <w:rPr>
      <w:color w:val="666666"/>
    </w:rPr>
  </w:style>
  <w:style w:type="character" w:customStyle="1" w:styleId="Heading2Char">
    <w:name w:val="Heading 2 Char"/>
    <w:basedOn w:val="DefaultParagraphFont"/>
    <w:link w:val="Heading2"/>
    <w:uiPriority w:val="9"/>
    <w:rsid w:val="00E35D5F"/>
    <w:rPr>
      <w:color w:val="2E74B5"/>
      <w:sz w:val="26"/>
      <w:szCs w:val="26"/>
    </w:rPr>
  </w:style>
  <w:style w:type="paragraph" w:customStyle="1" w:styleId="pdq2pgselectionanchorcontainer">
    <w:name w:val="pdq2pg_selectionanchorcontainer"/>
    <w:basedOn w:val="Normal"/>
    <w:rsid w:val="00E35D5F"/>
    <w:pPr>
      <w:spacing w:before="100" w:beforeAutospacing="1" w:after="100" w:afterAutospacing="1"/>
    </w:pPr>
  </w:style>
  <w:style w:type="character" w:styleId="Strong">
    <w:name w:val="Strong"/>
    <w:basedOn w:val="DefaultParagraphFont"/>
    <w:uiPriority w:val="22"/>
    <w:qFormat/>
    <w:rsid w:val="00E35D5F"/>
    <w:rPr>
      <w:b/>
      <w:bCs/>
    </w:rPr>
  </w:style>
  <w:style w:type="character" w:customStyle="1" w:styleId="Heading1Char">
    <w:name w:val="Heading 1 Char"/>
    <w:basedOn w:val="DefaultParagraphFont"/>
    <w:link w:val="Heading1"/>
    <w:uiPriority w:val="9"/>
    <w:rsid w:val="00B919ED"/>
    <w:rPr>
      <w:color w:val="2E74B5"/>
      <w:sz w:val="32"/>
      <w:szCs w:val="32"/>
    </w:rPr>
  </w:style>
  <w:style w:type="paragraph" w:customStyle="1" w:styleId="msonormal0">
    <w:name w:val="msonormal"/>
    <w:basedOn w:val="Normal"/>
    <w:rsid w:val="00B919ED"/>
    <w:pPr>
      <w:spacing w:before="100" w:beforeAutospacing="1" w:after="100" w:afterAutospacing="1"/>
    </w:pPr>
  </w:style>
  <w:style w:type="character" w:customStyle="1" w:styleId="pdq2pgselectionanchor">
    <w:name w:val="pdq2pg_selectionanchor"/>
    <w:basedOn w:val="DefaultParagraphFont"/>
    <w:rsid w:val="00B919ED"/>
  </w:style>
  <w:style w:type="character" w:customStyle="1" w:styleId="katex">
    <w:name w:val="katex"/>
    <w:basedOn w:val="DefaultParagraphFont"/>
    <w:rsid w:val="00B919ED"/>
  </w:style>
  <w:style w:type="table" w:styleId="TableGrid">
    <w:name w:val="Table Grid"/>
    <w:basedOn w:val="TableNormal"/>
    <w:uiPriority w:val="39"/>
    <w:rsid w:val="00450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35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neNumber">
    <w:name w:val="line number"/>
    <w:basedOn w:val="DefaultParagraphFont"/>
    <w:uiPriority w:val="99"/>
    <w:semiHidden/>
    <w:unhideWhenUsed/>
    <w:rsid w:val="00E33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campd.epa.gov/"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kamymoulay@kaist.ac.kr"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93D20-0BDC-4238-BE88-01A927B33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26959</Words>
  <Characters>153669</Characters>
  <Application>Microsoft Office Word</Application>
  <DocSecurity>0</DocSecurity>
  <Lines>1280</Lines>
  <Paragraphs>360</Paragraphs>
  <ScaleCrop>false</ScaleCrop>
  <Company/>
  <LinksUpToDate>false</LinksUpToDate>
  <CharactersWithSpaces>180268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IKRAM MOULAY</cp:lastModifiedBy>
  <cp:revision>2</cp:revision>
  <dcterms:created xsi:type="dcterms:W3CDTF">2026-09-06T01:13:00Z</dcterms:created>
  <dcterms:modified xsi:type="dcterms:W3CDTF">2026-09-06T01:13:00Z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http://www.zotero.org/styles/american-chemical-society</vt:lpwstr>
  </property>
  <property fmtid="{D5CDD505-2E9C-101B-9397-08002B2CF9AE}" pid="3" name="Mendeley Recent Style Name 0_1">
    <vt:lpwstr>ACS Guide 2022 revision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http://www.zotero.org/styles/chemical-engineering-journal</vt:lpwstr>
  </property>
  <property fmtid="{D5CDD505-2E9C-101B-9397-08002B2CF9AE}" pid="7" name="Mendeley Recent Style Name 2_1">
    <vt:lpwstr>Chemical Engineering Journal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18th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http://www.zotero.org/styles/journal-of-power-sources</vt:lpwstr>
  </property>
  <property fmtid="{D5CDD505-2E9C-101B-9397-08002B2CF9AE}" pid="15" name="Mendeley Recent Style Name 6_1">
    <vt:lpwstr>Journal of Power Sources</vt:lpwstr>
  </property>
  <property fmtid="{D5CDD505-2E9C-101B-9397-08002B2CF9AE}" pid="16" name="Mendeley Recent Style Id 7_1">
    <vt:lpwstr>http://www.zotero.org/styles/journal-of-the-american-chemical-society</vt:lpwstr>
  </property>
  <property fmtid="{D5CDD505-2E9C-101B-9397-08002B2CF9AE}" pid="17" name="Mendeley Recent Style Name 7_1">
    <vt:lpwstr>Journal of the American Chemical Society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 (in-text citations)</vt:lpwstr>
  </property>
  <property fmtid="{D5CDD505-2E9C-101B-9397-08002B2CF9AE}" pid="22" name="Mendeley Document_1">
    <vt:lpwstr>True</vt:lpwstr>
  </property>
  <property fmtid="{D5CDD505-2E9C-101B-9397-08002B2CF9AE}" pid="23" name="Mendeley Unique User Id_1">
    <vt:lpwstr>52d70f67-76b0-3afd-bf89-95b6f31daa40</vt:lpwstr>
  </property>
  <property fmtid="{D5CDD505-2E9C-101B-9397-08002B2CF9AE}" pid="24" name="Mendeley Citation Style_1">
    <vt:lpwstr>http://www.zotero.org/styles/journal-of-power-sources</vt:lpwstr>
  </property>
</Properties>
</file>