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b/>
          <w:bCs/>
          <w:color w:val="1F4E79"/>
          <w:sz w:val="28"/>
          <w:szCs w:val="28"/>
        </w:rPr>
        <w:t xml:space="preserve">DRILLING PROPOSAL OUTLINE DOCUMENT</w:t>
      </w:r>
    </w:p>
    <w:p>
      <w:pPr>
        <w:spacing w:after="60" w:before="0"/>
        <w:jc w:val="center"/>
      </w:pPr>
      <w:r>
        <w:rPr>
          <w:rFonts w:ascii="Calibri" w:cs="Calibri" w:eastAsia="Calibri" w:hAnsi="Calibri"/>
          <w:color w:val="2E75B6"/>
          <w:sz w:val="22"/>
          <w:szCs w:val="22"/>
        </w:rPr>
        <w:t xml:space="preserve">Alpha-07 Well | Alpha Field | Central Sumatra Basin</w:t>
      </w:r>
    </w:p>
    <w:p>
      <w:pPr>
        <w:spacing w:after="60" w:before="0"/>
        <w:jc w:val="center"/>
      </w:pPr>
      <w:r>
        <w:rPr>
          <w:rFonts w:ascii="Calibri" w:cs="Calibri" w:eastAsia="Calibri" w:hAnsi="Calibri"/>
          <w:i/>
          <w:iCs/>
          <w:color w:val="595959"/>
          <w:sz w:val="18"/>
          <w:szCs w:val="18"/>
        </w:rPr>
        <w:t xml:space="preserve">CONFIDENTIAL  |  Document Code: DPM-2026-DP-ALPHA-07  |  Phase 1 — Gate 1 Sanction</w:t>
      </w:r>
    </w:p>
    <w:p>
      <w:pPr>
        <w:pBdr>
          <w:bottom w:val="single" w:color="2E75B6" w:sz="6" w:space="1"/>
        </w:pBdr>
        <w:spacing w:after="120" w:before="120"/>
      </w:pPr>
      <w:r>
        <w:rPr>
          <w:rFonts w:ascii="Calibri" w:cs="Calibri" w:eastAsia="Calibri" w:hAnsi="Calibri"/>
          <w:sz w:val="4"/>
          <w:szCs w:val="4"/>
        </w:rPr>
        <w:t xml:space="preserve"/>
      </w:r>
    </w:p>
    <w:p>
      <w:pPr>
        <w:spacing w:after="100" w:before="200"/>
      </w:pPr>
      <w:r>
        <w:rPr>
          <w:rFonts w:ascii="Calibri" w:cs="Calibri" w:eastAsia="Calibri" w:hAnsi="Calibri"/>
          <w:b/>
          <w:bCs/>
          <w:color w:val="1F4E79"/>
          <w:sz w:val="28"/>
          <w:szCs w:val="28"/>
        </w:rPr>
        <w:t xml:space="preserve">EXECUTIVE SUMMARY</w:t>
      </w:r>
    </w:p>
    <w:p>
      <w:pPr>
        <w:spacing w:after="160" w:before="0"/>
      </w:pPr>
      <w:r>
        <w:rPr>
          <w:rFonts w:ascii="Calibri" w:cs="Calibri" w:eastAsia="Calibri" w:hAnsi="Calibri"/>
          <w:i/>
          <w:iCs/>
          <w:color w:val="7F7F7F"/>
          <w:sz w:val="18"/>
          <w:szCs w:val="18"/>
        </w:rPr>
        <w:t xml:space="preserve">Structured with McKinsey Answer-First Framework: Answer → Reasoning → Evidence</w:t>
      </w:r>
    </w:p>
    <w:p>
      <w:pPr>
        <w:spacing w:after="80" w:before="200"/>
      </w:pPr>
      <w:r>
        <w:rPr>
          <w:rFonts w:ascii="Calibri" w:cs="Calibri" w:eastAsia="Calibri" w:hAnsi="Calibri"/>
          <w:b/>
          <w:bCs/>
          <w:color w:val="1F4E79"/>
          <w:sz w:val="22"/>
          <w:szCs w:val="22"/>
        </w:rPr>
        <w:t xml:space="preserve">1.  Project Mandate &amp; Justification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EBF3FB" w:val="clear"/>
            <w:tcMar>
              <w:top w:type="dxa" w:w="100"/>
              <w:left w:type="dxa" w:w="160"/>
              <w:bottom w:type="dxa" w:w="100"/>
              <w:right w:type="dxa" w:w="160"/>
            </w:tcMar>
          </w:tcPr>
          <w:p>
            <w:pPr>
              <w:spacing w:after="40" w:before="0"/>
            </w:pPr>
            <w:r>
              <w:rPr>
                <w:rFonts w:ascii="Calibri" w:cs="Calibri" w:eastAsia="Calibri" w:hAnsi="Calibri"/>
                <w:b/>
                <w:bCs/>
                <w:color w:val="1F4E79"/>
                <w:sz w:val="18"/>
                <w:szCs w:val="18"/>
              </w:rPr>
              <w:t xml:space="preserve">→  ANSWER (Bottom Line Up Front)</w:t>
            </w:r>
          </w:p>
          <w:p>
            <w:pPr>
              <w:spacing w:after="80" w:before="80"/>
            </w:pPr>
            <w:r>
              <w:rPr>
                <w:rFonts w:ascii="Calibri" w:cs="Calibri" w:eastAsia="Calibri" w:hAnsi="Calibri"/>
                <w:sz w:val="20"/>
                <w:szCs w:val="20"/>
              </w:rPr>
              <w:t xml:space="preserve">Core Energy Solution should sanction Alpha-07 to unlock stranded reserves in Alpha Field at a low-risk investment of USD 1.84 million, leveraging existing infrastructure and a proven development analog to deliver an incremental recovery of 0.58 MMBO.</w:t>
            </w:r>
          </w:p>
        </w:tc>
      </w:tr>
    </w:tbl>
    <w:p>
      <w:pPr>
        <w:spacing w:after="40" w:before="80"/>
      </w:pPr>
      <w:r>
        <w:rPr>
          <w:rFonts w:ascii="Calibri" w:cs="Calibri" w:eastAsia="Calibri" w:hAnsi="Calibri"/>
          <w:b/>
          <w:bCs/>
          <w:color w:val="2E75B6"/>
          <w:sz w:val="20"/>
          <w:szCs w:val="20"/>
        </w:rPr>
        <w:t xml:space="preserve">Reasoning</w:t>
      </w:r>
    </w:p>
    <w:p>
      <w:pPr>
        <w:spacing w:after="80" w:before="80"/>
      </w:pPr>
      <w:r>
        <w:rPr>
          <w:rFonts w:ascii="Calibri" w:cs="Calibri" w:eastAsia="Calibri" w:hAnsi="Calibri"/>
          <w:sz w:val="20"/>
          <w:szCs w:val="20"/>
        </w:rPr>
        <w:t xml:space="preserve">Alpha Field is significantly under-developed relative to its resource base. With an OOIP of 21.66 MMSTB and cumulative production of only 6.48 MMSTB, the recovery factor stands at just 16.62%. The 5-well development program — anchored by Alpha-07 as the pilot well — provides a phased, capital-efficient pathway to improve recovery, supported by existing surface facilities and minimal new infrastructure requirements.</w:t>
      </w:r>
    </w:p>
    <w:p>
      <w:pPr>
        <w:spacing w:after="80" w:before="80"/>
      </w:pPr>
      <w:r>
        <w:rPr>
          <w:rFonts w:ascii="Calibri" w:cs="Calibri" w:eastAsia="Calibri" w:hAnsi="Calibri"/>
          <w:sz w:val="20"/>
          <w:szCs w:val="20"/>
        </w:rPr>
        <w:t xml:space="preserve">The directional J-type design avoids land acquisition complications posed by oil palm plantations, industrial forest zones, and densely populated areas above the target reservoirs, maximizing flexibility while minimizing ESIA exposure.</w:t>
      </w:r>
    </w:p>
    <w:p>
      <w:pPr>
        <w:spacing w:after="40" w:before="80"/>
      </w:pPr>
      <w:r>
        <w:rPr>
          <w:rFonts w:ascii="Calibri" w:cs="Calibri" w:eastAsia="Calibri" w:hAnsi="Calibri"/>
          <w:b/>
          <w:bCs/>
          <w:color w:val="2E75B6"/>
          <w:sz w:val="20"/>
          <w:szCs w:val="20"/>
        </w:rPr>
        <w:t xml:space="preserve">Evidence</w:t>
      </w:r>
    </w:p>
    <w:p>
      <w:pPr>
        <w:pStyle w:val="ListParagraph"/>
        <w:numPr>
          <w:ilvl w:val="0"/>
          <w:numId w:val="2"/>
        </w:numPr>
        <w:spacing w:after="40" w:before="40"/>
      </w:pPr>
      <w:r>
        <w:rPr>
          <w:rFonts w:ascii="Calibri" w:cs="Calibri" w:eastAsia="Calibri" w:hAnsi="Calibri"/>
          <w:b w:val="false"/>
          <w:bCs w:val="false"/>
          <w:sz w:val="20"/>
          <w:szCs w:val="20"/>
        </w:rPr>
        <w:t xml:space="preserve">OOIP of 21.66 MMSTB with only 16.62% recovery factor — substantial upside remains</w:t>
      </w:r>
    </w:p>
    <w:p>
      <w:pPr>
        <w:pStyle w:val="ListParagraph"/>
        <w:numPr>
          <w:ilvl w:val="0"/>
          <w:numId w:val="2"/>
        </w:numPr>
        <w:spacing w:after="40" w:before="40"/>
      </w:pPr>
      <w:r>
        <w:rPr>
          <w:rFonts w:ascii="Calibri" w:cs="Calibri" w:eastAsia="Calibri" w:hAnsi="Calibri"/>
          <w:b w:val="false"/>
          <w:bCs w:val="false"/>
          <w:sz w:val="20"/>
          <w:szCs w:val="20"/>
        </w:rPr>
        <w:t xml:space="preserve">Infill 5-well program projected to deliver ~0.58 MMBO incremental recovery through to 2041</w:t>
      </w:r>
    </w:p>
    <w:p>
      <w:pPr>
        <w:pStyle w:val="ListParagraph"/>
        <w:numPr>
          <w:ilvl w:val="0"/>
          <w:numId w:val="2"/>
        </w:numPr>
        <w:spacing w:after="40" w:before="40"/>
      </w:pPr>
      <w:r>
        <w:rPr>
          <w:rFonts w:ascii="Calibri" w:cs="Calibri" w:eastAsia="Calibri" w:hAnsi="Calibri"/>
          <w:b w:val="false"/>
          <w:bCs w:val="false"/>
          <w:sz w:val="20"/>
          <w:szCs w:val="20"/>
        </w:rPr>
        <w:t xml:space="preserve">Alpha-07 utilizes existing Core Energy Solution surface facilities — no major new infrastructure required</w:t>
      </w:r>
    </w:p>
    <w:p>
      <w:pPr>
        <w:pStyle w:val="ListParagraph"/>
        <w:numPr>
          <w:ilvl w:val="0"/>
          <w:numId w:val="2"/>
        </w:numPr>
        <w:spacing w:after="40" w:before="40"/>
      </w:pPr>
      <w:r>
        <w:rPr>
          <w:rFonts w:ascii="Calibri" w:cs="Calibri" w:eastAsia="Calibri" w:hAnsi="Calibri"/>
          <w:b w:val="false"/>
          <w:bCs w:val="false"/>
          <w:sz w:val="20"/>
          <w:szCs w:val="20"/>
        </w:rPr>
        <w:t xml:space="preserve">Directional J-type design minimizes surface footprint to 0.4–0.7 ha per wellpad</w:t>
      </w:r>
    </w:p>
    <w:p>
      <w:pPr>
        <w:pStyle w:val="ListParagraph"/>
        <w:numPr>
          <w:ilvl w:val="0"/>
          <w:numId w:val="2"/>
        </w:numPr>
        <w:spacing w:after="40" w:before="40"/>
      </w:pPr>
      <w:r>
        <w:rPr>
          <w:rFonts w:ascii="Calibri" w:cs="Calibri" w:eastAsia="Calibri" w:hAnsi="Calibri"/>
          <w:b w:val="false"/>
          <w:bCs w:val="false"/>
          <w:sz w:val="20"/>
          <w:szCs w:val="20"/>
        </w:rPr>
        <w:t xml:space="preserve">Project aligns with SKK Migas production growth targets and Core Energy Solution asset optimization strategy</w:t>
      </w:r>
    </w:p>
    <w:p>
      <w:pPr>
        <w:pBdr>
          <w:bottom w:val="single" w:color="2E75B6" w:sz="6" w:space="1"/>
        </w:pBdr>
        <w:spacing w:after="120" w:before="120"/>
      </w:pPr>
      <w:r>
        <w:rPr>
          <w:rFonts w:ascii="Calibri" w:cs="Calibri" w:eastAsia="Calibri" w:hAnsi="Calibri"/>
          <w:sz w:val="4"/>
          <w:szCs w:val="4"/>
        </w:rPr>
        <w:t xml:space="preserve"/>
      </w:r>
    </w:p>
    <w:p>
      <w:pPr>
        <w:spacing w:after="80" w:before="200"/>
      </w:pPr>
      <w:r>
        <w:rPr>
          <w:rFonts w:ascii="Calibri" w:cs="Calibri" w:eastAsia="Calibri" w:hAnsi="Calibri"/>
          <w:b/>
          <w:bCs/>
          <w:color w:val="1F4E79"/>
          <w:sz w:val="22"/>
          <w:szCs w:val="22"/>
        </w:rPr>
        <w:t xml:space="preserve">2.  Well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EBF3FB" w:val="clear"/>
            <w:tcMar>
              <w:top w:type="dxa" w:w="100"/>
              <w:left w:type="dxa" w:w="160"/>
              <w:bottom w:type="dxa" w:w="100"/>
              <w:right w:type="dxa" w:w="160"/>
            </w:tcMar>
          </w:tcPr>
          <w:p>
            <w:pPr>
              <w:spacing w:after="40" w:before="0"/>
            </w:pPr>
            <w:r>
              <w:rPr>
                <w:rFonts w:ascii="Calibri" w:cs="Calibri" w:eastAsia="Calibri" w:hAnsi="Calibri"/>
                <w:b/>
                <w:bCs/>
                <w:color w:val="1F4E79"/>
                <w:sz w:val="18"/>
                <w:szCs w:val="18"/>
              </w:rPr>
              <w:t xml:space="preserve">→  ANSWER</w:t>
            </w:r>
          </w:p>
          <w:p>
            <w:pPr>
              <w:spacing w:after="80" w:before="80"/>
            </w:pPr>
            <w:r>
              <w:rPr>
                <w:rFonts w:ascii="Calibri" w:cs="Calibri" w:eastAsia="Calibri" w:hAnsi="Calibri"/>
                <w:sz w:val="20"/>
                <w:szCs w:val="20"/>
              </w:rPr>
              <w:t xml:space="preserve">Alpha-07 is a Development Well — a directional J-type producer with cased-hole completion and ESP artificial lift — representing the lowest-risk execution path for Alpha Field.</w:t>
            </w:r>
          </w:p>
        </w:tc>
      </w:tr>
    </w:tbl>
    <w:p>
      <w:pPr>
        <w:spacing w:after="40" w:before="80"/>
      </w:pPr>
      <w:r>
        <w:rPr>
          <w:rFonts w:ascii="Calibri" w:cs="Calibri" w:eastAsia="Calibri" w:hAnsi="Calibri"/>
          <w:b/>
          <w:bCs/>
          <w:color w:val="2E75B6"/>
          <w:sz w:val="20"/>
          <w:szCs w:val="20"/>
        </w:rPr>
        <w:t xml:space="preserve">Reasoning</w:t>
      </w:r>
    </w:p>
    <w:p>
      <w:pPr>
        <w:spacing w:after="80" w:before="80"/>
      </w:pPr>
      <w:r>
        <w:rPr>
          <w:rFonts w:ascii="Calibri" w:cs="Calibri" w:eastAsia="Calibri" w:hAnsi="Calibri"/>
          <w:sz w:val="20"/>
          <w:szCs w:val="20"/>
        </w:rPr>
        <w:t xml:space="preserve">The four target reservoirs (Bara, Bama, Raja, Prima sands) are fully delineated through prior drilling campaigns (Alpha-01 to Alpha-06), removing subsurface definition risk from the critical path. Classification as a development well rather than an exploratory or appraisal well reflects the high geological confidence and allows the team to focus execution risk management on operational variables such as wellbore stability, loss circulation, and cementing quality.</w:t>
      </w:r>
    </w:p>
    <w:p>
      <w:pPr>
        <w:spacing w:after="80" w:before="80"/>
      </w:pPr>
      <w:r>
        <w:rPr>
          <w:rFonts w:ascii="Calibri" w:cs="Calibri" w:eastAsia="Calibri" w:hAnsi="Calibri"/>
          <w:sz w:val="20"/>
          <w:szCs w:val="20"/>
        </w:rPr>
        <w:t xml:space="preserve">ESP installation is necessary to overcome the field-wide high water cut (~99%) and sustain economic production rates, while cased-hole completion preserves the option for selective perforation and future zone optimization across the commingled reservoir intervals.</w:t>
      </w:r>
    </w:p>
    <w:p>
      <w:pPr>
        <w:spacing w:after="40" w:before="80"/>
      </w:pPr>
      <w:r>
        <w:rPr>
          <w:rFonts w:ascii="Calibri" w:cs="Calibri" w:eastAsia="Calibri" w:hAnsi="Calibri"/>
          <w:b/>
          <w:bCs/>
          <w:color w:val="2E75B6"/>
          <w:sz w:val="20"/>
          <w:szCs w:val="20"/>
        </w:rPr>
        <w:t xml:space="preserve">Evidence</w:t>
      </w:r>
    </w:p>
    <w:p>
      <w:pPr>
        <w:pStyle w:val="ListParagraph"/>
        <w:numPr>
          <w:ilvl w:val="0"/>
          <w:numId w:val="2"/>
        </w:numPr>
        <w:spacing w:after="40" w:before="40"/>
      </w:pPr>
      <w:r>
        <w:rPr>
          <w:rFonts w:ascii="Calibri" w:cs="Calibri" w:eastAsia="Calibri" w:hAnsi="Calibri"/>
          <w:b w:val="false"/>
          <w:bCs w:val="false"/>
          <w:sz w:val="20"/>
          <w:szCs w:val="20"/>
        </w:rPr>
        <w:t xml:space="preserve">6 offset wells (Alpha-01 to Alpha-06) provide direct analog data for all target formations</w:t>
      </w:r>
    </w:p>
    <w:p>
      <w:pPr>
        <w:pStyle w:val="ListParagraph"/>
        <w:numPr>
          <w:ilvl w:val="0"/>
          <w:numId w:val="2"/>
        </w:numPr>
        <w:spacing w:after="40" w:before="40"/>
      </w:pPr>
      <w:r>
        <w:rPr>
          <w:rFonts w:ascii="Calibri" w:cs="Calibri" w:eastAsia="Calibri" w:hAnsi="Calibri"/>
          <w:b w:val="false"/>
          <w:bCs w:val="false"/>
          <w:sz w:val="20"/>
          <w:szCs w:val="20"/>
        </w:rPr>
        <w:t xml:space="preserve">Reservoirs Bara, Bama, Raja, Prima previously demonstrated hydrocarbon productivity</w:t>
      </w:r>
    </w:p>
    <w:p>
      <w:pPr>
        <w:pStyle w:val="ListParagraph"/>
        <w:numPr>
          <w:ilvl w:val="0"/>
          <w:numId w:val="2"/>
        </w:numPr>
        <w:spacing w:after="40" w:before="40"/>
      </w:pPr>
      <w:r>
        <w:rPr>
          <w:rFonts w:ascii="Calibri" w:cs="Calibri" w:eastAsia="Calibri" w:hAnsi="Calibri"/>
          <w:b w:val="false"/>
          <w:bCs w:val="false"/>
          <w:sz w:val="20"/>
          <w:szCs w:val="20"/>
        </w:rPr>
        <w:t xml:space="preserve">Cased-hole completion enables zonal selectivity across commingled intervals</w:t>
      </w:r>
    </w:p>
    <w:p>
      <w:pPr>
        <w:pStyle w:val="ListParagraph"/>
        <w:numPr>
          <w:ilvl w:val="0"/>
          <w:numId w:val="2"/>
        </w:numPr>
        <w:spacing w:after="40" w:before="40"/>
      </w:pPr>
      <w:r>
        <w:rPr>
          <w:rFonts w:ascii="Calibri" w:cs="Calibri" w:eastAsia="Calibri" w:hAnsi="Calibri"/>
          <w:b w:val="false"/>
          <w:bCs w:val="false"/>
          <w:sz w:val="20"/>
          <w:szCs w:val="20"/>
        </w:rPr>
        <w:t xml:space="preserve">ESP specification: optimized per well depth, flow rate, and GOR; custom-manufactured with 16–24-week lead time</w:t>
      </w:r>
    </w:p>
    <w:p>
      <w:pPr>
        <w:pStyle w:val="ListParagraph"/>
        <w:numPr>
          <w:ilvl w:val="0"/>
          <w:numId w:val="2"/>
        </w:numPr>
        <w:spacing w:after="40" w:before="40"/>
      </w:pPr>
      <w:r>
        <w:rPr>
          <w:rFonts w:ascii="Calibri" w:cs="Calibri" w:eastAsia="Calibri" w:hAnsi="Calibri"/>
          <w:b w:val="false"/>
          <w:bCs w:val="false"/>
          <w:sz w:val="20"/>
          <w:szCs w:val="20"/>
        </w:rPr>
        <w:t xml:space="preserve">Target reservoirs at ~4,042–4,676 ft TVD — within proven well-control competency window for 750 HP rig</w:t>
      </w:r>
    </w:p>
    <w:p>
      <w:pPr>
        <w:pBdr>
          <w:bottom w:val="single" w:color="2E75B6" w:sz="6" w:space="1"/>
        </w:pBdr>
        <w:spacing w:after="120" w:before="120"/>
      </w:pPr>
      <w:r>
        <w:rPr>
          <w:rFonts w:ascii="Calibri" w:cs="Calibri" w:eastAsia="Calibri" w:hAnsi="Calibri"/>
          <w:sz w:val="4"/>
          <w:szCs w:val="4"/>
        </w:rPr>
        <w:t xml:space="preserve"/>
      </w:r>
    </w:p>
    <w:p>
      <w:pPr>
        <w:spacing w:after="80" w:before="200"/>
      </w:pPr>
      <w:r>
        <w:rPr>
          <w:rFonts w:ascii="Calibri" w:cs="Calibri" w:eastAsia="Calibri" w:hAnsi="Calibri"/>
          <w:b/>
          <w:bCs/>
          <w:color w:val="1F4E79"/>
          <w:sz w:val="22"/>
          <w:szCs w:val="22"/>
        </w:rPr>
        <w:t xml:space="preserve">3.  Success Criteria &amp;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EBF3FB" w:val="clear"/>
            <w:tcMar>
              <w:top w:type="dxa" w:w="100"/>
              <w:left w:type="dxa" w:w="160"/>
              <w:bottom w:type="dxa" w:w="100"/>
              <w:right w:type="dxa" w:w="160"/>
            </w:tcMar>
          </w:tcPr>
          <w:p>
            <w:pPr>
              <w:spacing w:after="40" w:before="0"/>
            </w:pPr>
            <w:r>
              <w:rPr>
                <w:rFonts w:ascii="Calibri" w:cs="Calibri" w:eastAsia="Calibri" w:hAnsi="Calibri"/>
                <w:b/>
                <w:bCs/>
                <w:color w:val="1F4E79"/>
                <w:sz w:val="18"/>
                <w:szCs w:val="18"/>
              </w:rPr>
              <w:t xml:space="preserve">→  ANSWER</w:t>
            </w:r>
          </w:p>
          <w:p>
            <w:pPr>
              <w:spacing w:after="80" w:before="80"/>
            </w:pPr>
            <w:r>
              <w:rPr>
                <w:rFonts w:ascii="Calibri" w:cs="Calibri" w:eastAsia="Calibri" w:hAnsi="Calibri"/>
                <w:sz w:val="20"/>
                <w:szCs w:val="20"/>
              </w:rPr>
              <w:t xml:space="preserve">Alpha-07 success is defined by three mutually reinforcing criteria: subsurface data capture, production rate confirmation, and cost discipline — all within a zero-LTI HSSE envelope.</w:t>
            </w:r>
          </w:p>
        </w:tc>
      </w:tr>
    </w:tbl>
    <w:p>
      <w:pPr>
        <w:spacing w:after="40" w:before="80"/>
      </w:pPr>
      <w:r>
        <w:rPr>
          <w:rFonts w:ascii="Calibri" w:cs="Calibri" w:eastAsia="Calibri" w:hAnsi="Calibri"/>
          <w:b/>
          <w:bCs/>
          <w:color w:val="2E75B6"/>
          <w:sz w:val="20"/>
          <w:szCs w:val="20"/>
        </w:rPr>
        <w:t xml:space="preserve">Reasoning</w:t>
      </w:r>
    </w:p>
    <w:p>
      <w:pPr>
        <w:spacing w:after="80" w:before="80"/>
      </w:pPr>
      <w:r>
        <w:rPr>
          <w:rFonts w:ascii="Calibri" w:cs="Calibri" w:eastAsia="Calibri" w:hAnsi="Calibri"/>
          <w:sz w:val="20"/>
          <w:szCs w:val="20"/>
        </w:rPr>
        <w:t xml:space="preserve">Gate 1 sanction requires management confidence that the well will deliver both geological and commercial value. The success framework therefore spans technical data capture (to de-risk subsequent wells), production validation (to confirm the DCA-based reserve estimate), and cost control (to ensure the program remains investable). A failure on any single dimension would impair the business case for the follow-on 4-well development program worth approximately USD 7.4 million in total D&amp;C expenditure.</w:t>
      </w:r>
    </w:p>
    <w:p>
      <w:pPr>
        <w:spacing w:after="40" w:before="80"/>
      </w:pPr>
      <w:r>
        <w:rPr>
          <w:rFonts w:ascii="Calibri" w:cs="Calibri" w:eastAsia="Calibri" w:hAnsi="Calibri"/>
          <w:b/>
          <w:bCs/>
          <w:color w:val="2E75B6"/>
          <w:sz w:val="20"/>
          <w:szCs w:val="20"/>
        </w:rPr>
        <w:t xml:space="preserve">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1F4E79" w:sz="6"/>
              <w:left w:val="single" w:color="1F4E79" w:sz="6"/>
              <w:bottom w:val="single" w:color="1F4E79" w:sz="6"/>
              <w:right w:val="single" w:color="1F4E79" w:sz="6"/>
            </w:tcBorders>
            <w:shd w:fill="1F4E79" w:val="clear"/>
            <w:tcMar>
              <w:top w:type="dxa" w:w="60"/>
              <w:left w:type="dxa" w:w="120"/>
              <w:bottom w:type="dxa" w:w="60"/>
              <w:right w:type="dxa" w:w="120"/>
            </w:tcMar>
          </w:tcPr>
          <w:p>
            <w:r>
              <w:rPr>
                <w:rFonts w:ascii="Calibri" w:cs="Calibri" w:eastAsia="Calibri" w:hAnsi="Calibri"/>
                <w:b/>
                <w:bCs/>
                <w:color w:val="FFFFFF"/>
                <w:sz w:val="18"/>
                <w:szCs w:val="18"/>
              </w:rPr>
              <w:t xml:space="preserve">KPI</w:t>
            </w:r>
          </w:p>
        </w:tc>
        <w:tc>
          <w:tcPr>
            <w:tcW w:type="dxa" w:w="2500"/>
            <w:tcBorders>
              <w:top w:val="single" w:color="1F4E79" w:sz="6"/>
              <w:left w:val="single" w:color="1F4E79" w:sz="6"/>
              <w:bottom w:val="single" w:color="1F4E79" w:sz="6"/>
              <w:right w:val="single" w:color="1F4E79" w:sz="6"/>
            </w:tcBorders>
            <w:shd w:fill="1F4E79" w:val="clear"/>
            <w:tcMar>
              <w:top w:type="dxa" w:w="60"/>
              <w:left w:type="dxa" w:w="120"/>
              <w:bottom w:type="dxa" w:w="60"/>
              <w:right w:type="dxa" w:w="120"/>
            </w:tcMar>
          </w:tcPr>
          <w:p>
            <w:r>
              <w:rPr>
                <w:rFonts w:ascii="Calibri" w:cs="Calibri" w:eastAsia="Calibri" w:hAnsi="Calibri"/>
                <w:b/>
                <w:bCs/>
                <w:color w:val="FFFFFF"/>
                <w:sz w:val="18"/>
                <w:szCs w:val="18"/>
              </w:rPr>
              <w:t xml:space="preserve">Target</w:t>
            </w:r>
          </w:p>
        </w:tc>
        <w:tc>
          <w:tcPr>
            <w:tcW w:type="dxa" w:w="3860"/>
            <w:tcBorders>
              <w:top w:val="single" w:color="1F4E79" w:sz="6"/>
              <w:left w:val="single" w:color="1F4E79" w:sz="6"/>
              <w:bottom w:val="single" w:color="1F4E79" w:sz="6"/>
              <w:right w:val="single" w:color="1F4E79" w:sz="6"/>
            </w:tcBorders>
            <w:shd w:fill="1F4E79" w:val="clear"/>
            <w:tcMar>
              <w:top w:type="dxa" w:w="60"/>
              <w:left w:type="dxa" w:w="120"/>
              <w:bottom w:type="dxa" w:w="60"/>
              <w:right w:type="dxa" w:w="120"/>
            </w:tcMar>
          </w:tcPr>
          <w:p>
            <w:r>
              <w:rPr>
                <w:rFonts w:ascii="Calibri" w:cs="Calibri" w:eastAsia="Calibri" w:hAnsi="Calibri"/>
                <w:b/>
                <w:bCs/>
                <w:color w:val="FFFFFF"/>
                <w:sz w:val="18"/>
                <w:szCs w:val="18"/>
              </w:rPr>
              <w:t xml:space="preserve">Rationale</w:t>
            </w:r>
          </w:p>
        </w:tc>
      </w:tr>
      <w:tr>
        <w:tc>
          <w:tcPr>
            <w:tcW w:type="dxa" w:w="30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b/>
                <w:bCs/>
                <w:sz w:val="18"/>
                <w:szCs w:val="18"/>
              </w:rPr>
              <w:t xml:space="preserve">Planned Total Depth</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b/>
                <w:bCs/>
                <w:color w:val="1F4E79"/>
                <w:sz w:val="18"/>
                <w:szCs w:val="18"/>
              </w:rPr>
              <w:t xml:space="preserve">~5,000 ft MD</w:t>
            </w:r>
          </w:p>
        </w:tc>
        <w:tc>
          <w:tcPr>
            <w:tcW w:type="dxa" w:w="3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Penetrates all 4 target reservoir intervals</w:t>
            </w:r>
          </w:p>
        </w:tc>
      </w:tr>
      <w:tr>
        <w:tc>
          <w:tcPr>
            <w:tcW w:type="dxa" w:w="30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b/>
                <w:bCs/>
                <w:sz w:val="18"/>
                <w:szCs w:val="18"/>
              </w:rPr>
              <w:t xml:space="preserve">Initial Production (P50)</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b/>
                <w:bCs/>
                <w:color w:val="1F4E79"/>
                <w:sz w:val="18"/>
                <w:szCs w:val="18"/>
              </w:rPr>
              <w:t xml:space="preserve">132 BOPD</w:t>
            </w:r>
          </w:p>
        </w:tc>
        <w:tc>
          <w:tcPr>
            <w:tcW w:type="dxa" w:w="3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DCA analog-validated; P10–P90: 106–158 BOPD</w:t>
            </w:r>
          </w:p>
        </w:tc>
      </w:tr>
      <w:tr>
        <w:tc>
          <w:tcPr>
            <w:tcW w:type="dxa" w:w="30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b/>
                <w:bCs/>
                <w:sz w:val="18"/>
                <w:szCs w:val="18"/>
              </w:rPr>
              <w:t xml:space="preserve">Total Fluid Rate</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b/>
                <w:bCs/>
                <w:color w:val="1F4E79"/>
                <w:sz w:val="18"/>
                <w:szCs w:val="18"/>
              </w:rPr>
              <w:t xml:space="preserve">2,000 BFPD</w:t>
            </w:r>
          </w:p>
        </w:tc>
        <w:tc>
          <w:tcPr>
            <w:tcW w:type="dxa" w:w="3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ESP-supported; high WC field condition</w:t>
            </w:r>
          </w:p>
        </w:tc>
      </w:tr>
      <w:tr>
        <w:tc>
          <w:tcPr>
            <w:tcW w:type="dxa" w:w="30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b/>
                <w:bCs/>
                <w:sz w:val="18"/>
                <w:szCs w:val="18"/>
              </w:rPr>
              <w:t xml:space="preserve">Incremental Reserve (P50)</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b/>
                <w:bCs/>
                <w:color w:val="1F4E79"/>
                <w:sz w:val="18"/>
                <w:szCs w:val="18"/>
              </w:rPr>
              <w:t xml:space="preserve">156 MBO / well</w:t>
            </w:r>
          </w:p>
        </w:tc>
        <w:tc>
          <w:tcPr>
            <w:tcW w:type="dxa" w:w="3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EUR basis for 5-well program = ~0.58 MMBO</w:t>
            </w:r>
          </w:p>
        </w:tc>
      </w:tr>
      <w:tr>
        <w:tc>
          <w:tcPr>
            <w:tcW w:type="dxa" w:w="30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b/>
                <w:bCs/>
                <w:sz w:val="18"/>
                <w:szCs w:val="18"/>
              </w:rPr>
              <w:t xml:space="preserve">Well Cycle Time</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b/>
                <w:bCs/>
                <w:color w:val="1F4E79"/>
                <w:sz w:val="18"/>
                <w:szCs w:val="18"/>
              </w:rPr>
              <w:t xml:space="preserve">21.3–29.3 days</w:t>
            </w:r>
          </w:p>
        </w:tc>
        <w:tc>
          <w:tcPr>
            <w:tcW w:type="dxa" w:w="3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Rig move + drill + complete</w:t>
            </w:r>
          </w:p>
        </w:tc>
      </w:tr>
      <w:tr>
        <w:tc>
          <w:tcPr>
            <w:tcW w:type="dxa" w:w="30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b/>
                <w:bCs/>
                <w:sz w:val="18"/>
                <w:szCs w:val="18"/>
              </w:rPr>
              <w:t xml:space="preserve">NPT Target</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b/>
                <w:bCs/>
                <w:color w:val="1F4E79"/>
                <w:sz w:val="18"/>
                <w:szCs w:val="18"/>
              </w:rPr>
              <w:t xml:space="preserve">&lt;5–10%</w:t>
            </w:r>
          </w:p>
        </w:tc>
        <w:tc>
          <w:tcPr>
            <w:tcW w:type="dxa" w:w="3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Offset well lessons applied</w:t>
            </w:r>
          </w:p>
        </w:tc>
      </w:tr>
      <w:tr>
        <w:tc>
          <w:tcPr>
            <w:tcW w:type="dxa" w:w="30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b/>
                <w:bCs/>
                <w:sz w:val="18"/>
                <w:szCs w:val="18"/>
              </w:rPr>
              <w:t xml:space="preserve">AFE Overrun Tolerance</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b/>
                <w:bCs/>
                <w:color w:val="1F4E79"/>
                <w:sz w:val="18"/>
                <w:szCs w:val="18"/>
              </w:rPr>
              <w:t xml:space="preserve">≤10%</w:t>
            </w:r>
          </w:p>
        </w:tc>
        <w:tc>
          <w:tcPr>
            <w:tcW w:type="dxa" w:w="3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Max contingency USD 177,961 pre-approved</w:t>
            </w:r>
          </w:p>
        </w:tc>
      </w:tr>
      <w:tr>
        <w:tc>
          <w:tcPr>
            <w:tcW w:type="dxa" w:w="30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b/>
                <w:bCs/>
                <w:sz w:val="18"/>
                <w:szCs w:val="18"/>
              </w:rPr>
              <w:t xml:space="preserve">HSSE Target</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b/>
                <w:bCs/>
                <w:color w:val="1F4E79"/>
                <w:sz w:val="18"/>
                <w:szCs w:val="18"/>
              </w:rPr>
              <w:t xml:space="preserve">Zero LTI / fatalities</w:t>
            </w:r>
          </w:p>
        </w:tc>
        <w:tc>
          <w:tcPr>
            <w:tcW w:type="dxa" w:w="3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SKK Migas &amp; CES HSSE compliance</w:t>
            </w:r>
          </w:p>
        </w:tc>
      </w:tr>
      <w:tr>
        <w:tc>
          <w:tcPr>
            <w:tcW w:type="dxa" w:w="30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Calibri" w:cs="Calibri" w:eastAsia="Calibri" w:hAnsi="Calibri"/>
                <w:b/>
                <w:bCs/>
                <w:sz w:val="18"/>
                <w:szCs w:val="18"/>
              </w:rPr>
              <w:t xml:space="preserve">Logging Program</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b/>
                <w:bCs/>
                <w:color w:val="1F4E79"/>
                <w:sz w:val="18"/>
                <w:szCs w:val="18"/>
              </w:rPr>
              <w:t xml:space="preserve">Triple combo + SWC</w:t>
            </w:r>
          </w:p>
        </w:tc>
        <w:tc>
          <w:tcPr>
            <w:tcW w:type="dxa" w:w="3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Full formation evaluation required for well 2–5 sanction</w:t>
            </w:r>
          </w:p>
        </w:tc>
      </w:tr>
    </w:tbl>
    <w:p>
      <w:pPr>
        <w:pBdr>
          <w:bottom w:val="single" w:color="2E75B6" w:sz="6" w:space="1"/>
        </w:pBdr>
        <w:spacing w:after="120" w:before="120"/>
      </w:pPr>
      <w:r>
        <w:rPr>
          <w:rFonts w:ascii="Calibri" w:cs="Calibri" w:eastAsia="Calibri" w:hAnsi="Calibri"/>
          <w:sz w:val="4"/>
          <w:szCs w:val="4"/>
        </w:rPr>
        <w:t xml:space="preserve"/>
      </w:r>
    </w:p>
    <w:p>
      <w:pPr>
        <w:spacing w:after="80" w:before="200"/>
      </w:pPr>
      <w:r>
        <w:rPr>
          <w:rFonts w:ascii="Calibri" w:cs="Calibri" w:eastAsia="Calibri" w:hAnsi="Calibri"/>
          <w:b/>
          <w:bCs/>
          <w:color w:val="1F4E79"/>
          <w:sz w:val="22"/>
          <w:szCs w:val="22"/>
        </w:rPr>
        <w:t xml:space="preserve">4.  Executive Sanction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EBF3FB" w:val="clear"/>
            <w:tcMar>
              <w:top w:type="dxa" w:w="100"/>
              <w:left w:type="dxa" w:w="160"/>
              <w:bottom w:type="dxa" w:w="100"/>
              <w:right w:type="dxa" w:w="160"/>
            </w:tcMar>
          </w:tcPr>
          <w:p>
            <w:pPr>
              <w:spacing w:after="40" w:before="0"/>
            </w:pPr>
            <w:r>
              <w:rPr>
                <w:rFonts w:ascii="Calibri" w:cs="Calibri" w:eastAsia="Calibri" w:hAnsi="Calibri"/>
                <w:b/>
                <w:bCs/>
                <w:color w:val="1F4E79"/>
                <w:sz w:val="18"/>
                <w:szCs w:val="18"/>
              </w:rPr>
              <w:t xml:space="preserve">→  ANSWER</w:t>
            </w:r>
          </w:p>
          <w:p>
            <w:pPr>
              <w:spacing w:after="80" w:before="80"/>
            </w:pPr>
            <w:r>
              <w:rPr>
                <w:rFonts w:ascii="Calibri" w:cs="Calibri" w:eastAsia="Calibri" w:hAnsi="Calibri"/>
                <w:sz w:val="20"/>
                <w:szCs w:val="20"/>
              </w:rPr>
              <w:t xml:space="preserve">Management is requested to approve three specific actions: (1) sanction execution of Alpha-07, (2) authorize USD 1.84M AFE plus USD 177,961 contingency, and (3) formally accept the defined risk envelope before proceeding to Gate 2.</w:t>
            </w:r>
          </w:p>
        </w:tc>
      </w:tr>
    </w:tbl>
    <w:p>
      <w:pPr>
        <w:spacing w:after="40" w:before="80"/>
      </w:pPr>
      <w:r>
        <w:rPr>
          <w:rFonts w:ascii="Calibri" w:cs="Calibri" w:eastAsia="Calibri" w:hAnsi="Calibri"/>
          <w:b/>
          <w:bCs/>
          <w:color w:val="2E75B6"/>
          <w:sz w:val="20"/>
          <w:szCs w:val="20"/>
        </w:rPr>
        <w:t xml:space="preserve">Reasoning</w:t>
      </w:r>
    </w:p>
    <w:p>
      <w:pPr>
        <w:spacing w:after="80" w:before="80"/>
      </w:pPr>
      <w:r>
        <w:rPr>
          <w:rFonts w:ascii="Calibri" w:cs="Calibri" w:eastAsia="Calibri" w:hAnsi="Calibri"/>
          <w:sz w:val="20"/>
          <w:szCs w:val="20"/>
        </w:rPr>
        <w:t xml:space="preserve">Gate 1 sanction unlocks the critical path to Q4 2026 spud: LLI procurement for ESP (16–24-week lead), casing strings (12+ weeks), and tubing. Delay beyond Gate 1 approval will cascade directly into spud date and first oil. The risk profile is well-understood — 29 identified risks across subsurface, operational, and HSE domains, none rated Extreme — and all High-rated risks carry defined mitigation and contingency protocols. Management acknowledgement of the three High-rated subsurface risks (loss circulation, differential sticking, and surface leaking) is required to enable the execution team to mobilize resources proportionally.</w:t>
      </w:r>
    </w:p>
    <w:p>
      <w:pPr>
        <w:spacing w:after="80" w:before="80"/>
      </w:pPr>
      <w:r>
        <w:rPr>
          <w:rFonts w:ascii="Calibri" w:cs="Calibri" w:eastAsia="Calibri" w:hAnsi="Calibri"/>
          <w:sz w:val="20"/>
          <w:szCs w:val="20"/>
        </w:rPr>
        <w:t xml:space="preserve">Gate 2 transition will cover detailed engineering, PPFG calibration, final well design freeze, regulatory permit finalisation (PTD), and full procurement execution. Approval of this document constitutes the formal commercial mandate for that work.</w:t>
      </w:r>
    </w:p>
    <w:p>
      <w:pPr>
        <w:spacing w:after="40" w:before="80"/>
      </w:pPr>
      <w:r>
        <w:rPr>
          <w:rFonts w:ascii="Calibri" w:cs="Calibri" w:eastAsia="Calibri" w:hAnsi="Calibri"/>
          <w:b/>
          <w:bCs/>
          <w:color w:val="2E75B6"/>
          <w:sz w:val="20"/>
          <w:szCs w:val="20"/>
        </w:rPr>
        <w:t xml:space="preserve">Evidence</w:t>
      </w:r>
    </w:p>
    <w:p>
      <w:pPr>
        <w:pStyle w:val="ListParagraph"/>
        <w:numPr>
          <w:ilvl w:val="0"/>
          <w:numId w:val="2"/>
        </w:numPr>
        <w:spacing w:after="40" w:before="40"/>
      </w:pPr>
      <w:r>
        <w:rPr>
          <w:rFonts w:ascii="Calibri" w:cs="Calibri" w:eastAsia="Calibri" w:hAnsi="Calibri"/>
          <w:b w:val="false"/>
          <w:bCs w:val="false"/>
          <w:sz w:val="20"/>
          <w:szCs w:val="20"/>
        </w:rPr>
        <w:t xml:space="preserve">Total AFE: USD 1,779,610 D&amp;C + USD 177,961 contingency = USD 1,957,571 total approved budget envelope</w:t>
      </w:r>
    </w:p>
    <w:p>
      <w:pPr>
        <w:pStyle w:val="ListParagraph"/>
        <w:numPr>
          <w:ilvl w:val="0"/>
          <w:numId w:val="2"/>
        </w:numPr>
        <w:spacing w:after="40" w:before="40"/>
      </w:pPr>
      <w:r>
        <w:rPr>
          <w:rFonts w:ascii="Calibri" w:cs="Calibri" w:eastAsia="Calibri" w:hAnsi="Calibri"/>
          <w:b w:val="false"/>
          <w:bCs w:val="false"/>
          <w:sz w:val="20"/>
          <w:szCs w:val="20"/>
        </w:rPr>
        <w:t xml:space="preserve">Risk summary: 0 Extreme, 7 High, 17 Medium, 5 Low — risk profile consistent with a mature development well</w:t>
      </w:r>
    </w:p>
    <w:p>
      <w:pPr>
        <w:pStyle w:val="ListParagraph"/>
        <w:numPr>
          <w:ilvl w:val="0"/>
          <w:numId w:val="2"/>
        </w:numPr>
        <w:spacing w:after="40" w:before="40"/>
      </w:pPr>
      <w:r>
        <w:rPr>
          <w:rFonts w:ascii="Calibri" w:cs="Calibri" w:eastAsia="Calibri" w:hAnsi="Calibri"/>
          <w:b w:val="false"/>
          <w:bCs w:val="false"/>
          <w:sz w:val="20"/>
          <w:szCs w:val="20"/>
        </w:rPr>
        <w:t xml:space="preserve">Three High-rated subsurface risks requiring management acknowledgement: Loss Circulation (Likelihood 4), Differential Sticking (Likelihood 3), Surface Leaking (Likelihood 3)</w:t>
      </w:r>
    </w:p>
    <w:p>
      <w:pPr>
        <w:pStyle w:val="ListParagraph"/>
        <w:numPr>
          <w:ilvl w:val="0"/>
          <w:numId w:val="2"/>
        </w:numPr>
        <w:spacing w:after="40" w:before="40"/>
      </w:pPr>
      <w:r>
        <w:rPr>
          <w:rFonts w:ascii="Calibri" w:cs="Calibri" w:eastAsia="Calibri" w:hAnsi="Calibri"/>
          <w:b w:val="false"/>
          <w:bCs w:val="false"/>
          <w:sz w:val="20"/>
          <w:szCs w:val="20"/>
        </w:rPr>
        <w:t xml:space="preserve">Critical path: Gate 1 approval required no later than Q2 2026 to protect Q4 2026 spud date (1 November 2026 target)</w:t>
      </w:r>
    </w:p>
    <w:p>
      <w:pPr>
        <w:pStyle w:val="ListParagraph"/>
        <w:numPr>
          <w:ilvl w:val="0"/>
          <w:numId w:val="2"/>
        </w:numPr>
        <w:spacing w:after="40" w:before="40"/>
      </w:pPr>
      <w:r>
        <w:rPr>
          <w:rFonts w:ascii="Calibri" w:cs="Calibri" w:eastAsia="Calibri" w:hAnsi="Calibri"/>
          <w:b w:val="false"/>
          <w:bCs w:val="false"/>
          <w:sz w:val="20"/>
          <w:szCs w:val="20"/>
        </w:rPr>
        <w:t xml:space="preserve">LLI Procurement: ESP (16–24 wks), 7" Casing ×140 jts, 9-5/8" Casing ×48 jts, 3½" Tubing ×161 jts — all Critical Category LLI</w:t>
      </w:r>
    </w:p>
    <w:p>
      <w:pPr>
        <w:pStyle w:val="ListParagraph"/>
        <w:numPr>
          <w:ilvl w:val="0"/>
          <w:numId w:val="2"/>
        </w:numPr>
        <w:spacing w:after="40" w:before="40"/>
      </w:pPr>
      <w:r>
        <w:rPr>
          <w:rFonts w:ascii="Calibri" w:cs="Calibri" w:eastAsia="Calibri" w:hAnsi="Calibri"/>
          <w:b w:val="false"/>
          <w:bCs w:val="false"/>
          <w:sz w:val="20"/>
          <w:szCs w:val="20"/>
        </w:rPr>
        <w:t xml:space="preserve">AFE drawdown authority: Drilling Supervisor (up to 5%), Project Manager (5–10%), Management Committee re-authorization (&gt;10%)</w:t>
      </w:r>
    </w:p>
    <w:p>
      <w:pPr>
        <w:pStyle w:val="ListParagraph"/>
        <w:numPr>
          <w:ilvl w:val="0"/>
          <w:numId w:val="2"/>
        </w:numPr>
        <w:spacing w:after="40" w:before="40"/>
      </w:pPr>
      <w:r>
        <w:rPr>
          <w:rFonts w:ascii="Calibri" w:cs="Calibri" w:eastAsia="Calibri" w:hAnsi="Calibri"/>
          <w:b w:val="false"/>
          <w:bCs w:val="false"/>
          <w:sz w:val="20"/>
          <w:szCs w:val="20"/>
        </w:rPr>
        <w:t xml:space="preserve">Prepared by PMT Group 6 Core Energy Solution; reviewed by Technical Committee; approval requested from General Chairman</w:t>
      </w:r>
    </w:p>
    <w:p>
      <w:pPr>
        <w:pBdr>
          <w:bottom w:val="single" w:color="2E75B6" w:sz="6" w:space="1"/>
        </w:pBdr>
        <w:spacing w:after="120" w:before="120"/>
      </w:pPr>
      <w:r>
        <w:rPr>
          <w:rFonts w:ascii="Calibri" w:cs="Calibri" w:eastAsia="Calibri" w:hAnsi="Calibri"/>
          <w:sz w:val="4"/>
          <w:szCs w:val="4"/>
        </w:rPr>
        <w:t xml:space="preserve"/>
      </w:r>
    </w:p>
    <w:p>
      <w:pPr>
        <w:spacing w:after="100" w:before="200"/>
      </w:pPr>
      <w:r>
        <w:rPr>
          <w:rFonts w:ascii="Calibri" w:cs="Calibri" w:eastAsia="Calibri" w:hAnsi="Calibri"/>
          <w:b/>
          <w:bCs/>
          <w:color w:val="1F4E79"/>
          <w:sz w:val="22"/>
          <w:szCs w:val="22"/>
        </w:rPr>
        <w:t xml:space="preserve">AT-A-GLANCE: ALPHA-07 WELL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6"/>
              <w:left w:val="single" w:color="2E75B6" w:sz="6"/>
              <w:bottom w:val="single" w:color="CCCCCC" w:sz="4"/>
              <w:right w:val="single" w:color="CCCCCC" w:sz="4"/>
            </w:tcBorders>
            <w:shd w:fill="1F4E79" w:val="clear"/>
            <w:tcMar>
              <w:top w:type="dxa" w:w="80"/>
              <w:left w:type="dxa" w:w="140"/>
              <w:bottom w:type="dxa" w:w="80"/>
              <w:right w:type="dxa" w:w="140"/>
            </w:tcMar>
          </w:tcPr>
          <w:p>
            <w:r>
              <w:rPr>
                <w:rFonts w:ascii="Calibri" w:cs="Calibri" w:eastAsia="Calibri" w:hAnsi="Calibri"/>
                <w:b/>
                <w:bCs/>
                <w:color w:val="FFFFFF"/>
                <w:sz w:val="18"/>
                <w:szCs w:val="18"/>
              </w:rPr>
              <w:t xml:space="preserve">TECHNICAL SNAPSHOT</w:t>
            </w:r>
          </w:p>
        </w:tc>
        <w:tc>
          <w:tcPr>
            <w:tcW w:type="dxa" w:w="4680"/>
            <w:tcBorders>
              <w:top w:val="single" w:color="2E75B6" w:sz="6"/>
              <w:left w:val="single" w:color="CCCCCC" w:sz="4"/>
              <w:bottom w:val="single" w:color="CCCCCC" w:sz="4"/>
              <w:right w:val="single" w:color="2E75B6" w:sz="6"/>
            </w:tcBorders>
            <w:shd w:fill="1F4E79" w:val="clear"/>
            <w:tcMar>
              <w:top w:type="dxa" w:w="80"/>
              <w:left w:type="dxa" w:w="140"/>
              <w:bottom w:type="dxa" w:w="80"/>
              <w:right w:type="dxa" w:w="140"/>
            </w:tcMar>
          </w:tcPr>
          <w:p>
            <w:r>
              <w:rPr>
                <w:rFonts w:ascii="Calibri" w:cs="Calibri" w:eastAsia="Calibri" w:hAnsi="Calibri"/>
                <w:b/>
                <w:bCs/>
                <w:color w:val="FFFFFF"/>
                <w:sz w:val="18"/>
                <w:szCs w:val="18"/>
              </w:rPr>
              <w:t xml:space="preserve">COMMERCIAL SNAPSHOT</w:t>
            </w:r>
          </w:p>
        </w:tc>
      </w:tr>
      <w:tr>
        <w:tc>
          <w:tcPr>
            <w:tcW w:type="dxa" w:w="4680"/>
            <w:tcBorders>
              <w:top w:val="single" w:color="CCCCCC" w:sz="4"/>
              <w:left w:val="single" w:color="2E75B6" w:sz="6"/>
              <w:bottom w:val="single" w:color="2E75B6" w:sz="6"/>
              <w:right w:val="single" w:color="CCCCCC" w:sz="4"/>
            </w:tcBorders>
            <w:shd w:fill="EBF3FB" w:val="clear"/>
            <w:tcMar>
              <w:top w:type="dxa" w:w="80"/>
              <w:left w:type="dxa" w:w="140"/>
              <w:bottom w:type="dxa" w:w="80"/>
              <w:right w:type="dxa" w:w="140"/>
            </w:tcMar>
          </w:tcPr>
          <w:p>
            <w:pPr>
              <w:spacing w:after="20" w:before="40"/>
            </w:pPr>
            <w:r>
              <w:rPr>
                <w:rFonts w:ascii="Calibri" w:cs="Calibri" w:eastAsia="Calibri" w:hAnsi="Calibri"/>
                <w:b/>
                <w:bCs/>
                <w:sz w:val="18"/>
                <w:szCs w:val="18"/>
              </w:rPr>
              <w:t xml:space="preserve">Well Type:  </w:t>
            </w:r>
            <w:r>
              <w:rPr>
                <w:rFonts w:ascii="Calibri" w:cs="Calibri" w:eastAsia="Calibri" w:hAnsi="Calibri"/>
                <w:sz w:val="18"/>
                <w:szCs w:val="18"/>
              </w:rPr>
              <w:t xml:space="preserve">Directional J-type Producer</w:t>
            </w:r>
          </w:p>
          <w:p>
            <w:pPr>
              <w:spacing w:after="20" w:before="20"/>
            </w:pPr>
            <w:r>
              <w:rPr>
                <w:rFonts w:ascii="Calibri" w:cs="Calibri" w:eastAsia="Calibri" w:hAnsi="Calibri"/>
                <w:b/>
                <w:bCs/>
                <w:sz w:val="18"/>
                <w:szCs w:val="18"/>
              </w:rPr>
              <w:t xml:space="preserve">Rig:  </w:t>
            </w:r>
            <w:r>
              <w:rPr>
                <w:rFonts w:ascii="Calibri" w:cs="Calibri" w:eastAsia="Calibri" w:hAnsi="Calibri"/>
                <w:sz w:val="18"/>
                <w:szCs w:val="18"/>
              </w:rPr>
              <w:t xml:space="preserve">750 HP Land Rig</w:t>
            </w:r>
          </w:p>
          <w:p>
            <w:pPr>
              <w:spacing w:after="20" w:before="20"/>
            </w:pPr>
            <w:r>
              <w:rPr>
                <w:rFonts w:ascii="Calibri" w:cs="Calibri" w:eastAsia="Calibri" w:hAnsi="Calibri"/>
                <w:b/>
                <w:bCs/>
                <w:sz w:val="18"/>
                <w:szCs w:val="18"/>
              </w:rPr>
              <w:t xml:space="preserve">Target TD:  </w:t>
            </w:r>
            <w:r>
              <w:rPr>
                <w:rFonts w:ascii="Calibri" w:cs="Calibri" w:eastAsia="Calibri" w:hAnsi="Calibri"/>
                <w:sz w:val="18"/>
                <w:szCs w:val="18"/>
              </w:rPr>
              <w:t xml:space="preserve">~5,312 ft MD</w:t>
            </w:r>
          </w:p>
          <w:p>
            <w:pPr>
              <w:spacing w:after="20" w:before="20"/>
            </w:pPr>
            <w:r>
              <w:rPr>
                <w:rFonts w:ascii="Calibri" w:cs="Calibri" w:eastAsia="Calibri" w:hAnsi="Calibri"/>
                <w:b/>
                <w:bCs/>
                <w:sz w:val="18"/>
                <w:szCs w:val="18"/>
              </w:rPr>
              <w:t xml:space="preserve">Targets:  </w:t>
            </w:r>
            <w:r>
              <w:rPr>
                <w:rFonts w:ascii="Calibri" w:cs="Calibri" w:eastAsia="Calibri" w:hAnsi="Calibri"/>
                <w:sz w:val="18"/>
                <w:szCs w:val="18"/>
              </w:rPr>
              <w:t xml:space="preserve">Bara, Bama, Raja, Prima sands</w:t>
            </w:r>
          </w:p>
          <w:p>
            <w:pPr>
              <w:spacing w:after="20" w:before="20"/>
            </w:pPr>
            <w:r>
              <w:rPr>
                <w:rFonts w:ascii="Calibri" w:cs="Calibri" w:eastAsia="Calibri" w:hAnsi="Calibri"/>
                <w:b/>
                <w:bCs/>
                <w:sz w:val="18"/>
                <w:szCs w:val="18"/>
              </w:rPr>
              <w:t xml:space="preserve">Completion:  </w:t>
            </w:r>
            <w:r>
              <w:rPr>
                <w:rFonts w:ascii="Calibri" w:cs="Calibri" w:eastAsia="Calibri" w:hAnsi="Calibri"/>
                <w:sz w:val="18"/>
                <w:szCs w:val="18"/>
              </w:rPr>
              <w:t xml:space="preserve">Cased-hole + ESP</w:t>
            </w:r>
          </w:p>
          <w:p>
            <w:pPr>
              <w:spacing w:after="20" w:before="20"/>
            </w:pPr>
            <w:r>
              <w:rPr>
                <w:rFonts w:ascii="Calibri" w:cs="Calibri" w:eastAsia="Calibri" w:hAnsi="Calibri"/>
                <w:b/>
                <w:bCs/>
                <w:sz w:val="18"/>
                <w:szCs w:val="18"/>
              </w:rPr>
              <w:t xml:space="preserve">Cycle Time:  </w:t>
            </w:r>
            <w:r>
              <w:rPr>
                <w:rFonts w:ascii="Calibri" w:cs="Calibri" w:eastAsia="Calibri" w:hAnsi="Calibri"/>
                <w:sz w:val="18"/>
                <w:szCs w:val="18"/>
              </w:rPr>
              <w:t xml:space="preserve">21.3–29.3 days</w:t>
            </w:r>
          </w:p>
          <w:p>
            <w:pPr>
              <w:spacing w:after="40" w:before="20"/>
            </w:pPr>
            <w:r>
              <w:rPr>
                <w:rFonts w:ascii="Calibri" w:cs="Calibri" w:eastAsia="Calibri" w:hAnsi="Calibri"/>
                <w:b/>
                <w:bCs/>
                <w:sz w:val="18"/>
                <w:szCs w:val="18"/>
              </w:rPr>
              <w:t xml:space="preserve">Target Spud:  </w:t>
            </w:r>
            <w:r>
              <w:rPr>
                <w:rFonts w:ascii="Calibri" w:cs="Calibri" w:eastAsia="Calibri" w:hAnsi="Calibri"/>
                <w:sz w:val="18"/>
                <w:szCs w:val="18"/>
              </w:rPr>
              <w:t xml:space="preserve">1 November 2026</w:t>
            </w:r>
          </w:p>
        </w:tc>
        <w:tc>
          <w:tcPr>
            <w:tcW w:type="dxa" w:w="4680"/>
            <w:tcBorders>
              <w:top w:val="single" w:color="CCCCCC" w:sz="4"/>
              <w:left w:val="single" w:color="CCCCCC" w:sz="4"/>
              <w:bottom w:val="single" w:color="2E75B6" w:sz="6"/>
              <w:right w:val="single" w:color="2E75B6" w:sz="6"/>
            </w:tcBorders>
            <w:shd w:fill="EBF3FB" w:val="clear"/>
            <w:tcMar>
              <w:top w:type="dxa" w:w="80"/>
              <w:left w:type="dxa" w:w="140"/>
              <w:bottom w:type="dxa" w:w="80"/>
              <w:right w:type="dxa" w:w="140"/>
            </w:tcMar>
          </w:tcPr>
          <w:p>
            <w:pPr>
              <w:spacing w:after="20" w:before="40"/>
            </w:pPr>
            <w:r>
              <w:rPr>
                <w:rFonts w:ascii="Calibri" w:cs="Calibri" w:eastAsia="Calibri" w:hAnsi="Calibri"/>
                <w:b/>
                <w:bCs/>
                <w:sz w:val="18"/>
                <w:szCs w:val="18"/>
              </w:rPr>
              <w:t xml:space="preserve">Total AFE (incl. contingency):  </w:t>
            </w:r>
            <w:r>
              <w:rPr>
                <w:rFonts w:ascii="Calibri" w:cs="Calibri" w:eastAsia="Calibri" w:hAnsi="Calibri"/>
                <w:sz w:val="18"/>
                <w:szCs w:val="18"/>
              </w:rPr>
              <w:t xml:space="preserve">USD 1.96 M</w:t>
            </w:r>
          </w:p>
          <w:p>
            <w:pPr>
              <w:spacing w:after="20" w:before="20"/>
            </w:pPr>
            <w:r>
              <w:rPr>
                <w:rFonts w:ascii="Calibri" w:cs="Calibri" w:eastAsia="Calibri" w:hAnsi="Calibri"/>
                <w:b/>
                <w:bCs/>
                <w:sz w:val="18"/>
                <w:szCs w:val="18"/>
              </w:rPr>
              <w:t xml:space="preserve">Base D&amp;C Cost:  </w:t>
            </w:r>
            <w:r>
              <w:rPr>
                <w:rFonts w:ascii="Calibri" w:cs="Calibri" w:eastAsia="Calibri" w:hAnsi="Calibri"/>
                <w:sz w:val="18"/>
                <w:szCs w:val="18"/>
              </w:rPr>
              <w:t xml:space="preserve">USD 1.78 M</w:t>
            </w:r>
          </w:p>
          <w:p>
            <w:pPr>
              <w:spacing w:after="20" w:before="20"/>
            </w:pPr>
            <w:r>
              <w:rPr>
                <w:rFonts w:ascii="Calibri" w:cs="Calibri" w:eastAsia="Calibri" w:hAnsi="Calibri"/>
                <w:b/>
                <w:bCs/>
                <w:sz w:val="18"/>
                <w:szCs w:val="18"/>
              </w:rPr>
              <w:t xml:space="preserve">Contingency:  </w:t>
            </w:r>
            <w:r>
              <w:rPr>
                <w:rFonts w:ascii="Calibri" w:cs="Calibri" w:eastAsia="Calibri" w:hAnsi="Calibri"/>
                <w:sz w:val="18"/>
                <w:szCs w:val="18"/>
              </w:rPr>
              <w:t xml:space="preserve">USD 178 K (10%)</w:t>
            </w:r>
          </w:p>
          <w:p>
            <w:pPr>
              <w:spacing w:after="20" w:before="20"/>
            </w:pPr>
            <w:r>
              <w:rPr>
                <w:rFonts w:ascii="Calibri" w:cs="Calibri" w:eastAsia="Calibri" w:hAnsi="Calibri"/>
                <w:b/>
                <w:bCs/>
                <w:sz w:val="18"/>
                <w:szCs w:val="18"/>
              </w:rPr>
              <w:t xml:space="preserve">Incremental Reserve (P50):  </w:t>
            </w:r>
            <w:r>
              <w:rPr>
                <w:rFonts w:ascii="Calibri" w:cs="Calibri" w:eastAsia="Calibri" w:hAnsi="Calibri"/>
                <w:sz w:val="18"/>
                <w:szCs w:val="18"/>
              </w:rPr>
              <w:t xml:space="preserve">156 MBO / well</w:t>
            </w:r>
          </w:p>
          <w:p>
            <w:pPr>
              <w:spacing w:after="20" w:before="20"/>
            </w:pPr>
            <w:r>
              <w:rPr>
                <w:rFonts w:ascii="Calibri" w:cs="Calibri" w:eastAsia="Calibri" w:hAnsi="Calibri"/>
                <w:b/>
                <w:bCs/>
                <w:sz w:val="18"/>
                <w:szCs w:val="18"/>
              </w:rPr>
              <w:t xml:space="preserve">5-Well Program Reserve:  </w:t>
            </w:r>
            <w:r>
              <w:rPr>
                <w:rFonts w:ascii="Calibri" w:cs="Calibri" w:eastAsia="Calibri" w:hAnsi="Calibri"/>
                <w:sz w:val="18"/>
                <w:szCs w:val="18"/>
              </w:rPr>
              <w:t xml:space="preserve">~0.58 MMBO to 2041</w:t>
            </w:r>
          </w:p>
          <w:p>
            <w:pPr>
              <w:spacing w:after="20" w:before="20"/>
            </w:pPr>
            <w:r>
              <w:rPr>
                <w:rFonts w:ascii="Calibri" w:cs="Calibri" w:eastAsia="Calibri" w:hAnsi="Calibri"/>
                <w:b/>
                <w:bCs/>
                <w:sz w:val="18"/>
                <w:szCs w:val="18"/>
              </w:rPr>
              <w:t xml:space="preserve">IP Rate (P50):  </w:t>
            </w:r>
            <w:r>
              <w:rPr>
                <w:rFonts w:ascii="Calibri" w:cs="Calibri" w:eastAsia="Calibri" w:hAnsi="Calibri"/>
                <w:sz w:val="18"/>
                <w:szCs w:val="18"/>
              </w:rPr>
              <w:t xml:space="preserve">132 BOPD</w:t>
            </w:r>
          </w:p>
          <w:p>
            <w:pPr>
              <w:spacing w:after="40" w:before="20"/>
            </w:pPr>
            <w:r>
              <w:rPr>
                <w:rFonts w:ascii="Calibri" w:cs="Calibri" w:eastAsia="Calibri" w:hAnsi="Calibri"/>
                <w:b/>
                <w:bCs/>
                <w:sz w:val="18"/>
                <w:szCs w:val="18"/>
              </w:rPr>
              <w:t xml:space="preserve">Field OOIP / RF:  </w:t>
            </w:r>
            <w:r>
              <w:rPr>
                <w:rFonts w:ascii="Calibri" w:cs="Calibri" w:eastAsia="Calibri" w:hAnsi="Calibri"/>
                <w:sz w:val="18"/>
                <w:szCs w:val="18"/>
              </w:rPr>
              <w:t xml:space="preserve">21.66 MMSTB / 16.62%</w:t>
            </w:r>
          </w:p>
        </w:tc>
      </w:tr>
    </w:tbl>
    <w:p>
      <w:pPr>
        <w:spacing w:after="0" w:before="16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2026-06-22T09:48:37.892Z</dcterms:created>
  <dcterms:modified xsi:type="dcterms:W3CDTF">2026-06-22T09:48:37.901Z</dcterms:modified>
</cp:coreProperties>
</file>

<file path=docProps/custom.xml><?xml version="1.0" encoding="utf-8"?>
<Properties xmlns="http://schemas.openxmlformats.org/officeDocument/2006/custom-properties" xmlns:vt="http://schemas.openxmlformats.org/officeDocument/2006/docPropsVTypes"/>
</file>