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jc w:val="center"/>
        <w:bidi w:val="1"/>
      </w:pPr>
      <w:r>
        <w:rPr>
          <w:rFonts w:ascii="Arial" w:hAnsi="Arial" w:eastAsia="Arial" w:cs="Arial"/>
          <w:b/>
          <w:color w:val="BE2323"/>
          <w:sz w:val="36"/>
        </w:rPr>
        <w:t>تحليل SWOT لشركة ماكدونالدز (McDonald’s)</w:t>
      </w:r>
    </w:p>
    <w:p>
      <w:pPr>
        <w:spacing w:after="60" w:before="0" w:line="240" w:lineRule="auto"/>
        <w:jc w:val="center"/>
        <w:bidi w:val="1"/>
      </w:pPr>
      <w:r>
        <w:rPr>
          <w:rFonts w:ascii="Arial" w:hAnsi="Arial" w:eastAsia="Arial" w:cs="Arial"/>
          <w:b w:val="0"/>
          <w:color w:val="464646"/>
          <w:sz w:val="17"/>
        </w:rPr>
        <w:t>مادة التسويق | اسم الطالب: ................................ | الفرقة/الشعبة: ........................</w:t>
      </w:r>
    </w:p>
    <w:p>
      <w:pPr>
        <w:spacing w:after="40" w:before="80" w:line="240" w:lineRule="auto"/>
        <w:jc w:val="right"/>
        <w:bidi w:val="1"/>
      </w:pPr>
      <w:r>
        <w:rPr>
          <w:rFonts w:ascii="Arial" w:hAnsi="Arial" w:eastAsia="Arial" w:cs="Arial"/>
          <w:b/>
          <w:color w:val="B42323"/>
          <w:sz w:val="22"/>
        </w:rPr>
        <w:t>مقدمة عن الشركة</w:t>
      </w:r>
    </w:p>
    <w:p>
      <w:pPr>
        <w:spacing w:after="40" w:before="0" w:line="240" w:lineRule="auto"/>
        <w:jc w:val="right"/>
        <w:bidi w:val="1"/>
      </w:pPr>
      <w:r>
        <w:rPr>
          <w:rFonts w:ascii="Arial" w:hAnsi="Arial" w:eastAsia="Arial" w:cs="Arial"/>
          <w:b w:val="0"/>
          <w:sz w:val="17"/>
        </w:rPr>
        <w:t>ماكدونالدز شركة عالمية في مجال الوجبات السريعة، وتشتهر بالبرجر والبطاطس والمشروبات ووجبات الإفطار. وتعتمد على قوة علامتها التجارية وسرعة الخدمة ونظام تشغيل منظم، مع التوسع عبر الفروع والامتياز التجاري. ويحلل SWOT العوامل الداخلية (القوة والضعف) والخارجية (الفرص والتهديدات) التي تؤثر على الشركة.</w:t>
      </w:r>
    </w:p>
    <w:p>
      <w:pPr>
        <w:spacing w:after="40" w:before="80" w:line="240" w:lineRule="auto"/>
        <w:jc w:val="right"/>
        <w:bidi w:val="1"/>
      </w:pPr>
      <w:r>
        <w:rPr>
          <w:rFonts w:ascii="Arial" w:hAnsi="Arial" w:eastAsia="Arial" w:cs="Arial"/>
          <w:b/>
          <w:color w:val="B42323"/>
          <w:sz w:val="22"/>
        </w:rPr>
        <w:t>أولًا: نقاط القوة (Strengths)</w:t>
      </w:r>
    </w:p>
    <w:p>
      <w:pPr>
        <w:pStyle w:val="ListNumber"/>
        <w:spacing w:after="20" w:before="0" w:line="240" w:lineRule="auto"/>
        <w:jc w:val="right"/>
        <w:bidi w:val="1"/>
      </w:pPr>
      <w:r>
        <w:rPr>
          <w:rFonts w:ascii="Arial" w:hAnsi="Arial" w:eastAsia="Arial" w:cs="Arial"/>
          <w:b w:val="0"/>
          <w:sz w:val="17"/>
        </w:rPr>
        <w:t>شهرة العلامة التجارية: شعار معروف وثقة واسعة لدى المستهلكين.</w:t>
      </w:r>
    </w:p>
    <w:p>
      <w:pPr>
        <w:pStyle w:val="ListNumber"/>
        <w:spacing w:after="20" w:before="0" w:line="240" w:lineRule="auto"/>
        <w:jc w:val="right"/>
        <w:bidi w:val="1"/>
      </w:pPr>
      <w:r>
        <w:rPr>
          <w:rFonts w:ascii="Arial" w:hAnsi="Arial" w:eastAsia="Arial" w:cs="Arial"/>
          <w:b w:val="0"/>
          <w:sz w:val="17"/>
        </w:rPr>
        <w:t>الانتشار العالمي: شبكة كبيرة من المطاعم في أسواق متعددة.</w:t>
      </w:r>
    </w:p>
    <w:p>
      <w:pPr>
        <w:pStyle w:val="ListNumber"/>
        <w:spacing w:after="20" w:before="0" w:line="240" w:lineRule="auto"/>
        <w:jc w:val="right"/>
        <w:bidi w:val="1"/>
      </w:pPr>
      <w:r>
        <w:rPr>
          <w:rFonts w:ascii="Arial" w:hAnsi="Arial" w:eastAsia="Arial" w:cs="Arial"/>
          <w:b w:val="0"/>
          <w:sz w:val="17"/>
        </w:rPr>
        <w:t>سرعة الخدمة: إجراءات تشغيل منظمة تساعد على تقديم الطلبات بسرعة.</w:t>
      </w:r>
    </w:p>
    <w:p>
      <w:pPr>
        <w:pStyle w:val="ListNumber"/>
        <w:spacing w:after="20" w:before="0" w:line="240" w:lineRule="auto"/>
        <w:jc w:val="right"/>
        <w:bidi w:val="1"/>
      </w:pPr>
      <w:r>
        <w:rPr>
          <w:rFonts w:ascii="Arial" w:hAnsi="Arial" w:eastAsia="Arial" w:cs="Arial"/>
          <w:b w:val="0"/>
          <w:sz w:val="17"/>
        </w:rPr>
        <w:t>قوة التسويق: حملات إعلانية وعروض وتطبيقات تشجع تكرار الشراء.</w:t>
      </w:r>
    </w:p>
    <w:p>
      <w:pPr>
        <w:pStyle w:val="ListNumber"/>
        <w:spacing w:after="20" w:before="0" w:line="240" w:lineRule="auto"/>
        <w:jc w:val="right"/>
        <w:bidi w:val="1"/>
      </w:pPr>
      <w:r>
        <w:rPr>
          <w:rFonts w:ascii="Arial" w:hAnsi="Arial" w:eastAsia="Arial" w:cs="Arial"/>
          <w:b w:val="0"/>
          <w:sz w:val="17"/>
        </w:rPr>
        <w:t>تنوع المنتجات: برجر وبطاطس ومشروبات ووجبات إفطار وخيارات متعددة.</w:t>
      </w:r>
    </w:p>
    <w:p>
      <w:pPr>
        <w:spacing w:after="40" w:before="80" w:line="240" w:lineRule="auto"/>
        <w:jc w:val="right"/>
        <w:bidi w:val="1"/>
      </w:pPr>
      <w:r>
        <w:rPr>
          <w:rFonts w:ascii="Arial" w:hAnsi="Arial" w:eastAsia="Arial" w:cs="Arial"/>
          <w:b/>
          <w:color w:val="1E69AF"/>
          <w:sz w:val="22"/>
        </w:rPr>
        <w:t>ثانيًا: نقاط الضعف (Weaknesses)</w:t>
      </w:r>
    </w:p>
    <w:p>
      <w:pPr>
        <w:pStyle w:val="ListNumber"/>
        <w:spacing w:after="20" w:before="0" w:line="240" w:lineRule="auto"/>
        <w:jc w:val="right"/>
        <w:bidi w:val="1"/>
      </w:pPr>
      <w:r>
        <w:rPr>
          <w:rFonts w:ascii="Arial" w:hAnsi="Arial" w:eastAsia="Arial" w:cs="Arial"/>
          <w:b w:val="0"/>
          <w:sz w:val="17"/>
        </w:rPr>
        <w:t>ارتباط بعض المنتجات بالسعرات الحرارية المرتفعة وانتقادات صحية.</w:t>
      </w:r>
    </w:p>
    <w:p>
      <w:pPr>
        <w:pStyle w:val="ListNumber"/>
        <w:spacing w:after="20" w:before="0" w:line="240" w:lineRule="auto"/>
        <w:jc w:val="right"/>
        <w:bidi w:val="1"/>
      </w:pPr>
      <w:r>
        <w:rPr>
          <w:rFonts w:ascii="Arial" w:hAnsi="Arial" w:eastAsia="Arial" w:cs="Arial"/>
          <w:b w:val="0"/>
          <w:sz w:val="17"/>
        </w:rPr>
        <w:t>التأثر بزيادة تكاليف المواد الخام والأجور والطاقة.</w:t>
      </w:r>
    </w:p>
    <w:p>
      <w:pPr>
        <w:pStyle w:val="ListNumber"/>
        <w:spacing w:after="20" w:before="0" w:line="240" w:lineRule="auto"/>
        <w:jc w:val="right"/>
        <w:bidi w:val="1"/>
      </w:pPr>
      <w:r>
        <w:rPr>
          <w:rFonts w:ascii="Arial" w:hAnsi="Arial" w:eastAsia="Arial" w:cs="Arial"/>
          <w:b w:val="0"/>
          <w:sz w:val="17"/>
        </w:rPr>
        <w:t>احتمال اختلاف جودة الخدمة من فرع إلى آخر.</w:t>
      </w:r>
    </w:p>
    <w:p>
      <w:pPr>
        <w:pStyle w:val="ListNumber"/>
        <w:spacing w:after="20" w:before="0" w:line="240" w:lineRule="auto"/>
        <w:jc w:val="right"/>
        <w:bidi w:val="1"/>
      </w:pPr>
      <w:r>
        <w:rPr>
          <w:rFonts w:ascii="Arial" w:hAnsi="Arial" w:eastAsia="Arial" w:cs="Arial"/>
          <w:b w:val="0"/>
          <w:sz w:val="17"/>
        </w:rPr>
        <w:t>تأثر السمعة بسرعة عند انتشار شكاوى أو أخبار سلبية.</w:t>
      </w:r>
    </w:p>
    <w:p>
      <w:pPr>
        <w:pStyle w:val="ListNumber"/>
        <w:spacing w:after="20" w:before="0" w:line="240" w:lineRule="auto"/>
        <w:jc w:val="right"/>
        <w:bidi w:val="1"/>
      </w:pPr>
      <w:r>
        <w:rPr>
          <w:rFonts w:ascii="Arial" w:hAnsi="Arial" w:eastAsia="Arial" w:cs="Arial"/>
          <w:b w:val="0"/>
          <w:sz w:val="17"/>
        </w:rPr>
        <w:t>الاعتماد على استمرار الطلب على الوجبات السريعة.</w:t>
      </w:r>
    </w:p>
    <w:p>
      <w:pPr>
        <w:spacing w:after="40" w:before="80" w:line="240" w:lineRule="auto"/>
        <w:jc w:val="right"/>
        <w:bidi w:val="1"/>
      </w:pPr>
      <w:r>
        <w:rPr>
          <w:rFonts w:ascii="Arial" w:hAnsi="Arial" w:eastAsia="Arial" w:cs="Arial"/>
          <w:b/>
          <w:color w:val="239141"/>
          <w:sz w:val="22"/>
        </w:rPr>
        <w:t>ثالثًا: الفرص (Opportunities)</w:t>
      </w:r>
    </w:p>
    <w:p>
      <w:pPr>
        <w:pStyle w:val="ListNumber"/>
        <w:spacing w:after="20" w:before="0" w:line="240" w:lineRule="auto"/>
        <w:jc w:val="right"/>
        <w:bidi w:val="1"/>
      </w:pPr>
      <w:r>
        <w:rPr>
          <w:rFonts w:ascii="Arial" w:hAnsi="Arial" w:eastAsia="Arial" w:cs="Arial"/>
          <w:b w:val="0"/>
          <w:sz w:val="17"/>
        </w:rPr>
        <w:t>التوسع في أسواق ومناطق جديدة.</w:t>
      </w:r>
    </w:p>
    <w:p>
      <w:pPr>
        <w:pStyle w:val="ListNumber"/>
        <w:spacing w:after="20" w:before="0" w:line="240" w:lineRule="auto"/>
        <w:jc w:val="right"/>
        <w:bidi w:val="1"/>
      </w:pPr>
      <w:r>
        <w:rPr>
          <w:rFonts w:ascii="Arial" w:hAnsi="Arial" w:eastAsia="Arial" w:cs="Arial"/>
          <w:b w:val="0"/>
          <w:sz w:val="17"/>
        </w:rPr>
        <w:t>تقديم خيارات غذائية متنوعة تناسب احتياجات العملاء.</w:t>
      </w:r>
    </w:p>
    <w:p>
      <w:pPr>
        <w:pStyle w:val="ListNumber"/>
        <w:spacing w:after="20" w:before="0" w:line="240" w:lineRule="auto"/>
        <w:jc w:val="right"/>
        <w:bidi w:val="1"/>
      </w:pPr>
      <w:r>
        <w:rPr>
          <w:rFonts w:ascii="Arial" w:hAnsi="Arial" w:eastAsia="Arial" w:cs="Arial"/>
          <w:b w:val="0"/>
          <w:sz w:val="17"/>
        </w:rPr>
        <w:t>زيادة الطلب عبر التطبيقات وبرامج الولاء والدفع الإلكتروني.</w:t>
      </w:r>
    </w:p>
    <w:p>
      <w:pPr>
        <w:pStyle w:val="ListNumber"/>
        <w:spacing w:after="20" w:before="0" w:line="240" w:lineRule="auto"/>
        <w:jc w:val="right"/>
        <w:bidi w:val="1"/>
      </w:pPr>
      <w:r>
        <w:rPr>
          <w:rFonts w:ascii="Arial" w:hAnsi="Arial" w:eastAsia="Arial" w:cs="Arial"/>
          <w:b w:val="0"/>
          <w:sz w:val="17"/>
        </w:rPr>
        <w:t>طرح وجبات اقتصادية تناسب الميزانيات المختلفة.</w:t>
      </w:r>
    </w:p>
    <w:p>
      <w:pPr>
        <w:pStyle w:val="ListNumber"/>
        <w:spacing w:after="20" w:before="0" w:line="240" w:lineRule="auto"/>
        <w:jc w:val="right"/>
        <w:bidi w:val="1"/>
      </w:pPr>
      <w:r>
        <w:rPr>
          <w:rFonts w:ascii="Arial" w:hAnsi="Arial" w:eastAsia="Arial" w:cs="Arial"/>
          <w:b w:val="0"/>
          <w:sz w:val="17"/>
        </w:rPr>
        <w:t>تطوير خدمات التوصيل والاستلام السريع.</w:t>
      </w:r>
    </w:p>
    <w:p>
      <w:pPr>
        <w:spacing w:after="40" w:before="80" w:line="240" w:lineRule="auto"/>
        <w:jc w:val="right"/>
        <w:bidi w:val="1"/>
      </w:pPr>
      <w:r>
        <w:rPr>
          <w:rFonts w:ascii="Arial" w:hAnsi="Arial" w:eastAsia="Arial" w:cs="Arial"/>
          <w:b/>
          <w:color w:val="B99119"/>
          <w:sz w:val="22"/>
        </w:rPr>
        <w:t>رابعًا: التهديدات (Threats)</w:t>
      </w:r>
    </w:p>
    <w:p>
      <w:pPr>
        <w:pStyle w:val="ListNumber"/>
        <w:spacing w:after="20" w:before="0" w:line="240" w:lineRule="auto"/>
        <w:jc w:val="right"/>
        <w:bidi w:val="1"/>
      </w:pPr>
      <w:r>
        <w:rPr>
          <w:rFonts w:ascii="Arial" w:hAnsi="Arial" w:eastAsia="Arial" w:cs="Arial"/>
          <w:b w:val="0"/>
          <w:sz w:val="17"/>
        </w:rPr>
        <w:t>المنافسة من سلاسل الوجبات السريعة والمطاعم المحلية.</w:t>
      </w:r>
    </w:p>
    <w:p>
      <w:pPr>
        <w:pStyle w:val="ListNumber"/>
        <w:spacing w:after="20" w:before="0" w:line="240" w:lineRule="auto"/>
        <w:jc w:val="right"/>
        <w:bidi w:val="1"/>
      </w:pPr>
      <w:r>
        <w:rPr>
          <w:rFonts w:ascii="Arial" w:hAnsi="Arial" w:eastAsia="Arial" w:cs="Arial"/>
          <w:b w:val="0"/>
          <w:sz w:val="17"/>
        </w:rPr>
        <w:t>ارتفاع أسعار اللحوم والزيوت والخبز والمواد الخام.</w:t>
      </w:r>
    </w:p>
    <w:p>
      <w:pPr>
        <w:pStyle w:val="ListNumber"/>
        <w:spacing w:after="20" w:before="0" w:line="240" w:lineRule="auto"/>
        <w:jc w:val="right"/>
        <w:bidi w:val="1"/>
      </w:pPr>
      <w:r>
        <w:rPr>
          <w:rFonts w:ascii="Arial" w:hAnsi="Arial" w:eastAsia="Arial" w:cs="Arial"/>
          <w:b w:val="0"/>
          <w:sz w:val="17"/>
        </w:rPr>
        <w:t>تغير أذواق المستهلكين والاهتمام بخيارات صحية.</w:t>
      </w:r>
    </w:p>
    <w:p>
      <w:pPr>
        <w:pStyle w:val="ListNumber"/>
        <w:spacing w:after="20" w:before="0" w:line="240" w:lineRule="auto"/>
        <w:jc w:val="right"/>
        <w:bidi w:val="1"/>
      </w:pPr>
      <w:r>
        <w:rPr>
          <w:rFonts w:ascii="Arial" w:hAnsi="Arial" w:eastAsia="Arial" w:cs="Arial"/>
          <w:b w:val="0"/>
          <w:sz w:val="17"/>
        </w:rPr>
        <w:t>أزمات سلامة الغذاء التي قد تقلل ثقة العملاء.</w:t>
      </w:r>
    </w:p>
    <w:p>
      <w:pPr>
        <w:pStyle w:val="ListNumber"/>
        <w:spacing w:after="20" w:before="0" w:line="240" w:lineRule="auto"/>
        <w:jc w:val="right"/>
        <w:bidi w:val="1"/>
      </w:pPr>
      <w:r>
        <w:rPr>
          <w:rFonts w:ascii="Arial" w:hAnsi="Arial" w:eastAsia="Arial" w:cs="Arial"/>
          <w:b w:val="0"/>
          <w:sz w:val="17"/>
        </w:rPr>
        <w:t>المقاطعة والجدل العام في بعض الأسواق وتأثيرهما على المبيعات.</w:t>
      </w:r>
    </w:p>
    <w:p>
      <w:pPr>
        <w:spacing w:after="40" w:before="80" w:line="240" w:lineRule="auto"/>
        <w:jc w:val="right"/>
        <w:bidi w:val="1"/>
      </w:pPr>
      <w:r>
        <w:rPr>
          <w:rFonts w:ascii="Arial" w:hAnsi="Arial" w:eastAsia="Arial" w:cs="Arial"/>
          <w:b/>
          <w:color w:val="414141"/>
          <w:sz w:val="22"/>
        </w:rPr>
        <w:t>ملخص SWOT في شكل مختصر</w:t>
      </w:r>
    </w:p>
    <w:tbl>
      <w:tblPr>
        <w:tblW w:type="auto" w:w="0"/>
        <w:tblLayout w:type="autofit"/>
        <w:tblLook w:firstColumn="1" w:firstRow="1" w:lastColumn="0" w:lastRow="0" w:noHBand="0" w:noVBand="1" w:val="04A0"/>
      </w:tblPr>
      <w:tblGrid>
        <w:gridCol w:w="5328"/>
        <w:gridCol w:w="5328"/>
      </w:tblGrid>
      <w:tr>
        <w:tc>
          <w:tcPr>
            <w:tcW w:type="dxa" w:w="5328"/>
            <w:shd w:fill="F2D7D5"/>
          </w:tcPr>
          <w:p>
            <w:pPr>
              <w:spacing w:after="0" w:line="240" w:lineRule="auto"/>
              <w:jc w:val="right"/>
              <w:bidi w:val="1"/>
            </w:pPr>
            <w:r>
              <w:rPr>
                <w:rFonts w:ascii="Arial" w:hAnsi="Arial" w:eastAsia="Arial" w:cs="Arial"/>
                <w:b/>
                <w:sz w:val="19"/>
              </w:rPr>
              <w:t>نقاط القوة</w:t>
            </w:r>
          </w:p>
          <w:p>
            <w:pPr>
              <w:spacing w:after="0" w:line="240" w:lineRule="auto"/>
              <w:jc w:val="right"/>
              <w:bidi w:val="1"/>
            </w:pPr>
            <w:r>
              <w:rPr>
                <w:rFonts w:ascii="Arial" w:hAnsi="Arial" w:eastAsia="Arial" w:cs="Arial"/>
                <w:b w:val="0"/>
                <w:sz w:val="16"/>
              </w:rPr>
              <w:t>• علامة قوية • انتشار عالمي</w:t>
              <w:br/>
              <w:t>• سرعة الخدمة • تسويق فعّال</w:t>
            </w:r>
          </w:p>
        </w:tc>
        <w:tc>
          <w:tcPr>
            <w:tcW w:type="dxa" w:w="5328"/>
            <w:shd w:fill="D9EAF7"/>
          </w:tcPr>
          <w:p>
            <w:pPr>
              <w:spacing w:after="0" w:line="240" w:lineRule="auto"/>
              <w:jc w:val="right"/>
              <w:bidi w:val="1"/>
            </w:pPr>
            <w:r>
              <w:rPr>
                <w:rFonts w:ascii="Arial" w:hAnsi="Arial" w:eastAsia="Arial" w:cs="Arial"/>
                <w:b/>
                <w:sz w:val="19"/>
              </w:rPr>
              <w:t>نقاط الضعف</w:t>
            </w:r>
          </w:p>
          <w:p>
            <w:pPr>
              <w:spacing w:after="0" w:line="240" w:lineRule="auto"/>
              <w:jc w:val="right"/>
              <w:bidi w:val="1"/>
            </w:pPr>
            <w:r>
              <w:rPr>
                <w:rFonts w:ascii="Arial" w:hAnsi="Arial" w:eastAsia="Arial" w:cs="Arial"/>
                <w:b w:val="0"/>
                <w:sz w:val="16"/>
              </w:rPr>
              <w:t>• انتقادات صحية • تكاليف مرتفعة</w:t>
              <w:br/>
              <w:t>• تفاوت تجربة العملاء</w:t>
            </w:r>
          </w:p>
        </w:tc>
      </w:tr>
      <w:tr>
        <w:tc>
          <w:tcPr>
            <w:tcW w:type="dxa" w:w="5328"/>
            <w:shd w:fill="DDF0D8"/>
          </w:tcPr>
          <w:p>
            <w:pPr>
              <w:spacing w:after="0" w:line="240" w:lineRule="auto"/>
              <w:jc w:val="right"/>
              <w:bidi w:val="1"/>
            </w:pPr>
            <w:r>
              <w:rPr>
                <w:rFonts w:ascii="Arial" w:hAnsi="Arial" w:eastAsia="Arial" w:cs="Arial"/>
                <w:b/>
                <w:sz w:val="19"/>
              </w:rPr>
              <w:t>الفرص</w:t>
            </w:r>
          </w:p>
          <w:p>
            <w:pPr>
              <w:spacing w:after="0" w:line="240" w:lineRule="auto"/>
              <w:jc w:val="right"/>
              <w:bidi w:val="1"/>
            </w:pPr>
            <w:r>
              <w:rPr>
                <w:rFonts w:ascii="Arial" w:hAnsi="Arial" w:eastAsia="Arial" w:cs="Arial"/>
                <w:b w:val="0"/>
                <w:sz w:val="16"/>
              </w:rPr>
              <w:t>• أسواق جديدة • منتجات متنوعة</w:t>
              <w:br/>
              <w:t>• طلب رقمي وتوصيل</w:t>
            </w:r>
          </w:p>
        </w:tc>
        <w:tc>
          <w:tcPr>
            <w:tcW w:type="dxa" w:w="5328"/>
            <w:shd w:fill="FFF0C9"/>
          </w:tcPr>
          <w:p>
            <w:pPr>
              <w:spacing w:after="0" w:line="240" w:lineRule="auto"/>
              <w:jc w:val="right"/>
              <w:bidi w:val="1"/>
            </w:pPr>
            <w:r>
              <w:rPr>
                <w:rFonts w:ascii="Arial" w:hAnsi="Arial" w:eastAsia="Arial" w:cs="Arial"/>
                <w:b/>
                <w:sz w:val="19"/>
              </w:rPr>
              <w:t>التهديدات</w:t>
            </w:r>
          </w:p>
          <w:p>
            <w:pPr>
              <w:spacing w:after="0" w:line="240" w:lineRule="auto"/>
              <w:jc w:val="right"/>
              <w:bidi w:val="1"/>
            </w:pPr>
            <w:r>
              <w:rPr>
                <w:rFonts w:ascii="Arial" w:hAnsi="Arial" w:eastAsia="Arial" w:cs="Arial"/>
                <w:b w:val="0"/>
                <w:sz w:val="16"/>
              </w:rPr>
              <w:t>• منافسة • ارتفاع التكاليف</w:t>
              <w:br/>
              <w:t>• أزمات سلامة الغذاء والمقاطعة</w:t>
            </w:r>
          </w:p>
        </w:tc>
      </w:tr>
    </w:tbl>
    <w:p>
      <w:r>
        <w:br w:type="page"/>
      </w:r>
    </w:p>
    <w:p>
      <w:pPr>
        <w:spacing w:after="80" w:before="0" w:line="240" w:lineRule="auto"/>
        <w:jc w:val="center"/>
        <w:bidi w:val="1"/>
      </w:pPr>
      <w:r>
        <w:rPr>
          <w:rFonts w:ascii="Arial" w:hAnsi="Arial" w:eastAsia="Arial" w:cs="Arial"/>
          <w:b/>
          <w:color w:val="BE2323"/>
          <w:sz w:val="30"/>
        </w:rPr>
        <w:t>نجاحات ماكدونالدز والأزمات التي واجهتها</w:t>
      </w:r>
    </w:p>
    <w:p>
      <w:pPr>
        <w:spacing w:after="40" w:before="80" w:line="240" w:lineRule="auto"/>
        <w:jc w:val="right"/>
        <w:bidi w:val="1"/>
      </w:pPr>
      <w:r>
        <w:rPr>
          <w:rFonts w:ascii="Arial" w:hAnsi="Arial" w:eastAsia="Arial" w:cs="Arial"/>
          <w:b/>
          <w:color w:val="B42323"/>
          <w:sz w:val="22"/>
        </w:rPr>
        <w:t>خامسًا: أبرز النجاحات</w:t>
      </w:r>
    </w:p>
    <w:p>
      <w:pPr>
        <w:pStyle w:val="ListNumber"/>
        <w:spacing w:after="20" w:before="0" w:line="240" w:lineRule="auto"/>
        <w:jc w:val="right"/>
        <w:bidi w:val="1"/>
      </w:pPr>
      <w:r>
        <w:rPr>
          <w:rFonts w:ascii="Arial" w:hAnsi="Arial" w:eastAsia="Arial" w:cs="Arial"/>
          <w:b w:val="0"/>
          <w:sz w:val="17"/>
        </w:rPr>
        <w:t>تحويل الشركة إلى واحدة من أشهر العلامات التجارية في قطاع الوجبات السريعة.</w:t>
      </w:r>
    </w:p>
    <w:p>
      <w:pPr>
        <w:pStyle w:val="ListNumber"/>
        <w:spacing w:after="20" w:before="0" w:line="240" w:lineRule="auto"/>
        <w:jc w:val="right"/>
        <w:bidi w:val="1"/>
      </w:pPr>
      <w:r>
        <w:rPr>
          <w:rFonts w:ascii="Arial" w:hAnsi="Arial" w:eastAsia="Arial" w:cs="Arial"/>
          <w:b w:val="0"/>
          <w:sz w:val="17"/>
        </w:rPr>
        <w:t>التوسع عبر الفروع والامتياز التجاري في أسواق متعددة.</w:t>
      </w:r>
    </w:p>
    <w:p>
      <w:pPr>
        <w:pStyle w:val="ListNumber"/>
        <w:spacing w:after="20" w:before="0" w:line="240" w:lineRule="auto"/>
        <w:jc w:val="right"/>
        <w:bidi w:val="1"/>
      </w:pPr>
      <w:r>
        <w:rPr>
          <w:rFonts w:ascii="Arial" w:hAnsi="Arial" w:eastAsia="Arial" w:cs="Arial"/>
          <w:b w:val="0"/>
          <w:sz w:val="17"/>
        </w:rPr>
        <w:t>تطوير الطلب الرقمي وخدمات الاستلام والتوصيل في كثير من الأسواق.</w:t>
      </w:r>
    </w:p>
    <w:p>
      <w:pPr>
        <w:pStyle w:val="ListNumber"/>
        <w:spacing w:after="20" w:before="0" w:line="240" w:lineRule="auto"/>
        <w:jc w:val="right"/>
        <w:bidi w:val="1"/>
      </w:pPr>
      <w:r>
        <w:rPr>
          <w:rFonts w:ascii="Arial" w:hAnsi="Arial" w:eastAsia="Arial" w:cs="Arial"/>
          <w:b w:val="0"/>
          <w:sz w:val="17"/>
        </w:rPr>
        <w:t>استخدام العروض والمنتجات الموسمية للحفاظ على اهتمام العملاء.</w:t>
      </w:r>
    </w:p>
    <w:p>
      <w:pPr>
        <w:spacing w:after="40" w:before="80" w:line="240" w:lineRule="auto"/>
        <w:jc w:val="right"/>
        <w:bidi w:val="1"/>
      </w:pPr>
      <w:r>
        <w:rPr>
          <w:rFonts w:ascii="Arial" w:hAnsi="Arial" w:eastAsia="Arial" w:cs="Arial"/>
          <w:b/>
          <w:color w:val="B42323"/>
          <w:sz w:val="22"/>
        </w:rPr>
        <w:t>سادسًا: أزمة سلامة الغذاء عام 2024</w:t>
      </w:r>
    </w:p>
    <w:p>
      <w:pPr>
        <w:spacing w:after="40" w:before="0" w:line="240" w:lineRule="auto"/>
        <w:jc w:val="right"/>
        <w:bidi w:val="1"/>
      </w:pPr>
      <w:r>
        <w:rPr>
          <w:rFonts w:ascii="Arial" w:hAnsi="Arial" w:eastAsia="Arial" w:cs="Arial"/>
          <w:b w:val="0"/>
          <w:sz w:val="17"/>
        </w:rPr>
        <w:t>واجهت ماكدونالدز أزمة في الولايات المتحدة بعد ارتباط حالات إصابة ببكتيريا E. coli بمنتج Quarter Pounder. وأشارت التحقيقات إلى أن البصل المقطع المستخدم في بعض المطاعم كان المصدر المرجح للتلوث.</w:t>
      </w:r>
    </w:p>
    <w:p>
      <w:pPr>
        <w:spacing w:after="20" w:before="0" w:line="240" w:lineRule="auto"/>
        <w:jc w:val="right"/>
        <w:bidi w:val="1"/>
      </w:pPr>
      <w:r>
        <w:rPr>
          <w:rFonts w:ascii="Arial" w:hAnsi="Arial" w:eastAsia="Arial" w:cs="Arial"/>
          <w:b/>
          <w:color w:val="414141"/>
          <w:sz w:val="18"/>
        </w:rPr>
        <w:t>كيف تعاملت الشركة مع الأزمة؟</w:t>
      </w:r>
    </w:p>
    <w:p>
      <w:pPr>
        <w:pStyle w:val="ListNumber"/>
        <w:spacing w:after="20" w:before="0" w:line="240" w:lineRule="auto"/>
        <w:jc w:val="right"/>
        <w:bidi w:val="1"/>
      </w:pPr>
      <w:r>
        <w:rPr>
          <w:rFonts w:ascii="Arial" w:hAnsi="Arial" w:eastAsia="Arial" w:cs="Arial"/>
          <w:b w:val="0"/>
          <w:sz w:val="17"/>
        </w:rPr>
        <w:t>إزالة البصل المشتبه به من المطاعم المتأثرة.</w:t>
      </w:r>
    </w:p>
    <w:p>
      <w:pPr>
        <w:pStyle w:val="ListNumber"/>
        <w:spacing w:after="20" w:before="0" w:line="240" w:lineRule="auto"/>
        <w:jc w:val="right"/>
        <w:bidi w:val="1"/>
      </w:pPr>
      <w:r>
        <w:rPr>
          <w:rFonts w:ascii="Arial" w:hAnsi="Arial" w:eastAsia="Arial" w:cs="Arial"/>
          <w:b w:val="0"/>
          <w:sz w:val="17"/>
        </w:rPr>
        <w:t>إيقاف تقديم المنتج المعني مؤقتًا في المناطق المتأثرة.</w:t>
      </w:r>
    </w:p>
    <w:p>
      <w:pPr>
        <w:pStyle w:val="ListNumber"/>
        <w:spacing w:after="20" w:before="0" w:line="240" w:lineRule="auto"/>
        <w:jc w:val="right"/>
        <w:bidi w:val="1"/>
      </w:pPr>
      <w:r>
        <w:rPr>
          <w:rFonts w:ascii="Arial" w:hAnsi="Arial" w:eastAsia="Arial" w:cs="Arial"/>
          <w:b w:val="0"/>
          <w:sz w:val="17"/>
        </w:rPr>
        <w:t>التعاون مع الجهات الصحية للتحقيق في مصدر التلوث.</w:t>
      </w:r>
    </w:p>
    <w:p>
      <w:pPr>
        <w:pStyle w:val="ListNumber"/>
        <w:spacing w:after="20" w:before="0" w:line="240" w:lineRule="auto"/>
        <w:jc w:val="right"/>
        <w:bidi w:val="1"/>
      </w:pPr>
      <w:r>
        <w:rPr>
          <w:rFonts w:ascii="Arial" w:hAnsi="Arial" w:eastAsia="Arial" w:cs="Arial"/>
          <w:b w:val="0"/>
          <w:sz w:val="17"/>
        </w:rPr>
        <w:t>تغيير مصدر البصل في المطاعم المتأثرة قبل استئناف تقديم المنتج وفق الإجراءات المعلنة.</w:t>
      </w:r>
    </w:p>
    <w:p>
      <w:pPr>
        <w:spacing w:after="60" w:before="0" w:line="240" w:lineRule="auto"/>
        <w:jc w:val="right"/>
        <w:bidi w:val="1"/>
      </w:pPr>
      <w:r>
        <w:rPr>
          <w:rFonts w:ascii="Arial" w:hAnsi="Arial" w:eastAsia="Arial" w:cs="Arial"/>
          <w:b/>
          <w:color w:val="464646"/>
          <w:sz w:val="17"/>
        </w:rPr>
        <w:t>الدرس التسويقي: سرعة الاستجابة والشفافية والاهتمام بسلامة الغذاء عناصر أساسية لحماية السمعة واستعادة ثقة العملاء.</w:t>
      </w:r>
    </w:p>
    <w:p>
      <w:pPr>
        <w:spacing w:after="40" w:before="80" w:line="240" w:lineRule="auto"/>
        <w:jc w:val="right"/>
        <w:bidi w:val="1"/>
      </w:pPr>
      <w:r>
        <w:rPr>
          <w:rFonts w:ascii="Arial" w:hAnsi="Arial" w:eastAsia="Arial" w:cs="Arial"/>
          <w:b/>
          <w:color w:val="B42323"/>
          <w:sz w:val="22"/>
        </w:rPr>
        <w:t>سابعًا: أزمة الأسعار والقيمة المقدمة</w:t>
      </w:r>
    </w:p>
    <w:p>
      <w:pPr>
        <w:spacing w:after="20" w:before="0" w:line="240" w:lineRule="auto"/>
        <w:jc w:val="right"/>
        <w:bidi w:val="1"/>
      </w:pPr>
      <w:r>
        <w:rPr>
          <w:rFonts w:ascii="Arial" w:hAnsi="Arial" w:eastAsia="Arial" w:cs="Arial"/>
          <w:b w:val="0"/>
          <w:sz w:val="17"/>
        </w:rPr>
        <w:t>مع ارتفاع تكاليف المعيشة، قد يرى بعض العملاء أن أسعار الوجبات مرتفعة مقارنة بالبدائل. وتتعامل الشركة مع هذا التحدي في بعض الأسواق عبر العروض والوجبات الاقتصادية والترويج الرقمي.</w:t>
      </w:r>
    </w:p>
    <w:p>
      <w:pPr>
        <w:spacing w:after="40" w:before="0" w:line="240" w:lineRule="auto"/>
        <w:jc w:val="right"/>
        <w:bidi w:val="1"/>
      </w:pPr>
      <w:r>
        <w:rPr>
          <w:rFonts w:ascii="Arial" w:hAnsi="Arial" w:eastAsia="Arial" w:cs="Arial"/>
          <w:b/>
          <w:color w:val="464646"/>
          <w:sz w:val="17"/>
        </w:rPr>
        <w:t>الدرس التسويقي: يجب تحقيق توازن بين الربحية والسعر الذي يراه العميل مناسبًا، مع الحفاظ على الجودة.</w:t>
      </w:r>
    </w:p>
    <w:p>
      <w:pPr>
        <w:spacing w:after="40" w:before="80" w:line="240" w:lineRule="auto"/>
        <w:jc w:val="right"/>
        <w:bidi w:val="1"/>
      </w:pPr>
      <w:r>
        <w:rPr>
          <w:rFonts w:ascii="Arial" w:hAnsi="Arial" w:eastAsia="Arial" w:cs="Arial"/>
          <w:b/>
          <w:color w:val="B42323"/>
          <w:sz w:val="22"/>
        </w:rPr>
        <w:t>ثامنًا: استراتيجيات مقترحة بناءً على SWOT</w:t>
      </w:r>
    </w:p>
    <w:p>
      <w:pPr>
        <w:pStyle w:val="ListNumber"/>
        <w:spacing w:after="20" w:before="0" w:line="240" w:lineRule="auto"/>
        <w:jc w:val="right"/>
        <w:bidi w:val="1"/>
      </w:pPr>
      <w:r>
        <w:rPr>
          <w:rFonts w:ascii="Arial" w:hAnsi="Arial" w:eastAsia="Arial" w:cs="Arial"/>
          <w:b w:val="0"/>
          <w:sz w:val="17"/>
        </w:rPr>
        <w:t>استخدام قوة العلامة التجارية للتوسع في أسواق جديدة.</w:t>
      </w:r>
    </w:p>
    <w:p>
      <w:pPr>
        <w:pStyle w:val="ListNumber"/>
        <w:spacing w:after="20" w:before="0" w:line="240" w:lineRule="auto"/>
        <w:jc w:val="right"/>
        <w:bidi w:val="1"/>
      </w:pPr>
      <w:r>
        <w:rPr>
          <w:rFonts w:ascii="Arial" w:hAnsi="Arial" w:eastAsia="Arial" w:cs="Arial"/>
          <w:b w:val="0"/>
          <w:sz w:val="17"/>
        </w:rPr>
        <w:t>الاستفادة من التطبيقات وبرامج الولاء لزيادة تكرار الشراء.</w:t>
      </w:r>
    </w:p>
    <w:p>
      <w:pPr>
        <w:pStyle w:val="ListNumber"/>
        <w:spacing w:after="20" w:before="0" w:line="240" w:lineRule="auto"/>
        <w:jc w:val="right"/>
        <w:bidi w:val="1"/>
      </w:pPr>
      <w:r>
        <w:rPr>
          <w:rFonts w:ascii="Arial" w:hAnsi="Arial" w:eastAsia="Arial" w:cs="Arial"/>
          <w:b w:val="0"/>
          <w:sz w:val="17"/>
        </w:rPr>
        <w:t>تطوير خيارات متنوعة وتحسين تجربة العملاء.</w:t>
      </w:r>
    </w:p>
    <w:p>
      <w:pPr>
        <w:pStyle w:val="ListNumber"/>
        <w:spacing w:after="20" w:before="0" w:line="240" w:lineRule="auto"/>
        <w:jc w:val="right"/>
        <w:bidi w:val="1"/>
      </w:pPr>
      <w:r>
        <w:rPr>
          <w:rFonts w:ascii="Arial" w:hAnsi="Arial" w:eastAsia="Arial" w:cs="Arial"/>
          <w:b w:val="0"/>
          <w:sz w:val="17"/>
        </w:rPr>
        <w:t>ضبط التكاليف وتقديم عروض مناسبة لمواجهة المنافسة.</w:t>
      </w:r>
    </w:p>
    <w:p>
      <w:pPr>
        <w:pStyle w:val="ListNumber"/>
        <w:spacing w:after="20" w:before="0" w:line="240" w:lineRule="auto"/>
        <w:jc w:val="right"/>
        <w:bidi w:val="1"/>
      </w:pPr>
      <w:r>
        <w:rPr>
          <w:rFonts w:ascii="Arial" w:hAnsi="Arial" w:eastAsia="Arial" w:cs="Arial"/>
          <w:b w:val="0"/>
          <w:sz w:val="17"/>
        </w:rPr>
        <w:t>تشديد الرقابة على سلامة الغذاء ووضع خطط لإدارة الأزمات.</w:t>
      </w:r>
    </w:p>
    <w:p>
      <w:pPr>
        <w:spacing w:after="40" w:before="80" w:line="240" w:lineRule="auto"/>
        <w:jc w:val="right"/>
        <w:bidi w:val="1"/>
      </w:pPr>
      <w:r>
        <w:rPr>
          <w:rFonts w:ascii="Arial" w:hAnsi="Arial" w:eastAsia="Arial" w:cs="Arial"/>
          <w:b/>
          <w:color w:val="B42323"/>
          <w:sz w:val="22"/>
        </w:rPr>
        <w:t>الخاتمة</w:t>
      </w:r>
    </w:p>
    <w:p>
      <w:pPr>
        <w:spacing w:after="40" w:before="0" w:line="240" w:lineRule="auto"/>
        <w:jc w:val="right"/>
        <w:bidi w:val="1"/>
      </w:pPr>
      <w:r>
        <w:rPr>
          <w:rFonts w:ascii="Arial" w:hAnsi="Arial" w:eastAsia="Arial" w:cs="Arial"/>
          <w:b w:val="0"/>
          <w:sz w:val="17"/>
        </w:rPr>
        <w:t>يوضح تحليل SWOT أن ماكدونالدز تمتلك نقاط قوة مهمة مثل شهرة العلامة التجارية والانتشار العالمي، لكنها تواجه تحديات تتعلق بالمنافسة والتكاليف والصحة وسلامة الغذاء. ويمكنها تعزيز نجاحها من خلال الابتكار، وتحسين تجربة العملاء، وتقديم قيمة مناسبة مقابل السعر، والاستجابة السريعة للأزمات.</w:t>
      </w:r>
    </w:p>
    <w:p>
      <w:pPr>
        <w:spacing w:after="40" w:before="80" w:line="240" w:lineRule="auto"/>
        <w:jc w:val="right"/>
        <w:bidi w:val="1"/>
      </w:pPr>
      <w:r>
        <w:rPr>
          <w:rFonts w:ascii="Arial" w:hAnsi="Arial" w:eastAsia="Arial" w:cs="Arial"/>
          <w:b/>
          <w:color w:val="414141"/>
          <w:sz w:val="20"/>
        </w:rPr>
        <w:t>مصادر مقترحة</w:t>
      </w:r>
    </w:p>
    <w:p>
      <w:pPr>
        <w:spacing w:after="0" w:before="0" w:line="240" w:lineRule="auto"/>
        <w:jc w:val="right"/>
        <w:bidi w:val="1"/>
      </w:pPr>
      <w:r>
        <w:rPr>
          <w:rFonts w:ascii="Arial" w:hAnsi="Arial" w:eastAsia="Arial" w:cs="Arial"/>
          <w:b w:val="0"/>
          <w:sz w:val="15"/>
        </w:rPr>
        <w:t>1. التقارير المالية الرسمية: https://corporate.mcdonalds.com/corpmcd/investors/financial-information.html</w:t>
      </w:r>
    </w:p>
    <w:p>
      <w:pPr>
        <w:spacing w:after="0" w:before="0" w:line="240" w:lineRule="auto"/>
        <w:jc w:val="right"/>
        <w:bidi w:val="1"/>
      </w:pPr>
      <w:r>
        <w:rPr>
          <w:rFonts w:ascii="Arial" w:hAnsi="Arial" w:eastAsia="Arial" w:cs="Arial"/>
          <w:b w:val="0"/>
          <w:sz w:val="15"/>
        </w:rPr>
        <w:t>2. الموقع الرسمي للشركة: https://corporate.mcdonalds.com/</w:t>
      </w:r>
    </w:p>
    <w:p>
      <w:pPr>
        <w:spacing w:after="0" w:before="0" w:line="240" w:lineRule="auto"/>
        <w:jc w:val="right"/>
        <w:bidi w:val="1"/>
      </w:pPr>
      <w:r>
        <w:rPr>
          <w:rFonts w:ascii="Arial" w:hAnsi="Arial" w:eastAsia="Arial" w:cs="Arial"/>
          <w:b w:val="0"/>
          <w:sz w:val="15"/>
        </w:rPr>
        <w:t>3. مراكز السيطرة على الأمراض CDC: https://www.cdc.gov/ecoli/outbreaks/</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40" w:lineRule="auto"/>
    </w:pPr>
    <w:rPr>
      <w:rFonts w:ascii="Arial" w:hAnsi="Arial" w:eastAsia="Arial" w:cs="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40" w:lineRule="auto"/>
      <w:contextualSpacing/>
    </w:pPr>
    <w:rPr>
      <w:rFonts w:ascii="Arial" w:hAnsi="Arial" w:eastAsia="Arial" w:cs="Arial"/>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