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B2A4A"/>
          <w:sz w:val="56"/>
        </w:rPr>
        <w:t>VitalFit Spring Awareness Campaign</w:t>
      </w:r>
    </w:p>
    <w:p>
      <w:pPr>
        <w:jc w:val="center"/>
      </w:pPr>
      <w:r>
        <w:rPr>
          <w:rFonts w:ascii="Calibri" w:hAnsi="Calibri"/>
          <w:color w:val="3A5B9F"/>
          <w:sz w:val="36"/>
        </w:rPr>
        <w:t>Vendor Wrap Report Analysis</w:t>
      </w:r>
    </w:p>
    <w:p>
      <w:pPr>
        <w:jc w:val="center"/>
      </w:pPr>
      <w:r>
        <w:rPr>
          <w:rFonts w:ascii="Calibri" w:hAnsi="Calibri"/>
          <w:color w:val="333333"/>
          <w:sz w:val="24"/>
        </w:rPr>
        <w:t>March 2026 Flight  |  Prepared April 2026</w:t>
      </w:r>
    </w:p>
    <w:p/>
    <w:p>
      <w:pPr>
        <w:jc w:val="center"/>
      </w:pPr>
      <w:r>
        <w:rPr>
          <w:rFonts w:ascii="Calibri" w:hAnsi="Calibri"/>
          <w:color w:val="2C3E6B"/>
          <w:sz w:val="22"/>
        </w:rPr>
        <w:t>Vendors Reviewed: ReachMax Digital  |  TikTok  |  SparkPoint Media</w:t>
      </w:r>
    </w:p>
    <w:p>
      <w:r>
        <w:br w:type="page"/>
      </w:r>
    </w:p>
    <w:p>
      <w:pPr>
        <w:pStyle w:val="Heading1"/>
      </w:pPr>
      <w:r>
        <w:rPr>
          <w:color w:val="1B2A4A"/>
        </w:rPr>
        <w:t>Executive Overview</w:t>
      </w:r>
    </w:p>
    <w:p>
      <w:r>
        <w:rPr>
          <w:rFonts w:ascii="Calibri" w:hAnsi="Calibri"/>
          <w:sz w:val="20"/>
        </w:rPr>
        <w:t>This document reviews the wrap reports submitted by three vendors for the VitalFit Spring Awareness campaign (March 1-31, 2026). Each vendor report is assessed against the original campaign brief and SOW terms. The analysis identifies where vendors genuinely delivered, where they are spinning underperformance as success, and where data is missing or suspect. Total campaign budget across all three vendors was $110,000.</w:t>
      </w:r>
    </w:p>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984"/>
            <w:shd w:fill="1B2A4A" w:val="clear"/>
          </w:tcPr>
          <w:p>
            <w:pPr>
              <w:jc w:val="center"/>
            </w:pPr>
            <w:r/>
            <w:r>
              <w:rPr>
                <w:rFonts w:ascii="Calibri" w:hAnsi="Calibri"/>
                <w:b/>
                <w:color w:val="FFFFFF"/>
                <w:sz w:val="18"/>
              </w:rPr>
              <w:t>Vendor</w:t>
            </w:r>
          </w:p>
        </w:tc>
        <w:tc>
          <w:tcPr>
            <w:tcW w:type="dxa" w:w="1984"/>
            <w:shd w:fill="1B2A4A" w:val="clear"/>
          </w:tcPr>
          <w:p>
            <w:pPr>
              <w:jc w:val="center"/>
            </w:pPr>
            <w:r/>
            <w:r>
              <w:rPr>
                <w:rFonts w:ascii="Calibri" w:hAnsi="Calibri"/>
                <w:b/>
                <w:color w:val="FFFFFF"/>
                <w:sz w:val="18"/>
              </w:rPr>
              <w:t>Channel</w:t>
            </w:r>
          </w:p>
        </w:tc>
        <w:tc>
          <w:tcPr>
            <w:tcW w:type="dxa" w:w="1247"/>
            <w:shd w:fill="1B2A4A" w:val="clear"/>
          </w:tcPr>
          <w:p>
            <w:pPr>
              <w:jc w:val="center"/>
            </w:pPr>
            <w:r/>
            <w:r>
              <w:rPr>
                <w:rFonts w:ascii="Calibri" w:hAnsi="Calibri"/>
                <w:b/>
                <w:color w:val="FFFFFF"/>
                <w:sz w:val="18"/>
              </w:rPr>
              <w:t>Budget</w:t>
            </w:r>
          </w:p>
        </w:tc>
        <w:tc>
          <w:tcPr>
            <w:tcW w:type="dxa" w:w="1247"/>
            <w:shd w:fill="1B2A4A" w:val="clear"/>
          </w:tcPr>
          <w:p>
            <w:pPr>
              <w:jc w:val="center"/>
            </w:pPr>
            <w:r/>
            <w:r>
              <w:rPr>
                <w:rFonts w:ascii="Calibri" w:hAnsi="Calibri"/>
                <w:b/>
                <w:color w:val="FFFFFF"/>
                <w:sz w:val="18"/>
              </w:rPr>
              <w:t>Spend</w:t>
            </w:r>
          </w:p>
        </w:tc>
        <w:tc>
          <w:tcPr>
            <w:tcW w:type="dxa" w:w="1701"/>
            <w:shd w:fill="1B2A4A" w:val="clear"/>
          </w:tcPr>
          <w:p>
            <w:pPr>
              <w:jc w:val="center"/>
            </w:pPr>
            <w:r/>
            <w:r>
              <w:rPr>
                <w:rFonts w:ascii="Calibri" w:hAnsi="Calibri"/>
                <w:b/>
                <w:color w:val="FFFFFF"/>
                <w:sz w:val="18"/>
              </w:rPr>
              <w:t>Variance</w:t>
            </w:r>
          </w:p>
        </w:tc>
        <w:tc>
          <w:tcPr>
            <w:tcW w:type="dxa" w:w="1417"/>
            <w:shd w:fill="1B2A4A" w:val="clear"/>
          </w:tcPr>
          <w:p>
            <w:pPr>
              <w:jc w:val="center"/>
            </w:pPr>
            <w:r/>
            <w:r>
              <w:rPr>
                <w:rFonts w:ascii="Calibri" w:hAnsi="Calibri"/>
                <w:b/>
                <w:color w:val="FFFFFF"/>
                <w:sz w:val="18"/>
              </w:rPr>
              <w:t>Report Timeliness</w:t>
            </w:r>
          </w:p>
        </w:tc>
      </w:tr>
      <w:tr>
        <w:tc>
          <w:tcPr>
            <w:tcW w:type="dxa" w:w="1984"/>
          </w:tcPr>
          <w:p>
            <w:pPr>
              <w:jc w:val="center"/>
            </w:pPr>
            <w:r/>
            <w:r>
              <w:rPr>
                <w:rFonts w:ascii="Calibri" w:hAnsi="Calibri"/>
                <w:color w:val="333333"/>
                <w:sz w:val="18"/>
              </w:rPr>
              <w:t>ReachMax Digital</w:t>
            </w:r>
          </w:p>
        </w:tc>
        <w:tc>
          <w:tcPr>
            <w:tcW w:type="dxa" w:w="1984"/>
          </w:tcPr>
          <w:p>
            <w:pPr>
              <w:jc w:val="center"/>
            </w:pPr>
            <w:r/>
            <w:r>
              <w:rPr>
                <w:rFonts w:ascii="Calibri" w:hAnsi="Calibri"/>
                <w:color w:val="333333"/>
                <w:sz w:val="18"/>
              </w:rPr>
              <w:t>Programmatic Display</w:t>
            </w:r>
          </w:p>
        </w:tc>
        <w:tc>
          <w:tcPr>
            <w:tcW w:type="dxa" w:w="1247"/>
          </w:tcPr>
          <w:p>
            <w:pPr>
              <w:jc w:val="center"/>
            </w:pPr>
            <w:r/>
            <w:r>
              <w:rPr>
                <w:rFonts w:ascii="Calibri" w:hAnsi="Calibri"/>
                <w:color w:val="333333"/>
                <w:sz w:val="18"/>
              </w:rPr>
              <w:t>$25,000</w:t>
            </w:r>
          </w:p>
        </w:tc>
        <w:tc>
          <w:tcPr>
            <w:tcW w:type="dxa" w:w="1247"/>
          </w:tcPr>
          <w:p>
            <w:pPr>
              <w:jc w:val="center"/>
            </w:pPr>
            <w:r/>
            <w:r>
              <w:rPr>
                <w:rFonts w:ascii="Calibri" w:hAnsi="Calibri"/>
                <w:color w:val="333333"/>
                <w:sz w:val="18"/>
              </w:rPr>
              <w:t>$24,800</w:t>
            </w:r>
          </w:p>
        </w:tc>
        <w:tc>
          <w:tcPr>
            <w:tcW w:type="dxa" w:w="1701"/>
          </w:tcPr>
          <w:p>
            <w:pPr>
              <w:jc w:val="center"/>
            </w:pPr>
            <w:r/>
            <w:r>
              <w:rPr>
                <w:rFonts w:ascii="Calibri" w:hAnsi="Calibri"/>
                <w:color w:val="333333"/>
                <w:sz w:val="18"/>
              </w:rPr>
              <w:t>-$200 (under)</w:t>
            </w:r>
          </w:p>
        </w:tc>
        <w:tc>
          <w:tcPr>
            <w:tcW w:type="dxa" w:w="1417"/>
          </w:tcPr>
          <w:p>
            <w:pPr>
              <w:jc w:val="center"/>
            </w:pPr>
            <w:r/>
            <w:r>
              <w:rPr>
                <w:rFonts w:ascii="Calibri" w:hAnsi="Calibri"/>
                <w:b/>
                <w:color w:val="C0392B"/>
                <w:sz w:val="18"/>
              </w:rPr>
              <w:t>2 days late</w:t>
            </w:r>
          </w:p>
        </w:tc>
      </w:tr>
      <w:tr>
        <w:tc>
          <w:tcPr>
            <w:tcW w:type="dxa" w:w="1984"/>
            <w:shd w:fill="EEF2F7" w:val="clear"/>
          </w:tcPr>
          <w:p>
            <w:pPr>
              <w:jc w:val="center"/>
            </w:pPr>
            <w:r/>
            <w:r>
              <w:rPr>
                <w:rFonts w:ascii="Calibri" w:hAnsi="Calibri"/>
                <w:color w:val="333333"/>
                <w:sz w:val="18"/>
              </w:rPr>
              <w:t>TikTok</w:t>
            </w:r>
          </w:p>
        </w:tc>
        <w:tc>
          <w:tcPr>
            <w:tcW w:type="dxa" w:w="1984"/>
            <w:shd w:fill="EEF2F7" w:val="clear"/>
          </w:tcPr>
          <w:p>
            <w:pPr>
              <w:jc w:val="center"/>
            </w:pPr>
            <w:r/>
            <w:r>
              <w:rPr>
                <w:rFonts w:ascii="Calibri" w:hAnsi="Calibri"/>
                <w:color w:val="333333"/>
                <w:sz w:val="18"/>
              </w:rPr>
              <w:t>Creator / Spark Ads</w:t>
            </w:r>
          </w:p>
        </w:tc>
        <w:tc>
          <w:tcPr>
            <w:tcW w:type="dxa" w:w="1247"/>
            <w:shd w:fill="EEF2F7" w:val="clear"/>
          </w:tcPr>
          <w:p>
            <w:pPr>
              <w:jc w:val="center"/>
            </w:pPr>
            <w:r/>
            <w:r>
              <w:rPr>
                <w:rFonts w:ascii="Calibri" w:hAnsi="Calibri"/>
                <w:color w:val="333333"/>
                <w:sz w:val="18"/>
              </w:rPr>
              <w:t>$55,000</w:t>
            </w:r>
          </w:p>
        </w:tc>
        <w:tc>
          <w:tcPr>
            <w:tcW w:type="dxa" w:w="1247"/>
            <w:shd w:fill="EEF2F7" w:val="clear"/>
          </w:tcPr>
          <w:p>
            <w:pPr>
              <w:jc w:val="center"/>
            </w:pPr>
            <w:r/>
            <w:r>
              <w:rPr>
                <w:rFonts w:ascii="Calibri" w:hAnsi="Calibri"/>
                <w:color w:val="333333"/>
                <w:sz w:val="18"/>
              </w:rPr>
              <w:t>$58,870</w:t>
            </w:r>
          </w:p>
        </w:tc>
        <w:tc>
          <w:tcPr>
            <w:tcW w:type="dxa" w:w="1701"/>
            <w:shd w:fill="EEF2F7" w:val="clear"/>
          </w:tcPr>
          <w:p>
            <w:pPr>
              <w:jc w:val="center"/>
            </w:pPr>
            <w:r/>
            <w:r>
              <w:rPr>
                <w:rFonts w:ascii="Calibri" w:hAnsi="Calibri"/>
                <w:b/>
                <w:color w:val="C0392B"/>
                <w:sz w:val="18"/>
              </w:rPr>
              <w:t>+$3,870 (over budget)</w:t>
            </w:r>
          </w:p>
        </w:tc>
        <w:tc>
          <w:tcPr>
            <w:tcW w:type="dxa" w:w="1417"/>
            <w:shd w:fill="EEF2F7" w:val="clear"/>
          </w:tcPr>
          <w:p>
            <w:pPr>
              <w:jc w:val="center"/>
            </w:pPr>
            <w:r/>
            <w:r>
              <w:rPr>
                <w:rFonts w:ascii="Calibri" w:hAnsi="Calibri"/>
                <w:b/>
                <w:color w:val="C0392B"/>
                <w:sz w:val="18"/>
              </w:rPr>
              <w:t>4 days late</w:t>
            </w:r>
          </w:p>
        </w:tc>
      </w:tr>
      <w:tr>
        <w:tc>
          <w:tcPr>
            <w:tcW w:type="dxa" w:w="1984"/>
          </w:tcPr>
          <w:p>
            <w:pPr>
              <w:jc w:val="center"/>
            </w:pPr>
            <w:r/>
            <w:r>
              <w:rPr>
                <w:rFonts w:ascii="Calibri" w:hAnsi="Calibri"/>
                <w:color w:val="333333"/>
                <w:sz w:val="18"/>
              </w:rPr>
              <w:t>SparkPoint Media</w:t>
            </w:r>
          </w:p>
        </w:tc>
        <w:tc>
          <w:tcPr>
            <w:tcW w:type="dxa" w:w="1984"/>
          </w:tcPr>
          <w:p>
            <w:pPr>
              <w:jc w:val="center"/>
            </w:pPr>
            <w:r/>
            <w:r>
              <w:rPr>
                <w:rFonts w:ascii="Calibri" w:hAnsi="Calibri"/>
                <w:color w:val="333333"/>
                <w:sz w:val="18"/>
              </w:rPr>
              <w:t>Connected TV / OTT</w:t>
            </w:r>
          </w:p>
        </w:tc>
        <w:tc>
          <w:tcPr>
            <w:tcW w:type="dxa" w:w="1247"/>
          </w:tcPr>
          <w:p>
            <w:pPr>
              <w:jc w:val="center"/>
            </w:pPr>
            <w:r/>
            <w:r>
              <w:rPr>
                <w:rFonts w:ascii="Calibri" w:hAnsi="Calibri"/>
                <w:color w:val="333333"/>
                <w:sz w:val="18"/>
              </w:rPr>
              <w:t>$30,000</w:t>
            </w:r>
          </w:p>
        </w:tc>
        <w:tc>
          <w:tcPr>
            <w:tcW w:type="dxa" w:w="1247"/>
          </w:tcPr>
          <w:p>
            <w:pPr>
              <w:jc w:val="center"/>
            </w:pPr>
            <w:r/>
            <w:r>
              <w:rPr>
                <w:rFonts w:ascii="Calibri" w:hAnsi="Calibri"/>
                <w:color w:val="333333"/>
                <w:sz w:val="18"/>
              </w:rPr>
              <w:t>$30,200</w:t>
            </w:r>
          </w:p>
        </w:tc>
        <w:tc>
          <w:tcPr>
            <w:tcW w:type="dxa" w:w="1701"/>
          </w:tcPr>
          <w:p>
            <w:pPr>
              <w:jc w:val="center"/>
            </w:pPr>
            <w:r/>
            <w:r>
              <w:rPr>
                <w:rFonts w:ascii="Calibri" w:hAnsi="Calibri"/>
                <w:b/>
                <w:color w:val="1E7D32"/>
                <w:sz w:val="18"/>
              </w:rPr>
              <w:t>+$200 (on target)</w:t>
            </w:r>
          </w:p>
        </w:tc>
        <w:tc>
          <w:tcPr>
            <w:tcW w:type="dxa" w:w="1417"/>
          </w:tcPr>
          <w:p>
            <w:pPr>
              <w:jc w:val="center"/>
            </w:pPr>
            <w:r/>
            <w:r>
              <w:rPr>
                <w:rFonts w:ascii="Calibri" w:hAnsi="Calibri"/>
                <w:b/>
                <w:color w:val="1E7D32"/>
                <w:sz w:val="18"/>
              </w:rPr>
              <w:t>On time</w:t>
            </w:r>
          </w:p>
        </w:tc>
      </w:tr>
    </w:tbl>
    <w:p>
      <w:r>
        <w:br w:type="page"/>
      </w:r>
    </w:p>
    <w:p>
      <w:pPr>
        <w:pStyle w:val="Heading1"/>
      </w:pPr>
      <w:r>
        <w:rPr>
          <w:color w:val="1B2A4A"/>
        </w:rPr>
        <w:t>Vendor 1: ReachMax Digital -- Programmatic Display</w:t>
      </w:r>
    </w:p>
    <w:p>
      <w:pPr>
        <w:pStyle w:val="Heading2"/>
      </w:pPr>
      <w:r>
        <w:rPr>
          <w:color w:val="1B2A4A"/>
        </w:rPr>
        <w:t>Headline Results vs Objectives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984"/>
            <w:shd w:fill="1B2A4A" w:val="clear"/>
          </w:tcPr>
          <w:p>
            <w:pPr>
              <w:jc w:val="center"/>
            </w:pPr>
            <w:r/>
            <w:r>
              <w:rPr>
                <w:rFonts w:ascii="Calibri" w:hAnsi="Calibri"/>
                <w:b/>
                <w:color w:val="FFFFFF"/>
                <w:sz w:val="18"/>
              </w:rPr>
              <w:t>Metric</w:t>
            </w:r>
          </w:p>
        </w:tc>
        <w:tc>
          <w:tcPr>
            <w:tcW w:type="dxa" w:w="1417"/>
            <w:shd w:fill="1B2A4A" w:val="clear"/>
          </w:tcPr>
          <w:p>
            <w:pPr>
              <w:jc w:val="center"/>
            </w:pPr>
            <w:r/>
            <w:r>
              <w:rPr>
                <w:rFonts w:ascii="Calibri" w:hAnsi="Calibri"/>
                <w:b/>
                <w:color w:val="FFFFFF"/>
                <w:sz w:val="18"/>
              </w:rPr>
              <w:t>Target</w:t>
            </w:r>
          </w:p>
        </w:tc>
        <w:tc>
          <w:tcPr>
            <w:tcW w:type="dxa" w:w="1984"/>
            <w:shd w:fill="1B2A4A" w:val="clear"/>
          </w:tcPr>
          <w:p>
            <w:pPr>
              <w:jc w:val="center"/>
            </w:pPr>
            <w:r/>
            <w:r>
              <w:rPr>
                <w:rFonts w:ascii="Calibri" w:hAnsi="Calibri"/>
                <w:b/>
                <w:color w:val="FFFFFF"/>
                <w:sz w:val="18"/>
              </w:rPr>
              <w:t>Delivered</w:t>
            </w:r>
          </w:p>
        </w:tc>
        <w:tc>
          <w:tcPr>
            <w:tcW w:type="dxa" w:w="2551"/>
            <w:shd w:fill="1B2A4A" w:val="clear"/>
          </w:tcPr>
          <w:p>
            <w:pPr>
              <w:jc w:val="center"/>
            </w:pPr>
            <w:r/>
            <w:r>
              <w:rPr>
                <w:rFonts w:ascii="Calibri" w:hAnsi="Calibri"/>
                <w:b/>
                <w:color w:val="FFFFFF"/>
                <w:sz w:val="18"/>
              </w:rPr>
              <w:t>Verdict</w:t>
            </w:r>
          </w:p>
        </w:tc>
      </w:tr>
      <w:tr>
        <w:tc>
          <w:tcPr>
            <w:tcW w:type="dxa" w:w="1984"/>
          </w:tcPr>
          <w:p>
            <w:pPr>
              <w:jc w:val="center"/>
            </w:pPr>
            <w:r/>
            <w:r>
              <w:rPr>
                <w:rFonts w:ascii="Calibri" w:hAnsi="Calibri"/>
                <w:color w:val="333333"/>
                <w:sz w:val="18"/>
              </w:rPr>
              <w:t>Total Impressions</w:t>
            </w:r>
          </w:p>
        </w:tc>
        <w:tc>
          <w:tcPr>
            <w:tcW w:type="dxa" w:w="1417"/>
          </w:tcPr>
          <w:p>
            <w:pPr>
              <w:jc w:val="center"/>
            </w:pPr>
            <w:r/>
            <w:r>
              <w:rPr>
                <w:rFonts w:ascii="Calibri" w:hAnsi="Calibri"/>
                <w:color w:val="333333"/>
                <w:sz w:val="18"/>
              </w:rPr>
              <w:t>3,000,000</w:t>
            </w:r>
          </w:p>
        </w:tc>
        <w:tc>
          <w:tcPr>
            <w:tcW w:type="dxa" w:w="1984"/>
          </w:tcPr>
          <w:p>
            <w:pPr>
              <w:jc w:val="center"/>
            </w:pPr>
            <w:r/>
            <w:r>
              <w:rPr>
                <w:rFonts w:ascii="Calibri" w:hAnsi="Calibri"/>
                <w:color w:val="333333"/>
                <w:sz w:val="18"/>
              </w:rPr>
              <w:t>3,420,000 (114%)</w:t>
            </w:r>
          </w:p>
        </w:tc>
        <w:tc>
          <w:tcPr>
            <w:tcW w:type="dxa" w:w="2551"/>
          </w:tcPr>
          <w:p>
            <w:pPr>
              <w:jc w:val="center"/>
            </w:pPr>
            <w:r/>
            <w:r>
              <w:rPr>
                <w:rFonts w:ascii="Calibri" w:hAnsi="Calibri"/>
                <w:b/>
                <w:color w:val="1E7D32"/>
                <w:sz w:val="18"/>
              </w:rPr>
              <w:t>Beat target</w:t>
            </w:r>
          </w:p>
        </w:tc>
      </w:tr>
      <w:tr>
        <w:tc>
          <w:tcPr>
            <w:tcW w:type="dxa" w:w="1984"/>
            <w:shd w:fill="EEF2F7" w:val="clear"/>
          </w:tcPr>
          <w:p>
            <w:pPr>
              <w:jc w:val="center"/>
            </w:pPr>
            <w:r/>
            <w:r>
              <w:rPr>
                <w:rFonts w:ascii="Calibri" w:hAnsi="Calibri"/>
                <w:color w:val="333333"/>
                <w:sz w:val="18"/>
              </w:rPr>
              <w:t>Viewability</w:t>
            </w:r>
          </w:p>
        </w:tc>
        <w:tc>
          <w:tcPr>
            <w:tcW w:type="dxa" w:w="1417"/>
            <w:shd w:fill="EEF2F7" w:val="clear"/>
          </w:tcPr>
          <w:p>
            <w:pPr>
              <w:jc w:val="center"/>
            </w:pPr>
            <w:r/>
            <w:r>
              <w:rPr>
                <w:rFonts w:ascii="Calibri" w:hAnsi="Calibri"/>
                <w:color w:val="333333"/>
                <w:sz w:val="18"/>
              </w:rPr>
              <w:t>80%+</w:t>
            </w:r>
          </w:p>
        </w:tc>
        <w:tc>
          <w:tcPr>
            <w:tcW w:type="dxa" w:w="1984"/>
            <w:shd w:fill="EEF2F7" w:val="clear"/>
          </w:tcPr>
          <w:p>
            <w:pPr>
              <w:jc w:val="center"/>
            </w:pPr>
            <w:r/>
            <w:r>
              <w:rPr>
                <w:rFonts w:ascii="Calibri" w:hAnsi="Calibri"/>
                <w:color w:val="333333"/>
                <w:sz w:val="18"/>
              </w:rPr>
              <w:t>70%</w:t>
            </w:r>
          </w:p>
        </w:tc>
        <w:tc>
          <w:tcPr>
            <w:tcW w:type="dxa" w:w="2551"/>
            <w:shd w:fill="EEF2F7" w:val="clear"/>
          </w:tcPr>
          <w:p>
            <w:pPr>
              <w:jc w:val="center"/>
            </w:pPr>
            <w:r/>
            <w:r>
              <w:rPr>
                <w:rFonts w:ascii="Calibri" w:hAnsi="Calibri"/>
                <w:b/>
                <w:color w:val="C0392B"/>
                <w:sz w:val="18"/>
              </w:rPr>
              <w:t>MISS -- 10pts below target</w:t>
            </w:r>
          </w:p>
        </w:tc>
      </w:tr>
      <w:tr>
        <w:tc>
          <w:tcPr>
            <w:tcW w:type="dxa" w:w="1984"/>
          </w:tcPr>
          <w:p>
            <w:pPr>
              <w:jc w:val="center"/>
            </w:pPr>
            <w:r/>
            <w:r>
              <w:rPr>
                <w:rFonts w:ascii="Calibri" w:hAnsi="Calibri"/>
                <w:color w:val="333333"/>
                <w:sz w:val="18"/>
              </w:rPr>
              <w:t>Viewable Impressions</w:t>
            </w:r>
          </w:p>
        </w:tc>
        <w:tc>
          <w:tcPr>
            <w:tcW w:type="dxa" w:w="1417"/>
          </w:tcPr>
          <w:p>
            <w:pPr>
              <w:jc w:val="center"/>
            </w:pPr>
            <w:r/>
            <w:r>
              <w:rPr>
                <w:rFonts w:ascii="Calibri" w:hAnsi="Calibri"/>
                <w:color w:val="333333"/>
                <w:sz w:val="18"/>
              </w:rPr>
              <w:t>2,400,000</w:t>
            </w:r>
          </w:p>
        </w:tc>
        <w:tc>
          <w:tcPr>
            <w:tcW w:type="dxa" w:w="1984"/>
          </w:tcPr>
          <w:p>
            <w:pPr>
              <w:jc w:val="center"/>
            </w:pPr>
            <w:r/>
            <w:r>
              <w:rPr>
                <w:rFonts w:ascii="Calibri" w:hAnsi="Calibri"/>
                <w:color w:val="333333"/>
                <w:sz w:val="18"/>
              </w:rPr>
              <w:t>2,394,000 (100%)</w:t>
            </w:r>
          </w:p>
        </w:tc>
        <w:tc>
          <w:tcPr>
            <w:tcW w:type="dxa" w:w="2551"/>
          </w:tcPr>
          <w:p>
            <w:pPr>
              <w:jc w:val="center"/>
            </w:pPr>
            <w:r/>
            <w:r>
              <w:rPr>
                <w:rFonts w:ascii="Calibri" w:hAnsi="Calibri"/>
                <w:b/>
                <w:color w:val="C0392B"/>
                <w:sz w:val="18"/>
              </w:rPr>
              <w:t>Barely met -- inflated by overdelivery</w:t>
            </w:r>
          </w:p>
        </w:tc>
      </w:tr>
      <w:tr>
        <w:tc>
          <w:tcPr>
            <w:tcW w:type="dxa" w:w="1984"/>
            <w:shd w:fill="EEF2F7" w:val="clear"/>
          </w:tcPr>
          <w:p>
            <w:pPr>
              <w:jc w:val="center"/>
            </w:pPr>
            <w:r/>
            <w:r>
              <w:rPr>
                <w:rFonts w:ascii="Calibri" w:hAnsi="Calibri"/>
                <w:color w:val="333333"/>
                <w:sz w:val="18"/>
              </w:rPr>
              <w:t>CTR</w:t>
            </w:r>
          </w:p>
        </w:tc>
        <w:tc>
          <w:tcPr>
            <w:tcW w:type="dxa" w:w="1417"/>
            <w:shd w:fill="EEF2F7" w:val="clear"/>
          </w:tcPr>
          <w:p>
            <w:pPr>
              <w:jc w:val="center"/>
            </w:pPr>
            <w:r/>
            <w:r>
              <w:rPr>
                <w:rFonts w:ascii="Calibri" w:hAnsi="Calibri"/>
                <w:color w:val="333333"/>
                <w:sz w:val="18"/>
              </w:rPr>
              <w:t>0.12%</w:t>
            </w:r>
          </w:p>
        </w:tc>
        <w:tc>
          <w:tcPr>
            <w:tcW w:type="dxa" w:w="1984"/>
            <w:shd w:fill="EEF2F7" w:val="clear"/>
          </w:tcPr>
          <w:p>
            <w:pPr>
              <w:jc w:val="center"/>
            </w:pPr>
            <w:r/>
            <w:r>
              <w:rPr>
                <w:rFonts w:ascii="Calibri" w:hAnsi="Calibri"/>
                <w:color w:val="333333"/>
                <w:sz w:val="18"/>
              </w:rPr>
              <w:t>0.12%</w:t>
            </w:r>
          </w:p>
        </w:tc>
        <w:tc>
          <w:tcPr>
            <w:tcW w:type="dxa" w:w="2551"/>
            <w:shd w:fill="EEF2F7" w:val="clear"/>
          </w:tcPr>
          <w:p>
            <w:pPr>
              <w:jc w:val="center"/>
            </w:pPr>
            <w:r/>
            <w:r>
              <w:rPr>
                <w:rFonts w:ascii="Calibri" w:hAnsi="Calibri"/>
                <w:b/>
                <w:color w:val="1E7D32"/>
                <w:sz w:val="18"/>
              </w:rPr>
              <w:t>On target -- not exceeded</w:t>
            </w:r>
          </w:p>
        </w:tc>
      </w:tr>
      <w:tr>
        <w:tc>
          <w:tcPr>
            <w:tcW w:type="dxa" w:w="1984"/>
          </w:tcPr>
          <w:p>
            <w:pPr>
              <w:jc w:val="center"/>
            </w:pPr>
            <w:r/>
            <w:r>
              <w:rPr>
                <w:rFonts w:ascii="Calibri" w:hAnsi="Calibri"/>
                <w:color w:val="333333"/>
                <w:sz w:val="18"/>
              </w:rPr>
              <w:t>Total Clicks</w:t>
            </w:r>
          </w:p>
        </w:tc>
        <w:tc>
          <w:tcPr>
            <w:tcW w:type="dxa" w:w="1417"/>
          </w:tcPr>
          <w:p>
            <w:pPr>
              <w:jc w:val="center"/>
            </w:pPr>
            <w:r/>
            <w:r>
              <w:rPr>
                <w:rFonts w:ascii="Calibri" w:hAnsi="Calibri"/>
                <w:color w:val="333333"/>
                <w:sz w:val="18"/>
              </w:rPr>
              <w:t>3,600</w:t>
            </w:r>
          </w:p>
        </w:tc>
        <w:tc>
          <w:tcPr>
            <w:tcW w:type="dxa" w:w="1984"/>
          </w:tcPr>
          <w:p>
            <w:pPr>
              <w:jc w:val="center"/>
            </w:pPr>
            <w:r/>
            <w:r>
              <w:rPr>
                <w:rFonts w:ascii="Calibri" w:hAnsi="Calibri"/>
                <w:color w:val="333333"/>
                <w:sz w:val="18"/>
              </w:rPr>
              <w:t>4,104 (114%)</w:t>
            </w:r>
          </w:p>
        </w:tc>
        <w:tc>
          <w:tcPr>
            <w:tcW w:type="dxa" w:w="2551"/>
          </w:tcPr>
          <w:p>
            <w:pPr>
              <w:jc w:val="center"/>
            </w:pPr>
            <w:r/>
            <w:r>
              <w:rPr>
                <w:rFonts w:ascii="Calibri" w:hAnsi="Calibri"/>
                <w:b/>
                <w:color w:val="1E7D32"/>
                <w:sz w:val="18"/>
              </w:rPr>
              <w:t>Beat -- driven by impression volume</w:t>
            </w:r>
          </w:p>
        </w:tc>
      </w:tr>
      <w:tr>
        <w:tc>
          <w:tcPr>
            <w:tcW w:type="dxa" w:w="1984"/>
            <w:shd w:fill="EEF2F7" w:val="clear"/>
          </w:tcPr>
          <w:p>
            <w:pPr>
              <w:jc w:val="center"/>
            </w:pPr>
            <w:r/>
            <w:r>
              <w:rPr>
                <w:rFonts w:ascii="Calibri" w:hAnsi="Calibri"/>
                <w:color w:val="333333"/>
                <w:sz w:val="18"/>
              </w:rPr>
              <w:t>CPM (Total)</w:t>
            </w:r>
          </w:p>
        </w:tc>
        <w:tc>
          <w:tcPr>
            <w:tcW w:type="dxa" w:w="1417"/>
            <w:shd w:fill="EEF2F7" w:val="clear"/>
          </w:tcPr>
          <w:p>
            <w:pPr>
              <w:jc w:val="center"/>
            </w:pPr>
            <w:r/>
            <w:r>
              <w:rPr>
                <w:rFonts w:ascii="Calibri" w:hAnsi="Calibri"/>
                <w:color w:val="333333"/>
                <w:sz w:val="18"/>
              </w:rPr>
              <w:t>$8.33</w:t>
            </w:r>
          </w:p>
        </w:tc>
        <w:tc>
          <w:tcPr>
            <w:tcW w:type="dxa" w:w="1984"/>
            <w:shd w:fill="EEF2F7" w:val="clear"/>
          </w:tcPr>
          <w:p>
            <w:pPr>
              <w:jc w:val="center"/>
            </w:pPr>
            <w:r/>
            <w:r>
              <w:rPr>
                <w:rFonts w:ascii="Calibri" w:hAnsi="Calibri"/>
                <w:color w:val="333333"/>
                <w:sz w:val="18"/>
              </w:rPr>
              <w:t>$7.25</w:t>
            </w:r>
          </w:p>
        </w:tc>
        <w:tc>
          <w:tcPr>
            <w:tcW w:type="dxa" w:w="2551"/>
            <w:shd w:fill="EEF2F7" w:val="clear"/>
          </w:tcPr>
          <w:p>
            <w:pPr>
              <w:jc w:val="center"/>
            </w:pPr>
            <w:r/>
            <w:r>
              <w:rPr>
                <w:rFonts w:ascii="Calibri" w:hAnsi="Calibri"/>
                <w:b/>
                <w:color w:val="1E7D32"/>
                <w:sz w:val="18"/>
              </w:rPr>
              <w:t>Beat target</w:t>
            </w:r>
          </w:p>
        </w:tc>
      </w:tr>
      <w:tr>
        <w:tc>
          <w:tcPr>
            <w:tcW w:type="dxa" w:w="1984"/>
          </w:tcPr>
          <w:p>
            <w:pPr>
              <w:jc w:val="center"/>
            </w:pPr>
            <w:r/>
            <w:r>
              <w:rPr>
                <w:rFonts w:ascii="Calibri" w:hAnsi="Calibri"/>
                <w:color w:val="333333"/>
                <w:sz w:val="18"/>
              </w:rPr>
              <w:t>CPM (Viewable)</w:t>
            </w:r>
          </w:p>
        </w:tc>
        <w:tc>
          <w:tcPr>
            <w:tcW w:type="dxa" w:w="1417"/>
          </w:tcPr>
          <w:p>
            <w:pPr>
              <w:jc w:val="center"/>
            </w:pPr>
            <w:r/>
            <w:r>
              <w:rPr>
                <w:rFonts w:ascii="Calibri" w:hAnsi="Calibri"/>
                <w:color w:val="333333"/>
                <w:sz w:val="18"/>
              </w:rPr>
              <w:t>N/A</w:t>
            </w:r>
          </w:p>
        </w:tc>
        <w:tc>
          <w:tcPr>
            <w:tcW w:type="dxa" w:w="1984"/>
          </w:tcPr>
          <w:p>
            <w:pPr>
              <w:jc w:val="center"/>
            </w:pPr>
            <w:r/>
            <w:r>
              <w:rPr>
                <w:rFonts w:ascii="Calibri" w:hAnsi="Calibri"/>
                <w:color w:val="333333"/>
                <w:sz w:val="18"/>
              </w:rPr>
              <w:t>$10.36</w:t>
            </w:r>
          </w:p>
        </w:tc>
        <w:tc>
          <w:tcPr>
            <w:tcW w:type="dxa" w:w="2551"/>
          </w:tcPr>
          <w:p>
            <w:pPr>
              <w:jc w:val="center"/>
            </w:pPr>
            <w:r/>
            <w:r>
              <w:rPr>
                <w:rFonts w:ascii="Calibri" w:hAnsi="Calibri"/>
                <w:color w:val="333333"/>
                <w:sz w:val="18"/>
              </w:rPr>
              <w:t>True cost 43% higher than headline CPM</w:t>
            </w:r>
          </w:p>
        </w:tc>
      </w:tr>
      <w:tr>
        <w:tc>
          <w:tcPr>
            <w:tcW w:type="dxa" w:w="1984"/>
            <w:shd w:fill="EEF2F7" w:val="clear"/>
          </w:tcPr>
          <w:p>
            <w:pPr>
              <w:jc w:val="center"/>
            </w:pPr>
            <w:r/>
            <w:r>
              <w:rPr>
                <w:rFonts w:ascii="Calibri" w:hAnsi="Calibri"/>
                <w:color w:val="333333"/>
                <w:sz w:val="18"/>
              </w:rPr>
              <w:t>Ontario Geo</w:t>
            </w:r>
          </w:p>
        </w:tc>
        <w:tc>
          <w:tcPr>
            <w:tcW w:type="dxa" w:w="1417"/>
            <w:shd w:fill="EEF2F7" w:val="clear"/>
          </w:tcPr>
          <w:p>
            <w:pPr>
              <w:jc w:val="center"/>
            </w:pPr>
            <w:r/>
            <w:r>
              <w:rPr>
                <w:rFonts w:ascii="Calibri" w:hAnsi="Calibri"/>
                <w:color w:val="333333"/>
                <w:sz w:val="18"/>
              </w:rPr>
              <w:t>40%</w:t>
            </w:r>
          </w:p>
        </w:tc>
        <w:tc>
          <w:tcPr>
            <w:tcW w:type="dxa" w:w="1984"/>
            <w:shd w:fill="EEF2F7" w:val="clear"/>
          </w:tcPr>
          <w:p>
            <w:pPr>
              <w:jc w:val="center"/>
            </w:pPr>
            <w:r/>
            <w:r>
              <w:rPr>
                <w:rFonts w:ascii="Calibri" w:hAnsi="Calibri"/>
                <w:color w:val="333333"/>
                <w:sz w:val="18"/>
              </w:rPr>
              <w:t>38%</w:t>
            </w:r>
          </w:p>
        </w:tc>
        <w:tc>
          <w:tcPr>
            <w:tcW w:type="dxa" w:w="2551"/>
            <w:shd w:fill="EEF2F7" w:val="clear"/>
          </w:tcPr>
          <w:p>
            <w:pPr>
              <w:jc w:val="center"/>
            </w:pPr>
            <w:r/>
            <w:r>
              <w:rPr>
                <w:rFonts w:ascii="Calibri" w:hAnsi="Calibri"/>
                <w:b/>
                <w:color w:val="C0392B"/>
                <w:sz w:val="18"/>
              </w:rPr>
              <w:t>Slight miss</w:t>
            </w:r>
          </w:p>
        </w:tc>
      </w:tr>
      <w:tr>
        <w:tc>
          <w:tcPr>
            <w:tcW w:type="dxa" w:w="1984"/>
          </w:tcPr>
          <w:p>
            <w:pPr>
              <w:jc w:val="center"/>
            </w:pPr>
            <w:r/>
            <w:r>
              <w:rPr>
                <w:rFonts w:ascii="Calibri" w:hAnsi="Calibri"/>
                <w:color w:val="333333"/>
                <w:sz w:val="18"/>
              </w:rPr>
              <w:t>Quebec Geo</w:t>
            </w:r>
          </w:p>
        </w:tc>
        <w:tc>
          <w:tcPr>
            <w:tcW w:type="dxa" w:w="1417"/>
          </w:tcPr>
          <w:p>
            <w:pPr>
              <w:jc w:val="center"/>
            </w:pPr>
            <w:r/>
            <w:r>
              <w:rPr>
                <w:rFonts w:ascii="Calibri" w:hAnsi="Calibri"/>
                <w:color w:val="333333"/>
                <w:sz w:val="18"/>
              </w:rPr>
              <w:t>25%</w:t>
            </w:r>
          </w:p>
        </w:tc>
        <w:tc>
          <w:tcPr>
            <w:tcW w:type="dxa" w:w="1984"/>
          </w:tcPr>
          <w:p>
            <w:pPr>
              <w:jc w:val="center"/>
            </w:pPr>
            <w:r/>
            <w:r>
              <w:rPr>
                <w:rFonts w:ascii="Calibri" w:hAnsi="Calibri"/>
                <w:color w:val="333333"/>
                <w:sz w:val="18"/>
              </w:rPr>
              <w:t>18%</w:t>
            </w:r>
          </w:p>
        </w:tc>
        <w:tc>
          <w:tcPr>
            <w:tcW w:type="dxa" w:w="2551"/>
          </w:tcPr>
          <w:p>
            <w:pPr>
              <w:jc w:val="center"/>
            </w:pPr>
            <w:r/>
            <w:r>
              <w:rPr>
                <w:rFonts w:ascii="Calibri" w:hAnsi="Calibri"/>
                <w:b/>
                <w:color w:val="C0392B"/>
                <w:sz w:val="18"/>
              </w:rPr>
              <w:t>MISS -- significant, 7pts below</w:t>
            </w:r>
          </w:p>
        </w:tc>
      </w:tr>
      <w:tr>
        <w:tc>
          <w:tcPr>
            <w:tcW w:type="dxa" w:w="1984"/>
            <w:shd w:fill="EEF2F7" w:val="clear"/>
          </w:tcPr>
          <w:p>
            <w:pPr>
              <w:jc w:val="center"/>
            </w:pPr>
            <w:r/>
            <w:r>
              <w:rPr>
                <w:rFonts w:ascii="Calibri" w:hAnsi="Calibri"/>
                <w:color w:val="333333"/>
                <w:sz w:val="18"/>
              </w:rPr>
              <w:t>Brand Lift Study</w:t>
            </w:r>
          </w:p>
        </w:tc>
        <w:tc>
          <w:tcPr>
            <w:tcW w:type="dxa" w:w="1417"/>
            <w:shd w:fill="EEF2F7" w:val="clear"/>
          </w:tcPr>
          <w:p>
            <w:pPr>
              <w:jc w:val="center"/>
            </w:pPr>
            <w:r/>
            <w:r>
              <w:rPr>
                <w:rFonts w:ascii="Calibri" w:hAnsi="Calibri"/>
                <w:color w:val="333333"/>
                <w:sz w:val="18"/>
              </w:rPr>
              <w:t>Primary KPI</w:t>
            </w:r>
          </w:p>
        </w:tc>
        <w:tc>
          <w:tcPr>
            <w:tcW w:type="dxa" w:w="1984"/>
            <w:shd w:fill="EEF2F7" w:val="clear"/>
          </w:tcPr>
          <w:p>
            <w:pPr>
              <w:jc w:val="center"/>
            </w:pPr>
            <w:r/>
            <w:r>
              <w:rPr>
                <w:rFonts w:ascii="Calibri" w:hAnsi="Calibri"/>
                <w:b/>
                <w:color w:val="C0392B"/>
                <w:sz w:val="18"/>
              </w:rPr>
              <w:t>Pending (delayed)</w:t>
            </w:r>
          </w:p>
        </w:tc>
        <w:tc>
          <w:tcPr>
            <w:tcW w:type="dxa" w:w="2551"/>
            <w:shd w:fill="EEF2F7" w:val="clear"/>
          </w:tcPr>
          <w:p>
            <w:pPr>
              <w:jc w:val="center"/>
            </w:pPr>
            <w:r/>
            <w:r>
              <w:rPr>
                <w:rFonts w:ascii="Calibri" w:hAnsi="Calibri"/>
                <w:b/>
                <w:color w:val="C0392B"/>
                <w:sz w:val="18"/>
              </w:rPr>
              <w:t>FAIL -- no data delivered</w:t>
            </w:r>
          </w:p>
        </w:tc>
      </w:tr>
      <w:tr>
        <w:tc>
          <w:tcPr>
            <w:tcW w:type="dxa" w:w="1984"/>
          </w:tcPr>
          <w:p>
            <w:pPr>
              <w:jc w:val="center"/>
            </w:pPr>
            <w:r/>
            <w:r>
              <w:rPr>
                <w:rFonts w:ascii="Calibri" w:hAnsi="Calibri"/>
                <w:color w:val="333333"/>
                <w:sz w:val="18"/>
              </w:rPr>
              <w:t>Report Delivery</w:t>
            </w:r>
          </w:p>
        </w:tc>
        <w:tc>
          <w:tcPr>
            <w:tcW w:type="dxa" w:w="1417"/>
          </w:tcPr>
          <w:p>
            <w:pPr>
              <w:jc w:val="center"/>
            </w:pPr>
            <w:r/>
            <w:r>
              <w:rPr>
                <w:rFonts w:ascii="Calibri" w:hAnsi="Calibri"/>
                <w:color w:val="333333"/>
                <w:sz w:val="18"/>
              </w:rPr>
              <w:t>10 biz days</w:t>
            </w:r>
          </w:p>
        </w:tc>
        <w:tc>
          <w:tcPr>
            <w:tcW w:type="dxa" w:w="1984"/>
          </w:tcPr>
          <w:p>
            <w:pPr>
              <w:jc w:val="center"/>
            </w:pPr>
            <w:r/>
            <w:r>
              <w:rPr>
                <w:rFonts w:ascii="Calibri" w:hAnsi="Calibri"/>
                <w:color w:val="333333"/>
                <w:sz w:val="18"/>
              </w:rPr>
              <w:t>12 biz days</w:t>
            </w:r>
          </w:p>
        </w:tc>
        <w:tc>
          <w:tcPr>
            <w:tcW w:type="dxa" w:w="2551"/>
          </w:tcPr>
          <w:p>
            <w:pPr>
              <w:jc w:val="center"/>
            </w:pPr>
            <w:r/>
            <w:r>
              <w:rPr>
                <w:rFonts w:ascii="Calibri" w:hAnsi="Calibri"/>
                <w:b/>
                <w:color w:val="C0392B"/>
                <w:sz w:val="18"/>
              </w:rPr>
              <w:t>Late -- 2 days past SOW terms</w:t>
            </w:r>
          </w:p>
        </w:tc>
      </w:tr>
    </w:tbl>
    <w:p/>
    <w:p>
      <w:pPr>
        <w:pStyle w:val="Heading2"/>
      </w:pPr>
      <w:r>
        <w:rPr>
          <w:color w:val="1B2A4A"/>
        </w:rPr>
        <w:t>Vendor Spin Detection</w:t>
      </w:r>
    </w:p>
    <w:p>
      <w:pPr>
        <w:pStyle w:val="ListBullet"/>
      </w:pPr>
      <w:r>
        <w:rPr>
          <w:rFonts w:ascii="Calibri" w:hAnsi="Calibri"/>
          <w:b/>
          <w:color w:val="C0392B"/>
          <w:sz w:val="20"/>
        </w:rPr>
        <w:t>SPIN:</w:t>
      </w:r>
      <w:r>
        <w:rPr>
          <w:rFonts w:ascii="Calibri" w:hAnsi="Calibri"/>
          <w:color w:val="333333"/>
          <w:sz w:val="20"/>
        </w:rPr>
        <w:t xml:space="preserve"> "Over-delivered on impressions by 14%" -- True on raw impressions, but viewability was only 70% vs 80% target. The overdelivery was achieved by buying cheaper, low-viewability inventory. Viewable impressions (the actual primary KPI) barely reached 100% of target. The vendor is celebrating a vanity metric to distract from the real underperformance.</w:t>
      </w:r>
    </w:p>
    <w:p>
      <w:pPr>
        <w:pStyle w:val="ListBullet"/>
      </w:pPr>
      <w:r>
        <w:rPr>
          <w:rFonts w:ascii="Calibri" w:hAnsi="Calibri"/>
          <w:b/>
          <w:color w:val="C0392B"/>
          <w:sz w:val="20"/>
        </w:rPr>
        <w:t>SPIN:</w:t>
      </w:r>
      <w:r>
        <w:rPr>
          <w:rFonts w:ascii="Calibri" w:hAnsi="Calibri"/>
          <w:color w:val="333333"/>
          <w:sz w:val="20"/>
        </w:rPr>
        <w:t xml:space="preserve"> "CPM efficiency beat target by 13%" -- Headline CPM of $7.25 looks great, but viewable CPM is $10.36. They bought cheap inventory that humans did not actually see. The real cost per viewable impression is 43% higher than the headline figure they are promoting.</w:t>
      </w:r>
    </w:p>
    <w:p>
      <w:pPr>
        <w:pStyle w:val="ListBullet"/>
      </w:pPr>
      <w:r>
        <w:rPr>
          <w:rFonts w:ascii="Calibri" w:hAnsi="Calibri"/>
          <w:b/>
          <w:color w:val="C0392B"/>
          <w:sz w:val="20"/>
        </w:rPr>
        <w:t>SPIN:</w:t>
      </w:r>
      <w:r>
        <w:rPr>
          <w:rFonts w:ascii="Calibri" w:hAnsi="Calibri"/>
          <w:color w:val="333333"/>
          <w:sz w:val="20"/>
        </w:rPr>
        <w:t xml:space="preserve"> "Strong engagement with fitness-oriented audiences" -- CTR was exactly 0.12%, matching the benchmark but not exceeding it. This is par, not strong. One subsegment (Health &amp; Fitness Enthusiasts) hit 0.18% but overall performance was average.</w:t>
      </w:r>
    </w:p>
    <w:p>
      <w:pPr>
        <w:pStyle w:val="ListBullet"/>
      </w:pPr>
      <w:r>
        <w:rPr>
          <w:rFonts w:ascii="Calibri" w:hAnsi="Calibri"/>
          <w:b/>
          <w:color w:val="C0392B"/>
          <w:sz w:val="20"/>
        </w:rPr>
        <w:t>SPIN:</w:t>
      </w:r>
      <w:r>
        <w:rPr>
          <w:rFonts w:ascii="Calibri" w:hAnsi="Calibri"/>
          <w:color w:val="333333"/>
          <w:sz w:val="20"/>
        </w:rPr>
        <w:t xml:space="preserve"> Geographic shortfall buried in a table -- Quebec delivered 18% vs 25% target, a 28% shortfall. The report makes no mention of this miss in the executive summary or key wins. Ontario also slightly underdelivered at 38% vs 40%.</w:t>
      </w:r>
    </w:p>
    <w:p/>
    <w:p>
      <w:pPr>
        <w:pStyle w:val="Heading2"/>
      </w:pPr>
      <w:r>
        <w:rPr>
          <w:color w:val="1B2A4A"/>
        </w:rPr>
        <w:t>Genuine Wins</w:t>
      </w:r>
    </w:p>
    <w:p>
      <w:pPr>
        <w:pStyle w:val="ListBullet"/>
      </w:pPr>
      <w:r>
        <w:rPr>
          <w:rFonts w:ascii="Calibri" w:hAnsi="Calibri"/>
          <w:color w:val="1E7D32"/>
          <w:sz w:val="20"/>
        </w:rPr>
        <w:t>Came in under budget ($24,800 vs $25,000) -- no overspend.</w:t>
      </w:r>
    </w:p>
    <w:p>
      <w:pPr>
        <w:pStyle w:val="ListBullet"/>
      </w:pPr>
      <w:r>
        <w:rPr>
          <w:rFonts w:ascii="Calibri" w:hAnsi="Calibri"/>
          <w:color w:val="1E7D32"/>
          <w:sz w:val="20"/>
        </w:rPr>
        <w:t>Health &amp; Fitness Enthusiasts segment at 0.18% CTR -- 50% above benchmark. Worth retargeting.</w:t>
      </w:r>
    </w:p>
    <w:p>
      <w:pPr>
        <w:pStyle w:val="ListBullet"/>
      </w:pPr>
      <w:r>
        <w:rPr>
          <w:rFonts w:ascii="Calibri" w:hAnsi="Calibri"/>
          <w:color w:val="1E7D32"/>
          <w:sz w:val="20"/>
        </w:rPr>
        <w:t>68% of impressions reached core demo (Adults 25-44) -- reasonable audience alignment.</w:t>
      </w:r>
    </w:p>
    <w:p>
      <w:pPr>
        <w:pStyle w:val="ListBullet"/>
      </w:pPr>
      <w:r>
        <w:rPr>
          <w:rFonts w:ascii="Calibri" w:hAnsi="Calibri"/>
          <w:color w:val="1E7D32"/>
          <w:sz w:val="20"/>
        </w:rPr>
        <w:t>Weekly pacing reports delivered on schedule throughout the flight.</w:t>
      </w:r>
    </w:p>
    <w:p/>
    <w:p>
      <w:pPr>
        <w:pStyle w:val="Heading2"/>
      </w:pPr>
      <w:r>
        <w:rPr>
          <w:color w:val="1B2A4A"/>
        </w:rPr>
        <w:t>Red Flags</w:t>
      </w:r>
    </w:p>
    <w:p>
      <w:pPr>
        <w:pStyle w:val="ListBullet"/>
      </w:pPr>
      <w:r>
        <w:rPr>
          <w:rFonts w:ascii="Calibri" w:hAnsi="Calibri"/>
          <w:b/>
          <w:color w:val="C0392B"/>
          <w:sz w:val="20"/>
        </w:rPr>
        <w:t xml:space="preserve">CRITICAL: </w:t>
      </w:r>
      <w:r>
        <w:rPr>
          <w:rFonts w:ascii="Calibri" w:hAnsi="Calibri"/>
          <w:color w:val="333333"/>
          <w:sz w:val="20"/>
        </w:rPr>
        <w:t xml:space="preserve"> Brand lift study "pending" -- this is a PRIMARY KPI per the SOW. Campaign ended March 31, report delivered April 14, and the lift study still has no results. The survey partner being "delayed" is the vendor's responsibility to manage. No data = the most important KPI cannot be evaluated.</w:t>
      </w:r>
    </w:p>
    <w:p>
      <w:pPr>
        <w:pStyle w:val="ListBullet"/>
      </w:pPr>
      <w:r>
        <w:rPr>
          <w:rFonts w:ascii="Calibri" w:hAnsi="Calibri"/>
          <w:b/>
          <w:color w:val="C0392B"/>
          <w:sz w:val="20"/>
        </w:rPr>
        <w:t xml:space="preserve">UNVERIFIED: </w:t>
      </w:r>
      <w:r>
        <w:rPr>
          <w:rFonts w:ascii="Calibri" w:hAnsi="Calibri"/>
          <w:color w:val="333333"/>
          <w:sz w:val="20"/>
        </w:rPr>
        <w:t xml:space="preserve"> "Zero brand safety violations" claim has no supporting methodology. No third-party verification report attached. No list of excluded domains or categories. This is an unsubstantiated claim.</w:t>
      </w:r>
    </w:p>
    <w:p>
      <w:pPr>
        <w:pStyle w:val="ListBullet"/>
      </w:pPr>
      <w:r>
        <w:rPr>
          <w:rFonts w:ascii="Calibri" w:hAnsi="Calibri"/>
          <w:b/>
          <w:color w:val="E67E22"/>
          <w:sz w:val="20"/>
        </w:rPr>
        <w:t xml:space="preserve">LATE: </w:t>
      </w:r>
      <w:r>
        <w:rPr>
          <w:rFonts w:ascii="Calibri" w:hAnsi="Calibri"/>
          <w:color w:val="333333"/>
          <w:sz w:val="20"/>
        </w:rPr>
        <w:t xml:space="preserve"> Report delivered 2 days late per SOW terms (12 business days vs 10). Not flagged or acknowledged by the vendor.</w:t>
      </w:r>
    </w:p>
    <w:p>
      <w:pPr>
        <w:pStyle w:val="ListBullet"/>
      </w:pPr>
      <w:r>
        <w:rPr>
          <w:rFonts w:ascii="Calibri" w:hAnsi="Calibri"/>
          <w:b/>
          <w:color w:val="E67E22"/>
          <w:sz w:val="20"/>
        </w:rPr>
        <w:t xml:space="preserve">MISSING DATA: </w:t>
      </w:r>
      <w:r>
        <w:rPr>
          <w:rFonts w:ascii="Calibri" w:hAnsi="Calibri"/>
          <w:color w:val="333333"/>
          <w:sz w:val="20"/>
        </w:rPr>
        <w:t xml:space="preserve"> Placement-level data "not included in this summary" -- 42 rows referenced but not shared. This data is needed to verify brand safety and viewability claims.</w:t>
      </w:r>
    </w:p>
    <w:p/>
    <w:p>
      <w:pPr>
        <w:pStyle w:val="Heading2"/>
      </w:pPr>
      <w:r>
        <w:rPr>
          <w:color w:val="1B2A4A"/>
        </w:rPr>
        <w:t>Key Takeaways for Campaign Deck</w:t>
      </w:r>
    </w:p>
    <w:p>
      <w:pPr>
        <w:pStyle w:val="ListBullet"/>
      </w:pPr>
      <w:r>
        <w:rPr>
          <w:rFonts w:ascii="Calibri" w:hAnsi="Calibri"/>
          <w:color w:val="333333"/>
          <w:sz w:val="20"/>
        </w:rPr>
        <w:t>Programmatic display delivered volume but not quality. Viewability miss means ~600K impressions were served but never actually seen by a human.</w:t>
      </w:r>
    </w:p>
    <w:p>
      <w:pPr>
        <w:pStyle w:val="ListBullet"/>
      </w:pPr>
      <w:r>
        <w:rPr>
          <w:rFonts w:ascii="Calibri" w:hAnsi="Calibri"/>
          <w:color w:val="333333"/>
          <w:sz w:val="20"/>
        </w:rPr>
        <w:t>Brand lift data -- the primary reason this channel was in the plan -- is not available. Cannot assess awareness impact.</w:t>
      </w:r>
    </w:p>
    <w:p>
      <w:pPr>
        <w:pStyle w:val="ListBullet"/>
      </w:pPr>
      <w:r>
        <w:rPr>
          <w:rFonts w:ascii="Calibri" w:hAnsi="Calibri"/>
          <w:color w:val="333333"/>
          <w:sz w:val="20"/>
        </w:rPr>
        <w:t>Quebec underdelivery (18% vs 25%) is a pattern that may repeat across vendors. Investigate French-language inventory availability.</w:t>
      </w:r>
    </w:p>
    <w:p>
      <w:pPr>
        <w:pStyle w:val="ListBullet"/>
      </w:pPr>
      <w:r>
        <w:rPr>
          <w:rFonts w:ascii="Calibri" w:hAnsi="Calibri"/>
          <w:color w:val="333333"/>
          <w:sz w:val="20"/>
        </w:rPr>
        <w:t>For Q2: require viewable CPM as the primary efficiency metric in the SOW, not total CPM. Add contractual penalties for late reporting and missing KPI data.</w:t>
      </w:r>
    </w:p>
    <w:p>
      <w:r>
        <w:br w:type="page"/>
      </w:r>
    </w:p>
    <w:p>
      <w:pPr>
        <w:pStyle w:val="Heading1"/>
      </w:pPr>
      <w:r>
        <w:rPr>
          <w:color w:val="1B2A4A"/>
        </w:rPr>
        <w:t>Vendor 2: TikTok -- Creator / Spark Ads</w:t>
      </w:r>
    </w:p>
    <w:p>
      <w:pPr>
        <w:pStyle w:val="Heading2"/>
      </w:pPr>
      <w:r>
        <w:rPr>
          <w:color w:val="1B2A4A"/>
        </w:rPr>
        <w:t>Headline Results vs Objectives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984"/>
            <w:shd w:fill="1B2A4A" w:val="clear"/>
          </w:tcPr>
          <w:p>
            <w:pPr>
              <w:jc w:val="center"/>
            </w:pPr>
            <w:r/>
            <w:r>
              <w:rPr>
                <w:rFonts w:ascii="Calibri" w:hAnsi="Calibri"/>
                <w:b/>
                <w:color w:val="FFFFFF"/>
                <w:sz w:val="18"/>
              </w:rPr>
              <w:t>Metric</w:t>
            </w:r>
          </w:p>
        </w:tc>
        <w:tc>
          <w:tcPr>
            <w:tcW w:type="dxa" w:w="1417"/>
            <w:shd w:fill="1B2A4A" w:val="clear"/>
          </w:tcPr>
          <w:p>
            <w:pPr>
              <w:jc w:val="center"/>
            </w:pPr>
            <w:r/>
            <w:r>
              <w:rPr>
                <w:rFonts w:ascii="Calibri" w:hAnsi="Calibri"/>
                <w:b/>
                <w:color w:val="FFFFFF"/>
                <w:sz w:val="18"/>
              </w:rPr>
              <w:t>Target</w:t>
            </w:r>
          </w:p>
        </w:tc>
        <w:tc>
          <w:tcPr>
            <w:tcW w:type="dxa" w:w="1984"/>
            <w:shd w:fill="1B2A4A" w:val="clear"/>
          </w:tcPr>
          <w:p>
            <w:pPr>
              <w:jc w:val="center"/>
            </w:pPr>
            <w:r/>
            <w:r>
              <w:rPr>
                <w:rFonts w:ascii="Calibri" w:hAnsi="Calibri"/>
                <w:b/>
                <w:color w:val="FFFFFF"/>
                <w:sz w:val="18"/>
              </w:rPr>
              <w:t>Delivered</w:t>
            </w:r>
          </w:p>
        </w:tc>
        <w:tc>
          <w:tcPr>
            <w:tcW w:type="dxa" w:w="2551"/>
            <w:shd w:fill="1B2A4A" w:val="clear"/>
          </w:tcPr>
          <w:p>
            <w:pPr>
              <w:jc w:val="center"/>
            </w:pPr>
            <w:r/>
            <w:r>
              <w:rPr>
                <w:rFonts w:ascii="Calibri" w:hAnsi="Calibri"/>
                <w:b/>
                <w:color w:val="FFFFFF"/>
                <w:sz w:val="18"/>
              </w:rPr>
              <w:t>Verdict</w:t>
            </w:r>
          </w:p>
        </w:tc>
      </w:tr>
      <w:tr>
        <w:tc>
          <w:tcPr>
            <w:tcW w:type="dxa" w:w="1984"/>
          </w:tcPr>
          <w:p>
            <w:pPr>
              <w:jc w:val="center"/>
            </w:pPr>
            <w:r/>
            <w:r>
              <w:rPr>
                <w:rFonts w:ascii="Calibri" w:hAnsi="Calibri"/>
                <w:color w:val="333333"/>
                <w:sz w:val="18"/>
              </w:rPr>
              <w:t>Impressions</w:t>
            </w:r>
          </w:p>
        </w:tc>
        <w:tc>
          <w:tcPr>
            <w:tcW w:type="dxa" w:w="1417"/>
          </w:tcPr>
          <w:p>
            <w:pPr>
              <w:jc w:val="center"/>
            </w:pPr>
            <w:r/>
            <w:r>
              <w:rPr>
                <w:rFonts w:ascii="Calibri" w:hAnsi="Calibri"/>
                <w:color w:val="333333"/>
                <w:sz w:val="18"/>
              </w:rPr>
              <w:t>5,000,000</w:t>
            </w:r>
          </w:p>
        </w:tc>
        <w:tc>
          <w:tcPr>
            <w:tcW w:type="dxa" w:w="1984"/>
          </w:tcPr>
          <w:p>
            <w:pPr>
              <w:jc w:val="center"/>
            </w:pPr>
            <w:r/>
            <w:r>
              <w:rPr>
                <w:rFonts w:ascii="Calibri" w:hAnsi="Calibri"/>
                <w:color w:val="333333"/>
                <w:sz w:val="18"/>
              </w:rPr>
              <w:t>5,290,000 (106%)</w:t>
            </w:r>
          </w:p>
        </w:tc>
        <w:tc>
          <w:tcPr>
            <w:tcW w:type="dxa" w:w="2551"/>
          </w:tcPr>
          <w:p>
            <w:pPr>
              <w:jc w:val="center"/>
            </w:pPr>
            <w:r/>
            <w:r>
              <w:rPr>
                <w:rFonts w:ascii="Calibri" w:hAnsi="Calibri"/>
                <w:b/>
                <w:color w:val="1E7D32"/>
                <w:sz w:val="18"/>
              </w:rPr>
              <w:t>Beat target</w:t>
            </w:r>
          </w:p>
        </w:tc>
      </w:tr>
      <w:tr>
        <w:tc>
          <w:tcPr>
            <w:tcW w:type="dxa" w:w="1984"/>
            <w:shd w:fill="EEF2F7" w:val="clear"/>
          </w:tcPr>
          <w:p>
            <w:pPr>
              <w:jc w:val="center"/>
            </w:pPr>
            <w:r/>
            <w:r>
              <w:rPr>
                <w:rFonts w:ascii="Calibri" w:hAnsi="Calibri"/>
                <w:color w:val="333333"/>
                <w:sz w:val="18"/>
              </w:rPr>
              <w:t>Video Views (2s+)</w:t>
            </w:r>
          </w:p>
        </w:tc>
        <w:tc>
          <w:tcPr>
            <w:tcW w:type="dxa" w:w="1417"/>
            <w:shd w:fill="EEF2F7" w:val="clear"/>
          </w:tcPr>
          <w:p>
            <w:pPr>
              <w:jc w:val="center"/>
            </w:pPr>
            <w:r/>
            <w:r>
              <w:rPr>
                <w:rFonts w:ascii="Calibri" w:hAnsi="Calibri"/>
                <w:color w:val="333333"/>
                <w:sz w:val="18"/>
              </w:rPr>
              <w:t>3,500,000</w:t>
            </w:r>
          </w:p>
        </w:tc>
        <w:tc>
          <w:tcPr>
            <w:tcW w:type="dxa" w:w="1984"/>
            <w:shd w:fill="EEF2F7" w:val="clear"/>
          </w:tcPr>
          <w:p>
            <w:pPr>
              <w:jc w:val="center"/>
            </w:pPr>
            <w:r/>
            <w:r>
              <w:rPr>
                <w:rFonts w:ascii="Calibri" w:hAnsi="Calibri"/>
                <w:color w:val="333333"/>
                <w:sz w:val="18"/>
              </w:rPr>
              <w:t>3,808,000 (109%)</w:t>
            </w:r>
          </w:p>
        </w:tc>
        <w:tc>
          <w:tcPr>
            <w:tcW w:type="dxa" w:w="2551"/>
            <w:shd w:fill="EEF2F7" w:val="clear"/>
          </w:tcPr>
          <w:p>
            <w:pPr>
              <w:jc w:val="center"/>
            </w:pPr>
            <w:r/>
            <w:r>
              <w:rPr>
                <w:rFonts w:ascii="Calibri" w:hAnsi="Calibri"/>
                <w:b/>
                <w:color w:val="1E7D32"/>
                <w:sz w:val="18"/>
              </w:rPr>
              <w:t>Beat target</w:t>
            </w:r>
          </w:p>
        </w:tc>
      </w:tr>
      <w:tr>
        <w:tc>
          <w:tcPr>
            <w:tcW w:type="dxa" w:w="1984"/>
          </w:tcPr>
          <w:p>
            <w:pPr>
              <w:jc w:val="center"/>
            </w:pPr>
            <w:r/>
            <w:r>
              <w:rPr>
                <w:rFonts w:ascii="Calibri" w:hAnsi="Calibri"/>
                <w:color w:val="333333"/>
                <w:sz w:val="18"/>
              </w:rPr>
              <w:t>Video Views (6s+)</w:t>
            </w:r>
          </w:p>
        </w:tc>
        <w:tc>
          <w:tcPr>
            <w:tcW w:type="dxa" w:w="1417"/>
          </w:tcPr>
          <w:p>
            <w:pPr>
              <w:jc w:val="center"/>
            </w:pPr>
            <w:r/>
            <w:r>
              <w:rPr>
                <w:rFonts w:ascii="Calibri" w:hAnsi="Calibri"/>
                <w:color w:val="333333"/>
                <w:sz w:val="18"/>
              </w:rPr>
              <w:t>2,000,000</w:t>
            </w:r>
          </w:p>
        </w:tc>
        <w:tc>
          <w:tcPr>
            <w:tcW w:type="dxa" w:w="1984"/>
          </w:tcPr>
          <w:p>
            <w:pPr>
              <w:jc w:val="center"/>
            </w:pPr>
            <w:r/>
            <w:r>
              <w:rPr>
                <w:rFonts w:ascii="Calibri" w:hAnsi="Calibri"/>
                <w:color w:val="333333"/>
                <w:sz w:val="18"/>
              </w:rPr>
              <w:t>2,380,000 (119%)</w:t>
            </w:r>
          </w:p>
        </w:tc>
        <w:tc>
          <w:tcPr>
            <w:tcW w:type="dxa" w:w="2551"/>
          </w:tcPr>
          <w:p>
            <w:pPr>
              <w:jc w:val="center"/>
            </w:pPr>
            <w:r/>
            <w:r>
              <w:rPr>
                <w:rFonts w:ascii="Calibri" w:hAnsi="Calibri"/>
                <w:b/>
                <w:color w:val="1E7D32"/>
                <w:sz w:val="18"/>
              </w:rPr>
              <w:t>Beat target</w:t>
            </w:r>
          </w:p>
        </w:tc>
      </w:tr>
      <w:tr>
        <w:tc>
          <w:tcPr>
            <w:tcW w:type="dxa" w:w="1984"/>
            <w:shd w:fill="EEF2F7" w:val="clear"/>
          </w:tcPr>
          <w:p>
            <w:pPr>
              <w:jc w:val="center"/>
            </w:pPr>
            <w:r/>
            <w:r>
              <w:rPr>
                <w:rFonts w:ascii="Calibri" w:hAnsi="Calibri"/>
                <w:color w:val="333333"/>
                <w:sz w:val="18"/>
              </w:rPr>
              <w:t>Clicks</w:t>
            </w:r>
          </w:p>
        </w:tc>
        <w:tc>
          <w:tcPr>
            <w:tcW w:type="dxa" w:w="1417"/>
            <w:shd w:fill="EEF2F7" w:val="clear"/>
          </w:tcPr>
          <w:p>
            <w:pPr>
              <w:jc w:val="center"/>
            </w:pPr>
            <w:r/>
            <w:r>
              <w:rPr>
                <w:rFonts w:ascii="Calibri" w:hAnsi="Calibri"/>
                <w:color w:val="333333"/>
                <w:sz w:val="18"/>
              </w:rPr>
              <w:t>50,000</w:t>
            </w:r>
          </w:p>
        </w:tc>
        <w:tc>
          <w:tcPr>
            <w:tcW w:type="dxa" w:w="1984"/>
            <w:shd w:fill="EEF2F7" w:val="clear"/>
          </w:tcPr>
          <w:p>
            <w:pPr>
              <w:jc w:val="center"/>
            </w:pPr>
            <w:r/>
            <w:r>
              <w:rPr>
                <w:rFonts w:ascii="Calibri" w:hAnsi="Calibri"/>
                <w:color w:val="333333"/>
                <w:sz w:val="18"/>
              </w:rPr>
              <w:t>62,340 (125%)</w:t>
            </w:r>
          </w:p>
        </w:tc>
        <w:tc>
          <w:tcPr>
            <w:tcW w:type="dxa" w:w="2551"/>
            <w:shd w:fill="EEF2F7" w:val="clear"/>
          </w:tcPr>
          <w:p>
            <w:pPr>
              <w:jc w:val="center"/>
            </w:pPr>
            <w:r/>
            <w:r>
              <w:rPr>
                <w:rFonts w:ascii="Calibri" w:hAnsi="Calibri"/>
                <w:b/>
                <w:color w:val="1E7D32"/>
                <w:sz w:val="18"/>
              </w:rPr>
              <w:t>Beat target</w:t>
            </w:r>
          </w:p>
        </w:tc>
      </w:tr>
      <w:tr>
        <w:tc>
          <w:tcPr>
            <w:tcW w:type="dxa" w:w="1984"/>
          </w:tcPr>
          <w:p>
            <w:pPr>
              <w:jc w:val="center"/>
            </w:pPr>
            <w:r/>
            <w:r>
              <w:rPr>
                <w:rFonts w:ascii="Calibri" w:hAnsi="Calibri"/>
                <w:color w:val="333333"/>
                <w:sz w:val="18"/>
              </w:rPr>
              <w:t>CTR</w:t>
            </w:r>
          </w:p>
        </w:tc>
        <w:tc>
          <w:tcPr>
            <w:tcW w:type="dxa" w:w="1417"/>
          </w:tcPr>
          <w:p>
            <w:pPr>
              <w:jc w:val="center"/>
            </w:pPr>
            <w:r/>
            <w:r>
              <w:rPr>
                <w:rFonts w:ascii="Calibri" w:hAnsi="Calibri"/>
                <w:color w:val="333333"/>
                <w:sz w:val="18"/>
              </w:rPr>
              <w:t>1.00%</w:t>
            </w:r>
          </w:p>
        </w:tc>
        <w:tc>
          <w:tcPr>
            <w:tcW w:type="dxa" w:w="1984"/>
          </w:tcPr>
          <w:p>
            <w:pPr>
              <w:jc w:val="center"/>
            </w:pPr>
            <w:r/>
            <w:r>
              <w:rPr>
                <w:rFonts w:ascii="Calibri" w:hAnsi="Calibri"/>
                <w:color w:val="333333"/>
                <w:sz w:val="18"/>
              </w:rPr>
              <w:t>1.18%</w:t>
            </w:r>
          </w:p>
        </w:tc>
        <w:tc>
          <w:tcPr>
            <w:tcW w:type="dxa" w:w="2551"/>
          </w:tcPr>
          <w:p>
            <w:pPr>
              <w:jc w:val="center"/>
            </w:pPr>
            <w:r/>
            <w:r>
              <w:rPr>
                <w:rFonts w:ascii="Calibri" w:hAnsi="Calibri"/>
                <w:b/>
                <w:color w:val="1E7D32"/>
                <w:sz w:val="18"/>
              </w:rPr>
              <w:t>Beat target</w:t>
            </w:r>
          </w:p>
        </w:tc>
      </w:tr>
      <w:tr>
        <w:tc>
          <w:tcPr>
            <w:tcW w:type="dxa" w:w="1984"/>
            <w:shd w:fill="EEF2F7" w:val="clear"/>
          </w:tcPr>
          <w:p>
            <w:pPr>
              <w:jc w:val="center"/>
            </w:pPr>
            <w:r/>
            <w:r>
              <w:rPr>
                <w:rFonts w:ascii="Calibri" w:hAnsi="Calibri"/>
                <w:color w:val="333333"/>
                <w:sz w:val="18"/>
              </w:rPr>
              <w:t>CPC</w:t>
            </w:r>
          </w:p>
        </w:tc>
        <w:tc>
          <w:tcPr>
            <w:tcW w:type="dxa" w:w="1417"/>
            <w:shd w:fill="EEF2F7" w:val="clear"/>
          </w:tcPr>
          <w:p>
            <w:pPr>
              <w:jc w:val="center"/>
            </w:pPr>
            <w:r/>
            <w:r>
              <w:rPr>
                <w:rFonts w:ascii="Calibri" w:hAnsi="Calibri"/>
                <w:color w:val="333333"/>
                <w:sz w:val="18"/>
              </w:rPr>
              <w:t>$1.10</w:t>
            </w:r>
          </w:p>
        </w:tc>
        <w:tc>
          <w:tcPr>
            <w:tcW w:type="dxa" w:w="1984"/>
            <w:shd w:fill="EEF2F7" w:val="clear"/>
          </w:tcPr>
          <w:p>
            <w:pPr>
              <w:jc w:val="center"/>
            </w:pPr>
            <w:r/>
            <w:r>
              <w:rPr>
                <w:rFonts w:ascii="Calibri" w:hAnsi="Calibri"/>
                <w:color w:val="333333"/>
                <w:sz w:val="18"/>
              </w:rPr>
              <w:t>$0.94</w:t>
            </w:r>
          </w:p>
        </w:tc>
        <w:tc>
          <w:tcPr>
            <w:tcW w:type="dxa" w:w="2551"/>
            <w:shd w:fill="EEF2F7" w:val="clear"/>
          </w:tcPr>
          <w:p>
            <w:pPr>
              <w:jc w:val="center"/>
            </w:pPr>
            <w:r/>
            <w:r>
              <w:rPr>
                <w:rFonts w:ascii="Calibri" w:hAnsi="Calibri"/>
                <w:b/>
                <w:color w:val="1E7D32"/>
                <w:sz w:val="18"/>
              </w:rPr>
              <w:t>Beat target</w:t>
            </w:r>
          </w:p>
        </w:tc>
      </w:tr>
      <w:tr>
        <w:tc>
          <w:tcPr>
            <w:tcW w:type="dxa" w:w="1984"/>
          </w:tcPr>
          <w:p>
            <w:pPr>
              <w:jc w:val="center"/>
            </w:pPr>
            <w:r/>
            <w:r>
              <w:rPr>
                <w:rFonts w:ascii="Calibri" w:hAnsi="Calibri"/>
                <w:color w:val="333333"/>
                <w:sz w:val="18"/>
              </w:rPr>
              <w:t>CPM</w:t>
            </w:r>
          </w:p>
        </w:tc>
        <w:tc>
          <w:tcPr>
            <w:tcW w:type="dxa" w:w="1417"/>
          </w:tcPr>
          <w:p>
            <w:pPr>
              <w:jc w:val="center"/>
            </w:pPr>
            <w:r/>
            <w:r>
              <w:rPr>
                <w:rFonts w:ascii="Calibri" w:hAnsi="Calibri"/>
                <w:color w:val="333333"/>
                <w:sz w:val="18"/>
              </w:rPr>
              <w:t>$11.00</w:t>
            </w:r>
          </w:p>
        </w:tc>
        <w:tc>
          <w:tcPr>
            <w:tcW w:type="dxa" w:w="1984"/>
          </w:tcPr>
          <w:p>
            <w:pPr>
              <w:jc w:val="center"/>
            </w:pPr>
            <w:r/>
            <w:r>
              <w:rPr>
                <w:rFonts w:ascii="Calibri" w:hAnsi="Calibri"/>
                <w:color w:val="333333"/>
                <w:sz w:val="18"/>
              </w:rPr>
              <w:t>$11.13</w:t>
            </w:r>
          </w:p>
        </w:tc>
        <w:tc>
          <w:tcPr>
            <w:tcW w:type="dxa" w:w="2551"/>
          </w:tcPr>
          <w:p>
            <w:pPr>
              <w:jc w:val="center"/>
            </w:pPr>
            <w:r/>
            <w:r>
              <w:rPr>
                <w:rFonts w:ascii="Calibri" w:hAnsi="Calibri"/>
                <w:b/>
                <w:color w:val="1E7D32"/>
                <w:sz w:val="18"/>
              </w:rPr>
              <w:t>On target (slight overage)</w:t>
            </w:r>
          </w:p>
        </w:tc>
      </w:tr>
      <w:tr>
        <w:tc>
          <w:tcPr>
            <w:tcW w:type="dxa" w:w="1984"/>
            <w:shd w:fill="EEF2F7" w:val="clear"/>
          </w:tcPr>
          <w:p>
            <w:pPr>
              <w:jc w:val="center"/>
            </w:pPr>
            <w:r/>
            <w:r>
              <w:rPr>
                <w:rFonts w:ascii="Calibri" w:hAnsi="Calibri"/>
                <w:color w:val="333333"/>
                <w:sz w:val="18"/>
              </w:rPr>
              <w:t>Total Spend</w:t>
            </w:r>
          </w:p>
        </w:tc>
        <w:tc>
          <w:tcPr>
            <w:tcW w:type="dxa" w:w="1417"/>
            <w:shd w:fill="EEF2F7" w:val="clear"/>
          </w:tcPr>
          <w:p>
            <w:pPr>
              <w:jc w:val="center"/>
            </w:pPr>
            <w:r/>
            <w:r>
              <w:rPr>
                <w:rFonts w:ascii="Calibri" w:hAnsi="Calibri"/>
                <w:color w:val="333333"/>
                <w:sz w:val="18"/>
              </w:rPr>
              <w:t>$55,000</w:t>
            </w:r>
          </w:p>
        </w:tc>
        <w:tc>
          <w:tcPr>
            <w:tcW w:type="dxa" w:w="1984"/>
            <w:shd w:fill="EEF2F7" w:val="clear"/>
          </w:tcPr>
          <w:p>
            <w:pPr>
              <w:jc w:val="center"/>
            </w:pPr>
            <w:r/>
            <w:r>
              <w:rPr>
                <w:rFonts w:ascii="Calibri" w:hAnsi="Calibri"/>
                <w:color w:val="333333"/>
                <w:sz w:val="18"/>
              </w:rPr>
              <w:t>$58,870 (107%)</w:t>
            </w:r>
          </w:p>
        </w:tc>
        <w:tc>
          <w:tcPr>
            <w:tcW w:type="dxa" w:w="2551"/>
            <w:shd w:fill="EEF2F7" w:val="clear"/>
          </w:tcPr>
          <w:p>
            <w:pPr>
              <w:jc w:val="center"/>
            </w:pPr>
            <w:r/>
            <w:r>
              <w:rPr>
                <w:rFonts w:ascii="Calibri" w:hAnsi="Calibri"/>
                <w:b/>
                <w:color w:val="C0392B"/>
                <w:sz w:val="18"/>
              </w:rPr>
              <w:t>OVER BUDGET by $3,870</w:t>
            </w:r>
          </w:p>
        </w:tc>
      </w:tr>
      <w:tr>
        <w:tc>
          <w:tcPr>
            <w:tcW w:type="dxa" w:w="1984"/>
          </w:tcPr>
          <w:p>
            <w:pPr>
              <w:jc w:val="center"/>
            </w:pPr>
            <w:r/>
            <w:r>
              <w:rPr>
                <w:rFonts w:ascii="Calibri" w:hAnsi="Calibri"/>
                <w:color w:val="333333"/>
                <w:sz w:val="18"/>
              </w:rPr>
              <w:t>Quebec Engagement</w:t>
            </w:r>
          </w:p>
        </w:tc>
        <w:tc>
          <w:tcPr>
            <w:tcW w:type="dxa" w:w="1417"/>
          </w:tcPr>
          <w:p>
            <w:pPr>
              <w:jc w:val="center"/>
            </w:pPr>
            <w:r/>
            <w:r>
              <w:rPr>
                <w:rFonts w:ascii="Calibri" w:hAnsi="Calibri"/>
                <w:color w:val="333333"/>
                <w:sz w:val="18"/>
              </w:rPr>
              <w:t>Comparable</w:t>
            </w:r>
          </w:p>
        </w:tc>
        <w:tc>
          <w:tcPr>
            <w:tcW w:type="dxa" w:w="1984"/>
          </w:tcPr>
          <w:p>
            <w:pPr>
              <w:jc w:val="center"/>
            </w:pPr>
            <w:r/>
            <w:r>
              <w:rPr>
                <w:rFonts w:ascii="Calibri" w:hAnsi="Calibri"/>
                <w:color w:val="333333"/>
                <w:sz w:val="18"/>
              </w:rPr>
              <w:t>40% lower</w:t>
            </w:r>
          </w:p>
        </w:tc>
        <w:tc>
          <w:tcPr>
            <w:tcW w:type="dxa" w:w="2551"/>
          </w:tcPr>
          <w:p>
            <w:pPr>
              <w:jc w:val="center"/>
            </w:pPr>
            <w:r/>
            <w:r>
              <w:rPr>
                <w:rFonts w:ascii="Calibri" w:hAnsi="Calibri"/>
                <w:b/>
                <w:color w:val="C0392B"/>
                <w:sz w:val="18"/>
              </w:rPr>
              <w:t>MISS -- French content gap</w:t>
            </w:r>
          </w:p>
        </w:tc>
      </w:tr>
      <w:tr>
        <w:tc>
          <w:tcPr>
            <w:tcW w:type="dxa" w:w="1984"/>
            <w:shd w:fill="EEF2F7" w:val="clear"/>
          </w:tcPr>
          <w:p>
            <w:pPr>
              <w:jc w:val="center"/>
            </w:pPr>
            <w:r/>
            <w:r>
              <w:rPr>
                <w:rFonts w:ascii="Calibri" w:hAnsi="Calibri"/>
                <w:color w:val="333333"/>
                <w:sz w:val="18"/>
              </w:rPr>
              <w:t>Report Delivery</w:t>
            </w:r>
          </w:p>
        </w:tc>
        <w:tc>
          <w:tcPr>
            <w:tcW w:type="dxa" w:w="1417"/>
            <w:shd w:fill="EEF2F7" w:val="clear"/>
          </w:tcPr>
          <w:p>
            <w:pPr>
              <w:jc w:val="center"/>
            </w:pPr>
            <w:r/>
            <w:r>
              <w:rPr>
                <w:rFonts w:ascii="Calibri" w:hAnsi="Calibri"/>
                <w:color w:val="333333"/>
                <w:sz w:val="18"/>
              </w:rPr>
              <w:t>10 biz days</w:t>
            </w:r>
          </w:p>
        </w:tc>
        <w:tc>
          <w:tcPr>
            <w:tcW w:type="dxa" w:w="1984"/>
            <w:shd w:fill="EEF2F7" w:val="clear"/>
          </w:tcPr>
          <w:p>
            <w:pPr>
              <w:jc w:val="center"/>
            </w:pPr>
            <w:r/>
            <w:r>
              <w:rPr>
                <w:rFonts w:ascii="Calibri" w:hAnsi="Calibri"/>
                <w:color w:val="333333"/>
                <w:sz w:val="18"/>
              </w:rPr>
              <w:t>14 biz days</w:t>
            </w:r>
          </w:p>
        </w:tc>
        <w:tc>
          <w:tcPr>
            <w:tcW w:type="dxa" w:w="2551"/>
            <w:shd w:fill="EEF2F7" w:val="clear"/>
          </w:tcPr>
          <w:p>
            <w:pPr>
              <w:jc w:val="center"/>
            </w:pPr>
            <w:r/>
            <w:r>
              <w:rPr>
                <w:rFonts w:ascii="Calibri" w:hAnsi="Calibri"/>
                <w:b/>
                <w:color w:val="C0392B"/>
                <w:sz w:val="18"/>
              </w:rPr>
              <w:t>Late -- 4 days past SOW terms</w:t>
            </w:r>
          </w:p>
        </w:tc>
      </w:tr>
    </w:tbl>
    <w:p/>
    <w:p>
      <w:pPr>
        <w:pStyle w:val="Heading2"/>
      </w:pPr>
      <w:r>
        <w:rPr>
          <w:color w:val="1B2A4A"/>
        </w:rPr>
        <w:t>Vendor Spin Detection</w:t>
      </w:r>
    </w:p>
    <w:p>
      <w:pPr>
        <w:pStyle w:val="ListBullet"/>
      </w:pPr>
      <w:r>
        <w:rPr>
          <w:rFonts w:ascii="Calibri" w:hAnsi="Calibri"/>
          <w:b/>
          <w:color w:val="C0392B"/>
          <w:sz w:val="20"/>
        </w:rPr>
        <w:t>SPIN:</w:t>
      </w:r>
      <w:r>
        <w:rPr>
          <w:rFonts w:ascii="Calibri" w:hAnsi="Calibri"/>
          <w:color w:val="333333"/>
          <w:sz w:val="20"/>
        </w:rPr>
        <w:t xml:space="preserve"> Budget overspend framed as positive: "Spend came in 7% over budget due to strong performance in final week -- auto-scaling was enabled." The vendor spent $3,870 more than authorized without approval. Framing unauthorized overspend as a feature of "strong performance" is textbook spin. Auto-scaling should have had a budget cap.</w:t>
      </w:r>
    </w:p>
    <w:p>
      <w:pPr>
        <w:pStyle w:val="ListBullet"/>
      </w:pPr>
      <w:r>
        <w:rPr>
          <w:rFonts w:ascii="Calibri" w:hAnsi="Calibri"/>
          <w:b/>
          <w:color w:val="C0392B"/>
          <w:sz w:val="20"/>
        </w:rPr>
        <w:t>SPIN:</w:t>
      </w:r>
      <w:r>
        <w:rPr>
          <w:rFonts w:ascii="Calibri" w:hAnsi="Calibri"/>
          <w:color w:val="333333"/>
          <w:sz w:val="20"/>
        </w:rPr>
        <w:t xml:space="preserve"> Purchase attribution uses 28-day click window: 412 purchases at $142.89 CPA sounds reasonable, but a 28-day click attribution window is extremely generous. Industry standard for social is 7-day click / 1-day view. This inflates conversion counts significantly. The true CPA on a standard window is likely 2-3x higher.</w:t>
      </w:r>
    </w:p>
    <w:p>
      <w:pPr>
        <w:pStyle w:val="ListBullet"/>
      </w:pPr>
      <w:r>
        <w:rPr>
          <w:rFonts w:ascii="Calibri" w:hAnsi="Calibri"/>
          <w:b/>
          <w:color w:val="C0392B"/>
          <w:sz w:val="20"/>
        </w:rPr>
        <w:t>SPIN:</w:t>
      </w:r>
      <w:r>
        <w:rPr>
          <w:rFonts w:ascii="Calibri" w:hAnsi="Calibri"/>
          <w:color w:val="333333"/>
          <w:sz w:val="20"/>
        </w:rPr>
        <w:t xml:space="preserve"> "One of the top-performing supplement campaigns on TikTok Canada in Q1 2026" -- This is an unverifiable claim. TikTok does not publish campaign-level benchmarks publicly. This is vendor puffery with no data to support it.</w:t>
      </w:r>
    </w:p>
    <w:p>
      <w:pPr>
        <w:pStyle w:val="ListBullet"/>
      </w:pPr>
      <w:r>
        <w:rPr>
          <w:rFonts w:ascii="Calibri" w:hAnsi="Calibri"/>
          <w:b/>
          <w:color w:val="E67E22"/>
          <w:sz w:val="20"/>
        </w:rPr>
        <w:t>SPIN:</w:t>
      </w:r>
      <w:r>
        <w:rPr>
          <w:rFonts w:ascii="Calibri" w:hAnsi="Calibri"/>
          <w:color w:val="333333"/>
          <w:sz w:val="20"/>
        </w:rPr>
        <w:t xml:space="preserve"> Recommendation to "increase budget to $80K/month" -- a 45% budget increase recommendation from a vendor who already overspent by 7% without approval. This is a classic upsell disguised as strategic advice.</w:t>
      </w:r>
    </w:p>
    <w:p/>
    <w:p>
      <w:pPr>
        <w:pStyle w:val="Heading2"/>
      </w:pPr>
      <w:r>
        <w:rPr>
          <w:color w:val="1B2A4A"/>
        </w:rPr>
        <w:t>Genuine Wins</w:t>
      </w:r>
    </w:p>
    <w:p>
      <w:pPr>
        <w:pStyle w:val="ListBullet"/>
      </w:pPr>
      <w:r>
        <w:rPr>
          <w:rFonts w:ascii="Calibri" w:hAnsi="Calibri"/>
          <w:color w:val="1E7D32"/>
          <w:sz w:val="20"/>
        </w:rPr>
        <w:t>CTR of 1.18% genuinely beat the 1.00% target -- 18% above benchmark. Creator content drove real engagement.</w:t>
      </w:r>
    </w:p>
    <w:p>
      <w:pPr>
        <w:pStyle w:val="ListBullet"/>
      </w:pPr>
      <w:r>
        <w:rPr>
          <w:rFonts w:ascii="Calibri" w:hAnsi="Calibri"/>
          <w:color w:val="1E7D32"/>
          <w:sz w:val="20"/>
        </w:rPr>
        <w:t>CPC of $0.94 vs $1.10 target -- 15% more efficient. Legitimate efficiency gain.</w:t>
      </w:r>
    </w:p>
    <w:p>
      <w:pPr>
        <w:pStyle w:val="ListBullet"/>
      </w:pPr>
      <w:r>
        <w:rPr>
          <w:rFonts w:ascii="Calibri" w:hAnsi="Calibri"/>
          <w:color w:val="1E7D32"/>
          <w:sz w:val="20"/>
        </w:rPr>
        <w:t>@NutritionNerd (180K followers) had the highest engagement rate (5.6%) and lowest CPC ($0.68). Micro-creator outperformance is a real insight worth acting on.</w:t>
      </w:r>
    </w:p>
    <w:p>
      <w:pPr>
        <w:pStyle w:val="ListBullet"/>
      </w:pPr>
      <w:r>
        <w:rPr>
          <w:rFonts w:ascii="Calibri" w:hAnsi="Calibri"/>
          <w:color w:val="1E7D32"/>
          <w:sz w:val="20"/>
        </w:rPr>
        <w:t>72% of conversions from Spark Ads vs 28% standard in-feed. Creator-driven formats genuinely outperformed brand content.</w:t>
      </w:r>
    </w:p>
    <w:p>
      <w:pPr>
        <w:pStyle w:val="ListBullet"/>
      </w:pPr>
      <w:r>
        <w:rPr>
          <w:rFonts w:ascii="Calibri" w:hAnsi="Calibri"/>
          <w:color w:val="1E7D32"/>
          <w:sz w:val="20"/>
        </w:rPr>
        <w:t>6-second view rate strong at 119% of target -- content held attention beyond the scroll.</w:t>
      </w:r>
    </w:p>
    <w:p/>
    <w:p>
      <w:pPr>
        <w:pStyle w:val="Heading2"/>
      </w:pPr>
      <w:r>
        <w:rPr>
          <w:color w:val="1B2A4A"/>
        </w:rPr>
        <w:t>Red Flags</w:t>
      </w:r>
    </w:p>
    <w:p>
      <w:pPr>
        <w:pStyle w:val="ListBullet"/>
      </w:pPr>
      <w:r>
        <w:rPr>
          <w:rFonts w:ascii="Calibri" w:hAnsi="Calibri"/>
          <w:b/>
          <w:color w:val="C0392B"/>
          <w:sz w:val="20"/>
        </w:rPr>
        <w:t>CRITICAL:</w:t>
      </w:r>
      <w:r>
        <w:rPr>
          <w:rFonts w:ascii="Calibri" w:hAnsi="Calibri"/>
          <w:color w:val="333333"/>
          <w:sz w:val="20"/>
        </w:rPr>
        <w:t xml:space="preserve"> Unauthorized overspend of $3,870 (7%). Auto-scaling without a hard budget cap is a vendor management failure. Require pre-approval for any spend above 100% of budget.</w:t>
      </w:r>
    </w:p>
    <w:p>
      <w:pPr>
        <w:pStyle w:val="ListBullet"/>
      </w:pPr>
      <w:r>
        <w:rPr>
          <w:rFonts w:ascii="Calibri" w:hAnsi="Calibri"/>
          <w:b/>
          <w:color w:val="E67E22"/>
          <w:sz w:val="20"/>
        </w:rPr>
        <w:t>INEFFICIENCY:</w:t>
      </w:r>
      <w:r>
        <w:rPr>
          <w:rFonts w:ascii="Calibri" w:hAnsi="Calibri"/>
          <w:color w:val="333333"/>
          <w:sz w:val="20"/>
        </w:rPr>
        <w:t xml:space="preserve"> @GymBro_Tyler: highest follower count (1.2M) but lowest engagement rate (2.1%) and highest CPC ($1.18). Spent the most for the least efficient results. Vendor acknowledges this but still ran 3 videos with this creator.</w:t>
      </w:r>
    </w:p>
    <w:p>
      <w:pPr>
        <w:pStyle w:val="ListBullet"/>
      </w:pPr>
      <w:r>
        <w:rPr>
          <w:rFonts w:ascii="Calibri" w:hAnsi="Calibri"/>
          <w:b/>
          <w:color w:val="C0392B"/>
          <w:sz w:val="20"/>
        </w:rPr>
        <w:t>ATTRIBUTION:</w:t>
      </w:r>
      <w:r>
        <w:rPr>
          <w:rFonts w:ascii="Calibri" w:hAnsi="Calibri"/>
          <w:color w:val="333333"/>
          <w:sz w:val="20"/>
        </w:rPr>
        <w:t xml:space="preserve"> 28-day click attribution inflates all lower-funnel numbers. Request 7-day click / 1-day view numbers for apples-to-apples comparison.</w:t>
      </w:r>
    </w:p>
    <w:p>
      <w:pPr>
        <w:pStyle w:val="ListBullet"/>
      </w:pPr>
      <w:r>
        <w:rPr>
          <w:rFonts w:ascii="Calibri" w:hAnsi="Calibri"/>
          <w:b/>
          <w:color w:val="E67E22"/>
          <w:sz w:val="20"/>
        </w:rPr>
        <w:t>LATE:</w:t>
      </w:r>
      <w:r>
        <w:rPr>
          <w:rFonts w:ascii="Calibri" w:hAnsi="Calibri"/>
          <w:color w:val="333333"/>
          <w:sz w:val="20"/>
        </w:rPr>
        <w:t xml:space="preserve"> Report was 4 days late (14 business days vs 10 SOW requirement). Worst of the three vendors on timeliness.</w:t>
      </w:r>
    </w:p>
    <w:p>
      <w:pPr>
        <w:pStyle w:val="ListBullet"/>
      </w:pPr>
      <w:r>
        <w:rPr>
          <w:rFonts w:ascii="Calibri" w:hAnsi="Calibri"/>
          <w:b/>
          <w:color w:val="E67E22"/>
          <w:sz w:val="20"/>
        </w:rPr>
        <w:t>GEO MISS:</w:t>
      </w:r>
      <w:r>
        <w:rPr>
          <w:rFonts w:ascii="Calibri" w:hAnsi="Calibri"/>
          <w:color w:val="333333"/>
          <w:sz w:val="20"/>
        </w:rPr>
        <w:t xml:space="preserve"> Quebec engagement 40% below other provinces. French-language creator content gap acknowledged but no plan was in place before launch.</w:t>
      </w:r>
    </w:p>
    <w:p/>
    <w:p>
      <w:pPr>
        <w:pStyle w:val="Heading2"/>
      </w:pPr>
      <w:r>
        <w:rPr>
          <w:color w:val="1B2A4A"/>
        </w:rPr>
        <w:t>Key Takeaways for Campaign Deck</w:t>
      </w:r>
    </w:p>
    <w:p>
      <w:pPr>
        <w:pStyle w:val="ListBullet"/>
      </w:pPr>
      <w:r>
        <w:rPr>
          <w:rFonts w:ascii="Calibri" w:hAnsi="Calibri"/>
          <w:color w:val="333333"/>
          <w:sz w:val="20"/>
        </w:rPr>
        <w:t>TikTok delivered strong upper-funnel engagement. CTR, CPC, and view metrics all above target. The channel works for awareness and consideration.</w:t>
      </w:r>
    </w:p>
    <w:p>
      <w:pPr>
        <w:pStyle w:val="ListBullet"/>
      </w:pPr>
      <w:r>
        <w:rPr>
          <w:rFonts w:ascii="Calibri" w:hAnsi="Calibri"/>
          <w:color w:val="333333"/>
          <w:sz w:val="20"/>
        </w:rPr>
        <w:t>Lower-funnel performance claims are inflated by a 28-day attribution window. Do not cite purchase CPA ($142.89) without this caveat. Request 7-day data before including in performance deck.</w:t>
      </w:r>
    </w:p>
    <w:p>
      <w:pPr>
        <w:pStyle w:val="ListBullet"/>
      </w:pPr>
      <w:r>
        <w:rPr>
          <w:rFonts w:ascii="Calibri" w:hAnsi="Calibri"/>
          <w:color w:val="333333"/>
          <w:sz w:val="20"/>
        </w:rPr>
        <w:t>Micro-creators (under 500K followers) outperformed the large creator across all efficiency metrics. Reallocate creator budget away from reach-focused influencers toward engagement-focused ones.</w:t>
      </w:r>
    </w:p>
    <w:p>
      <w:pPr>
        <w:pStyle w:val="ListBullet"/>
      </w:pPr>
      <w:r>
        <w:rPr>
          <w:rFonts w:ascii="Calibri" w:hAnsi="Calibri"/>
          <w:color w:val="333333"/>
          <w:sz w:val="20"/>
        </w:rPr>
        <w:t>For Q2: enforce hard budget caps, require pre-approval for auto-scaling, mandate standard attribution windows in the SOW, and invest in French-language creator partnerships for Quebec.</w:t>
      </w:r>
    </w:p>
    <w:p>
      <w:r>
        <w:br w:type="page"/>
      </w:r>
    </w:p>
    <w:p>
      <w:pPr>
        <w:pStyle w:val="Heading1"/>
      </w:pPr>
      <w:r>
        <w:rPr>
          <w:color w:val="1B2A4A"/>
        </w:rPr>
        <w:t>Vendor 3: SparkPoint Media -- Connected TV / OTT</w:t>
      </w:r>
    </w:p>
    <w:p>
      <w:pPr>
        <w:pStyle w:val="Heading2"/>
      </w:pPr>
      <w:r>
        <w:rPr>
          <w:color w:val="1B2A4A"/>
        </w:rPr>
        <w:t>Headline Results vs Objectives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984"/>
            <w:shd w:fill="1B2A4A" w:val="clear"/>
          </w:tcPr>
          <w:p>
            <w:pPr>
              <w:jc w:val="center"/>
            </w:pPr>
            <w:r/>
            <w:r>
              <w:rPr>
                <w:rFonts w:ascii="Calibri" w:hAnsi="Calibri"/>
                <w:b/>
                <w:color w:val="FFFFFF"/>
                <w:sz w:val="18"/>
              </w:rPr>
              <w:t>Metric</w:t>
            </w:r>
          </w:p>
        </w:tc>
        <w:tc>
          <w:tcPr>
            <w:tcW w:type="dxa" w:w="1587"/>
            <w:shd w:fill="1B2A4A" w:val="clear"/>
          </w:tcPr>
          <w:p>
            <w:pPr>
              <w:jc w:val="center"/>
            </w:pPr>
            <w:r/>
            <w:r>
              <w:rPr>
                <w:rFonts w:ascii="Calibri" w:hAnsi="Calibri"/>
                <w:b/>
                <w:color w:val="FFFFFF"/>
                <w:sz w:val="18"/>
              </w:rPr>
              <w:t>Target</w:t>
            </w:r>
          </w:p>
        </w:tc>
        <w:tc>
          <w:tcPr>
            <w:tcW w:type="dxa" w:w="1984"/>
            <w:shd w:fill="1B2A4A" w:val="clear"/>
          </w:tcPr>
          <w:p>
            <w:pPr>
              <w:jc w:val="center"/>
            </w:pPr>
            <w:r/>
            <w:r>
              <w:rPr>
                <w:rFonts w:ascii="Calibri" w:hAnsi="Calibri"/>
                <w:b/>
                <w:color w:val="FFFFFF"/>
                <w:sz w:val="18"/>
              </w:rPr>
              <w:t>Delivered</w:t>
            </w:r>
          </w:p>
        </w:tc>
        <w:tc>
          <w:tcPr>
            <w:tcW w:type="dxa" w:w="2381"/>
            <w:shd w:fill="1B2A4A" w:val="clear"/>
          </w:tcPr>
          <w:p>
            <w:pPr>
              <w:jc w:val="center"/>
            </w:pPr>
            <w:r/>
            <w:r>
              <w:rPr>
                <w:rFonts w:ascii="Calibri" w:hAnsi="Calibri"/>
                <w:b/>
                <w:color w:val="FFFFFF"/>
                <w:sz w:val="18"/>
              </w:rPr>
              <w:t>Verdict</w:t>
            </w:r>
          </w:p>
        </w:tc>
      </w:tr>
      <w:tr>
        <w:tc>
          <w:tcPr>
            <w:tcW w:type="dxa" w:w="1984"/>
          </w:tcPr>
          <w:p>
            <w:pPr>
              <w:jc w:val="center"/>
            </w:pPr>
            <w:r/>
            <w:r>
              <w:rPr>
                <w:rFonts w:ascii="Calibri" w:hAnsi="Calibri"/>
                <w:color w:val="333333"/>
                <w:sz w:val="18"/>
              </w:rPr>
              <w:t>Total Impressions</w:t>
            </w:r>
          </w:p>
        </w:tc>
        <w:tc>
          <w:tcPr>
            <w:tcW w:type="dxa" w:w="1587"/>
          </w:tcPr>
          <w:p>
            <w:pPr>
              <w:jc w:val="center"/>
            </w:pPr>
            <w:r/>
            <w:r>
              <w:rPr>
                <w:rFonts w:ascii="Calibri" w:hAnsi="Calibri"/>
                <w:color w:val="333333"/>
                <w:sz w:val="18"/>
              </w:rPr>
              <w:t>2,000,000</w:t>
            </w:r>
          </w:p>
        </w:tc>
        <w:tc>
          <w:tcPr>
            <w:tcW w:type="dxa" w:w="1984"/>
          </w:tcPr>
          <w:p>
            <w:pPr>
              <w:jc w:val="center"/>
            </w:pPr>
            <w:r/>
            <w:r>
              <w:rPr>
                <w:rFonts w:ascii="Calibri" w:hAnsi="Calibri"/>
                <w:color w:val="333333"/>
                <w:sz w:val="18"/>
              </w:rPr>
              <w:t>2,100,000 (105%)</w:t>
            </w:r>
          </w:p>
        </w:tc>
        <w:tc>
          <w:tcPr>
            <w:tcW w:type="dxa" w:w="2381"/>
          </w:tcPr>
          <w:p>
            <w:pPr>
              <w:jc w:val="center"/>
            </w:pPr>
            <w:r/>
            <w:r>
              <w:rPr>
                <w:rFonts w:ascii="Calibri" w:hAnsi="Calibri"/>
                <w:b/>
                <w:color w:val="1E7D32"/>
                <w:sz w:val="18"/>
              </w:rPr>
              <w:t>Beat target</w:t>
            </w:r>
          </w:p>
        </w:tc>
      </w:tr>
      <w:tr>
        <w:tc>
          <w:tcPr>
            <w:tcW w:type="dxa" w:w="1984"/>
            <w:shd w:fill="EEF2F7" w:val="clear"/>
          </w:tcPr>
          <w:p>
            <w:pPr>
              <w:jc w:val="center"/>
            </w:pPr>
            <w:r/>
            <w:r>
              <w:rPr>
                <w:rFonts w:ascii="Calibri" w:hAnsi="Calibri"/>
                <w:color w:val="333333"/>
                <w:sz w:val="18"/>
              </w:rPr>
              <w:t>Completed Views (VCR)</w:t>
            </w:r>
          </w:p>
        </w:tc>
        <w:tc>
          <w:tcPr>
            <w:tcW w:type="dxa" w:w="1587"/>
            <w:shd w:fill="EEF2F7" w:val="clear"/>
          </w:tcPr>
          <w:p>
            <w:pPr>
              <w:jc w:val="center"/>
            </w:pPr>
            <w:r/>
            <w:r>
              <w:rPr>
                <w:rFonts w:ascii="Calibri" w:hAnsi="Calibri"/>
                <w:color w:val="333333"/>
                <w:sz w:val="18"/>
              </w:rPr>
              <w:t>1,600,000 (80%)</w:t>
            </w:r>
          </w:p>
        </w:tc>
        <w:tc>
          <w:tcPr>
            <w:tcW w:type="dxa" w:w="1984"/>
            <w:shd w:fill="EEF2F7" w:val="clear"/>
          </w:tcPr>
          <w:p>
            <w:pPr>
              <w:jc w:val="center"/>
            </w:pPr>
            <w:r/>
            <w:r>
              <w:rPr>
                <w:rFonts w:ascii="Calibri" w:hAnsi="Calibri"/>
                <w:color w:val="333333"/>
                <w:sz w:val="18"/>
              </w:rPr>
              <w:t>1,722,000 (82%)</w:t>
            </w:r>
          </w:p>
        </w:tc>
        <w:tc>
          <w:tcPr>
            <w:tcW w:type="dxa" w:w="2381"/>
            <w:shd w:fill="EEF2F7" w:val="clear"/>
          </w:tcPr>
          <w:p>
            <w:pPr>
              <w:jc w:val="center"/>
            </w:pPr>
            <w:r/>
            <w:r>
              <w:rPr>
                <w:rFonts w:ascii="Calibri" w:hAnsi="Calibri"/>
                <w:b/>
                <w:color w:val="1E7D32"/>
                <w:sz w:val="18"/>
              </w:rPr>
              <w:t>Exceeded target</w:t>
            </w:r>
          </w:p>
        </w:tc>
      </w:tr>
      <w:tr>
        <w:tc>
          <w:tcPr>
            <w:tcW w:type="dxa" w:w="1984"/>
          </w:tcPr>
          <w:p>
            <w:pPr>
              <w:jc w:val="center"/>
            </w:pPr>
            <w:r/>
            <w:r>
              <w:rPr>
                <w:rFonts w:ascii="Calibri" w:hAnsi="Calibri"/>
                <w:color w:val="333333"/>
                <w:sz w:val="18"/>
              </w:rPr>
              <w:t>CPM</w:t>
            </w:r>
          </w:p>
        </w:tc>
        <w:tc>
          <w:tcPr>
            <w:tcW w:type="dxa" w:w="1587"/>
          </w:tcPr>
          <w:p>
            <w:pPr>
              <w:jc w:val="center"/>
            </w:pPr>
            <w:r/>
            <w:r>
              <w:rPr>
                <w:rFonts w:ascii="Calibri" w:hAnsi="Calibri"/>
                <w:color w:val="333333"/>
                <w:sz w:val="18"/>
              </w:rPr>
              <w:t>$15.00</w:t>
            </w:r>
          </w:p>
        </w:tc>
        <w:tc>
          <w:tcPr>
            <w:tcW w:type="dxa" w:w="1984"/>
          </w:tcPr>
          <w:p>
            <w:pPr>
              <w:jc w:val="center"/>
            </w:pPr>
            <w:r/>
            <w:r>
              <w:rPr>
                <w:rFonts w:ascii="Calibri" w:hAnsi="Calibri"/>
                <w:color w:val="333333"/>
                <w:sz w:val="18"/>
              </w:rPr>
              <w:t>$14.38</w:t>
            </w:r>
          </w:p>
        </w:tc>
        <w:tc>
          <w:tcPr>
            <w:tcW w:type="dxa" w:w="2381"/>
          </w:tcPr>
          <w:p>
            <w:pPr>
              <w:jc w:val="center"/>
            </w:pPr>
            <w:r/>
            <w:r>
              <w:rPr>
                <w:rFonts w:ascii="Calibri" w:hAnsi="Calibri"/>
                <w:b/>
                <w:color w:val="1E7D32"/>
                <w:sz w:val="18"/>
              </w:rPr>
              <w:t>Beat target</w:t>
            </w:r>
          </w:p>
        </w:tc>
      </w:tr>
      <w:tr>
        <w:tc>
          <w:tcPr>
            <w:tcW w:type="dxa" w:w="1984"/>
            <w:shd w:fill="EEF2F7" w:val="clear"/>
          </w:tcPr>
          <w:p>
            <w:pPr>
              <w:jc w:val="center"/>
            </w:pPr>
            <w:r/>
            <w:r>
              <w:rPr>
                <w:rFonts w:ascii="Calibri" w:hAnsi="Calibri"/>
                <w:color w:val="333333"/>
                <w:sz w:val="18"/>
              </w:rPr>
              <w:t>CPCV</w:t>
            </w:r>
          </w:p>
        </w:tc>
        <w:tc>
          <w:tcPr>
            <w:tcW w:type="dxa" w:w="1587"/>
            <w:shd w:fill="EEF2F7" w:val="clear"/>
          </w:tcPr>
          <w:p>
            <w:pPr>
              <w:jc w:val="center"/>
            </w:pPr>
            <w:r/>
            <w:r>
              <w:rPr>
                <w:rFonts w:ascii="Calibri" w:hAnsi="Calibri"/>
                <w:color w:val="333333"/>
                <w:sz w:val="18"/>
              </w:rPr>
              <w:t>$0.019</w:t>
            </w:r>
          </w:p>
        </w:tc>
        <w:tc>
          <w:tcPr>
            <w:tcW w:type="dxa" w:w="1984"/>
            <w:shd w:fill="EEF2F7" w:val="clear"/>
          </w:tcPr>
          <w:p>
            <w:pPr>
              <w:jc w:val="center"/>
            </w:pPr>
            <w:r/>
            <w:r>
              <w:rPr>
                <w:rFonts w:ascii="Calibri" w:hAnsi="Calibri"/>
                <w:color w:val="333333"/>
                <w:sz w:val="18"/>
              </w:rPr>
              <w:t>$0.018</w:t>
            </w:r>
          </w:p>
        </w:tc>
        <w:tc>
          <w:tcPr>
            <w:tcW w:type="dxa" w:w="2381"/>
            <w:shd w:fill="EEF2F7" w:val="clear"/>
          </w:tcPr>
          <w:p>
            <w:pPr>
              <w:jc w:val="center"/>
            </w:pPr>
            <w:r/>
            <w:r>
              <w:rPr>
                <w:rFonts w:ascii="Calibri" w:hAnsi="Calibri"/>
                <w:b/>
                <w:color w:val="1E7D32"/>
                <w:sz w:val="18"/>
              </w:rPr>
              <w:t>Beat target</w:t>
            </w:r>
          </w:p>
        </w:tc>
      </w:tr>
      <w:tr>
        <w:tc>
          <w:tcPr>
            <w:tcW w:type="dxa" w:w="1984"/>
          </w:tcPr>
          <w:p>
            <w:pPr>
              <w:jc w:val="center"/>
            </w:pPr>
            <w:r/>
            <w:r>
              <w:rPr>
                <w:rFonts w:ascii="Calibri" w:hAnsi="Calibri"/>
                <w:color w:val="333333"/>
                <w:sz w:val="18"/>
              </w:rPr>
              <w:t>Total Spend</w:t>
            </w:r>
          </w:p>
        </w:tc>
        <w:tc>
          <w:tcPr>
            <w:tcW w:type="dxa" w:w="1587"/>
          </w:tcPr>
          <w:p>
            <w:pPr>
              <w:jc w:val="center"/>
            </w:pPr>
            <w:r/>
            <w:r>
              <w:rPr>
                <w:rFonts w:ascii="Calibri" w:hAnsi="Calibri"/>
                <w:color w:val="333333"/>
                <w:sz w:val="18"/>
              </w:rPr>
              <w:t>$30,000</w:t>
            </w:r>
          </w:p>
        </w:tc>
        <w:tc>
          <w:tcPr>
            <w:tcW w:type="dxa" w:w="1984"/>
          </w:tcPr>
          <w:p>
            <w:pPr>
              <w:jc w:val="center"/>
            </w:pPr>
            <w:r/>
            <w:r>
              <w:rPr>
                <w:rFonts w:ascii="Calibri" w:hAnsi="Calibri"/>
                <w:color w:val="333333"/>
                <w:sz w:val="18"/>
              </w:rPr>
              <w:t>$30,200 (101%)</w:t>
            </w:r>
          </w:p>
        </w:tc>
        <w:tc>
          <w:tcPr>
            <w:tcW w:type="dxa" w:w="2381"/>
          </w:tcPr>
          <w:p>
            <w:pPr>
              <w:jc w:val="center"/>
            </w:pPr>
            <w:r/>
            <w:r>
              <w:rPr>
                <w:rFonts w:ascii="Calibri" w:hAnsi="Calibri"/>
                <w:b/>
                <w:color w:val="1E7D32"/>
                <w:sz w:val="18"/>
              </w:rPr>
              <w:t>On target</w:t>
            </w:r>
          </w:p>
        </w:tc>
      </w:tr>
      <w:tr>
        <w:tc>
          <w:tcPr>
            <w:tcW w:type="dxa" w:w="1984"/>
            <w:shd w:fill="EEF2F7" w:val="clear"/>
          </w:tcPr>
          <w:p>
            <w:pPr>
              <w:jc w:val="center"/>
            </w:pPr>
            <w:r/>
            <w:r>
              <w:rPr>
                <w:rFonts w:ascii="Calibri" w:hAnsi="Calibri"/>
                <w:color w:val="333333"/>
                <w:sz w:val="18"/>
              </w:rPr>
              <w:t>Unique Households</w:t>
            </w:r>
          </w:p>
        </w:tc>
        <w:tc>
          <w:tcPr>
            <w:tcW w:type="dxa" w:w="1587"/>
            <w:shd w:fill="EEF2F7" w:val="clear"/>
          </w:tcPr>
          <w:p>
            <w:pPr>
              <w:jc w:val="center"/>
            </w:pPr>
            <w:r/>
            <w:r>
              <w:rPr>
                <w:rFonts w:ascii="Calibri" w:hAnsi="Calibri"/>
                <w:color w:val="333333"/>
                <w:sz w:val="18"/>
              </w:rPr>
              <w:t>N/A</w:t>
            </w:r>
          </w:p>
        </w:tc>
        <w:tc>
          <w:tcPr>
            <w:tcW w:type="dxa" w:w="1984"/>
            <w:shd w:fill="EEF2F7" w:val="clear"/>
          </w:tcPr>
          <w:p>
            <w:pPr>
              <w:jc w:val="center"/>
            </w:pPr>
            <w:r/>
            <w:r>
              <w:rPr>
                <w:rFonts w:ascii="Calibri" w:hAnsi="Calibri"/>
                <w:color w:val="333333"/>
                <w:sz w:val="18"/>
              </w:rPr>
              <w:t>680,000</w:t>
            </w:r>
          </w:p>
        </w:tc>
        <w:tc>
          <w:tcPr>
            <w:tcW w:type="dxa" w:w="2381"/>
            <w:shd w:fill="EEF2F7" w:val="clear"/>
          </w:tcPr>
          <w:p>
            <w:pPr>
              <w:jc w:val="center"/>
            </w:pPr>
            <w:r/>
            <w:r>
              <w:rPr>
                <w:rFonts w:ascii="Calibri" w:hAnsi="Calibri"/>
                <w:color w:val="333333"/>
                <w:sz w:val="18"/>
              </w:rPr>
              <w:t>No target set -- baseline data</w:t>
            </w:r>
          </w:p>
        </w:tc>
      </w:tr>
      <w:tr>
        <w:tc>
          <w:tcPr>
            <w:tcW w:type="dxa" w:w="1984"/>
          </w:tcPr>
          <w:p>
            <w:pPr>
              <w:jc w:val="center"/>
            </w:pPr>
            <w:r/>
            <w:r>
              <w:rPr>
                <w:rFonts w:ascii="Calibri" w:hAnsi="Calibri"/>
                <w:color w:val="333333"/>
                <w:sz w:val="18"/>
              </w:rPr>
              <w:t>Quebec Geo</w:t>
            </w:r>
          </w:p>
        </w:tc>
        <w:tc>
          <w:tcPr>
            <w:tcW w:type="dxa" w:w="1587"/>
          </w:tcPr>
          <w:p>
            <w:pPr>
              <w:jc w:val="center"/>
            </w:pPr>
            <w:r/>
            <w:r>
              <w:rPr>
                <w:rFonts w:ascii="Calibri" w:hAnsi="Calibri"/>
                <w:color w:val="333333"/>
                <w:sz w:val="18"/>
              </w:rPr>
              <w:t>25% (implied)</w:t>
            </w:r>
          </w:p>
        </w:tc>
        <w:tc>
          <w:tcPr>
            <w:tcW w:type="dxa" w:w="1984"/>
          </w:tcPr>
          <w:p>
            <w:pPr>
              <w:jc w:val="center"/>
            </w:pPr>
            <w:r/>
            <w:r>
              <w:rPr>
                <w:rFonts w:ascii="Calibri" w:hAnsi="Calibri"/>
                <w:color w:val="333333"/>
                <w:sz w:val="18"/>
              </w:rPr>
              <w:t>19%</w:t>
            </w:r>
          </w:p>
        </w:tc>
        <w:tc>
          <w:tcPr>
            <w:tcW w:type="dxa" w:w="2381"/>
          </w:tcPr>
          <w:p>
            <w:pPr>
              <w:jc w:val="center"/>
            </w:pPr>
            <w:r/>
            <w:r>
              <w:rPr>
                <w:rFonts w:ascii="Calibri" w:hAnsi="Calibri"/>
                <w:b/>
                <w:color w:val="C0392B"/>
                <w:sz w:val="18"/>
              </w:rPr>
              <w:t>MISS -- below target</w:t>
            </w:r>
          </w:p>
        </w:tc>
      </w:tr>
      <w:tr>
        <w:tc>
          <w:tcPr>
            <w:tcW w:type="dxa" w:w="1984"/>
            <w:shd w:fill="EEF2F7" w:val="clear"/>
          </w:tcPr>
          <w:p>
            <w:pPr>
              <w:jc w:val="center"/>
            </w:pPr>
            <w:r/>
            <w:r>
              <w:rPr>
                <w:rFonts w:ascii="Calibri" w:hAnsi="Calibri"/>
                <w:color w:val="333333"/>
                <w:sz w:val="18"/>
              </w:rPr>
              <w:t>Brand Lift: Awareness</w:t>
            </w:r>
          </w:p>
        </w:tc>
        <w:tc>
          <w:tcPr>
            <w:tcW w:type="dxa" w:w="1587"/>
            <w:shd w:fill="EEF2F7" w:val="clear"/>
          </w:tcPr>
          <w:p>
            <w:pPr>
              <w:jc w:val="center"/>
            </w:pPr>
            <w:r/>
            <w:r>
              <w:rPr>
                <w:rFonts w:ascii="Calibri" w:hAnsi="Calibri"/>
                <w:color w:val="333333"/>
                <w:sz w:val="18"/>
              </w:rPr>
              <w:t>Lift target</w:t>
            </w:r>
          </w:p>
        </w:tc>
        <w:tc>
          <w:tcPr>
            <w:tcW w:type="dxa" w:w="1984"/>
            <w:shd w:fill="EEF2F7" w:val="clear"/>
          </w:tcPr>
          <w:p>
            <w:pPr>
              <w:jc w:val="center"/>
            </w:pPr>
            <w:r/>
            <w:r>
              <w:rPr>
                <w:rFonts w:ascii="Calibri" w:hAnsi="Calibri"/>
                <w:color w:val="333333"/>
                <w:sz w:val="18"/>
              </w:rPr>
              <w:t>+6 pts (95% CI)</w:t>
            </w:r>
          </w:p>
        </w:tc>
        <w:tc>
          <w:tcPr>
            <w:tcW w:type="dxa" w:w="2381"/>
            <w:shd w:fill="EEF2F7" w:val="clear"/>
          </w:tcPr>
          <w:p>
            <w:pPr>
              <w:jc w:val="center"/>
            </w:pPr>
            <w:r/>
            <w:r>
              <w:rPr>
                <w:rFonts w:ascii="Calibri" w:hAnsi="Calibri"/>
                <w:b/>
                <w:color w:val="1E7D32"/>
                <w:sz w:val="18"/>
              </w:rPr>
              <w:t>On target</w:t>
            </w:r>
          </w:p>
        </w:tc>
      </w:tr>
      <w:tr>
        <w:tc>
          <w:tcPr>
            <w:tcW w:type="dxa" w:w="1984"/>
          </w:tcPr>
          <w:p>
            <w:pPr>
              <w:jc w:val="center"/>
            </w:pPr>
            <w:r/>
            <w:r>
              <w:rPr>
                <w:rFonts w:ascii="Calibri" w:hAnsi="Calibri"/>
                <w:color w:val="333333"/>
                <w:sz w:val="18"/>
              </w:rPr>
              <w:t>Brand Lift: Ad Recall</w:t>
            </w:r>
          </w:p>
        </w:tc>
        <w:tc>
          <w:tcPr>
            <w:tcW w:type="dxa" w:w="1587"/>
          </w:tcPr>
          <w:p>
            <w:pPr>
              <w:jc w:val="center"/>
            </w:pPr>
            <w:r/>
            <w:r>
              <w:rPr>
                <w:rFonts w:ascii="Calibri" w:hAnsi="Calibri"/>
                <w:color w:val="333333"/>
                <w:sz w:val="18"/>
              </w:rPr>
              <w:t>Lift target</w:t>
            </w:r>
          </w:p>
        </w:tc>
        <w:tc>
          <w:tcPr>
            <w:tcW w:type="dxa" w:w="1984"/>
          </w:tcPr>
          <w:p>
            <w:pPr>
              <w:jc w:val="center"/>
            </w:pPr>
            <w:r/>
            <w:r>
              <w:rPr>
                <w:rFonts w:ascii="Calibri" w:hAnsi="Calibri"/>
                <w:color w:val="333333"/>
                <w:sz w:val="18"/>
              </w:rPr>
              <w:t>+16 pts (99% CI)</w:t>
            </w:r>
          </w:p>
        </w:tc>
        <w:tc>
          <w:tcPr>
            <w:tcW w:type="dxa" w:w="2381"/>
          </w:tcPr>
          <w:p>
            <w:pPr>
              <w:jc w:val="center"/>
            </w:pPr>
            <w:r/>
            <w:r>
              <w:rPr>
                <w:rFonts w:ascii="Calibri" w:hAnsi="Calibri"/>
                <w:b/>
                <w:color w:val="1E7D32"/>
                <w:sz w:val="18"/>
              </w:rPr>
              <w:t>Beat target</w:t>
            </w:r>
          </w:p>
        </w:tc>
      </w:tr>
      <w:tr>
        <w:tc>
          <w:tcPr>
            <w:tcW w:type="dxa" w:w="1984"/>
            <w:shd w:fill="EEF2F7" w:val="clear"/>
          </w:tcPr>
          <w:p>
            <w:pPr>
              <w:jc w:val="center"/>
            </w:pPr>
            <w:r/>
            <w:r>
              <w:rPr>
                <w:rFonts w:ascii="Calibri" w:hAnsi="Calibri"/>
                <w:color w:val="333333"/>
                <w:sz w:val="18"/>
              </w:rPr>
              <w:t>Brand Lift: Purchase Intent</w:t>
            </w:r>
          </w:p>
        </w:tc>
        <w:tc>
          <w:tcPr>
            <w:tcW w:type="dxa" w:w="1587"/>
            <w:shd w:fill="EEF2F7" w:val="clear"/>
          </w:tcPr>
          <w:p>
            <w:pPr>
              <w:jc w:val="center"/>
            </w:pPr>
            <w:r/>
            <w:r>
              <w:rPr>
                <w:rFonts w:ascii="Calibri" w:hAnsi="Calibri"/>
                <w:color w:val="333333"/>
                <w:sz w:val="18"/>
              </w:rPr>
              <w:t>Lift target</w:t>
            </w:r>
          </w:p>
        </w:tc>
        <w:tc>
          <w:tcPr>
            <w:tcW w:type="dxa" w:w="1984"/>
            <w:shd w:fill="EEF2F7" w:val="clear"/>
          </w:tcPr>
          <w:p>
            <w:pPr>
              <w:jc w:val="center"/>
            </w:pPr>
            <w:r/>
            <w:r>
              <w:rPr>
                <w:rFonts w:ascii="Calibri" w:hAnsi="Calibri"/>
                <w:color w:val="333333"/>
                <w:sz w:val="18"/>
              </w:rPr>
              <w:t>+3 pts (88% CI)</w:t>
            </w:r>
          </w:p>
        </w:tc>
        <w:tc>
          <w:tcPr>
            <w:tcW w:type="dxa" w:w="2381"/>
            <w:shd w:fill="EEF2F7" w:val="clear"/>
          </w:tcPr>
          <w:p>
            <w:pPr>
              <w:jc w:val="center"/>
            </w:pPr>
            <w:r/>
            <w:r>
              <w:rPr>
                <w:rFonts w:ascii="Calibri" w:hAnsi="Calibri"/>
                <w:color w:val="333333"/>
                <w:sz w:val="18"/>
              </w:rPr>
              <w:t>Not statistically significant</w:t>
            </w:r>
          </w:p>
        </w:tc>
      </w:tr>
      <w:tr>
        <w:tc>
          <w:tcPr>
            <w:tcW w:type="dxa" w:w="1984"/>
          </w:tcPr>
          <w:p>
            <w:pPr>
              <w:jc w:val="center"/>
            </w:pPr>
            <w:r/>
            <w:r>
              <w:rPr>
                <w:rFonts w:ascii="Calibri" w:hAnsi="Calibri"/>
                <w:color w:val="333333"/>
                <w:sz w:val="18"/>
              </w:rPr>
              <w:t>Report Delivery</w:t>
            </w:r>
          </w:p>
        </w:tc>
        <w:tc>
          <w:tcPr>
            <w:tcW w:type="dxa" w:w="1587"/>
          </w:tcPr>
          <w:p>
            <w:pPr>
              <w:jc w:val="center"/>
            </w:pPr>
            <w:r/>
            <w:r>
              <w:rPr>
                <w:rFonts w:ascii="Calibri" w:hAnsi="Calibri"/>
                <w:color w:val="333333"/>
                <w:sz w:val="18"/>
              </w:rPr>
              <w:t>10 biz days</w:t>
            </w:r>
          </w:p>
        </w:tc>
        <w:tc>
          <w:tcPr>
            <w:tcW w:type="dxa" w:w="1984"/>
          </w:tcPr>
          <w:p>
            <w:pPr>
              <w:jc w:val="center"/>
            </w:pPr>
            <w:r/>
            <w:r>
              <w:rPr>
                <w:rFonts w:ascii="Calibri" w:hAnsi="Calibri"/>
                <w:color w:val="333333"/>
                <w:sz w:val="18"/>
              </w:rPr>
              <w:t>9 biz days</w:t>
            </w:r>
          </w:p>
        </w:tc>
        <w:tc>
          <w:tcPr>
            <w:tcW w:type="dxa" w:w="2381"/>
          </w:tcPr>
          <w:p>
            <w:pPr>
              <w:jc w:val="center"/>
            </w:pPr>
            <w:r/>
            <w:r>
              <w:rPr>
                <w:rFonts w:ascii="Calibri" w:hAnsi="Calibri"/>
                <w:b/>
                <w:color w:val="1E7D32"/>
                <w:sz w:val="18"/>
              </w:rPr>
              <w:t>On time</w:t>
            </w:r>
          </w:p>
        </w:tc>
      </w:tr>
    </w:tbl>
    <w:p/>
    <w:p>
      <w:pPr>
        <w:pStyle w:val="Heading2"/>
      </w:pPr>
      <w:r>
        <w:rPr>
          <w:color w:val="1B2A4A"/>
        </w:rPr>
        <w:t>Vendor Spin Detection</w:t>
      </w:r>
    </w:p>
    <w:p>
      <w:pPr>
        <w:pStyle w:val="ListBullet"/>
      </w:pPr>
      <w:r>
        <w:rPr>
          <w:rFonts w:ascii="Calibri" w:hAnsi="Calibri"/>
          <w:b/>
          <w:color w:val="C0392B"/>
          <w:sz w:val="20"/>
        </w:rPr>
        <w:t>SPIN:</w:t>
      </w:r>
      <w:r>
        <w:rPr>
          <w:rFonts w:ascii="Calibri" w:hAnsi="Calibri"/>
          <w:color w:val="333333"/>
          <w:sz w:val="20"/>
        </w:rPr>
        <w:t xml:space="preserve"> "Strong brand lift across all measured metrics" -- Purchase intent lift was +3 points at only 88% confidence. This is NOT statistically significant by standard thresholds (95%). Brand favorability at 91% confidence is also below the accepted threshold. Only awareness (+6pts, 95%) and ad recall (+16pts, 99%) are statistically valid. Claiming "all metrics" showed strong lift is misleading.</w:t>
      </w:r>
    </w:p>
    <w:p>
      <w:pPr>
        <w:pStyle w:val="ListBullet"/>
      </w:pPr>
      <w:r>
        <w:rPr>
          <w:rFonts w:ascii="Calibri" w:hAnsi="Calibri"/>
          <w:b/>
          <w:color w:val="E67E22"/>
          <w:sz w:val="20"/>
        </w:rPr>
        <w:t>SPIN:</w:t>
      </w:r>
      <w:r>
        <w:rPr>
          <w:rFonts w:ascii="Calibri" w:hAnsi="Calibri"/>
          <w:color w:val="333333"/>
          <w:sz w:val="20"/>
        </w:rPr>
        <w:t xml:space="preserve"> Recommendations to "increase budget to $50K/month" and add Hulu + Disney+ -- SparkPoint does not discuss the budget implications of these recommendations. Adding premium streaming inventory could double the CPM. The recommendation is a vendor upsell presented as strategy.</w:t>
      </w:r>
    </w:p>
    <w:p>
      <w:pPr>
        <w:pStyle w:val="ListBullet"/>
      </w:pPr>
      <w:r>
        <w:rPr>
          <w:rFonts w:ascii="Calibri" w:hAnsi="Calibri"/>
          <w:b/>
          <w:color w:val="E67E22"/>
          <w:sz w:val="20"/>
        </w:rPr>
        <w:t>SPIN:</w:t>
      </w:r>
      <w:r>
        <w:rPr>
          <w:rFonts w:ascii="Calibri" w:hAnsi="Calibri"/>
          <w:color w:val="333333"/>
          <w:sz w:val="20"/>
        </w:rPr>
        <w:t xml:space="preserve"> "Efficient CPM vs CTV category benchmark of $18-22" -- The benchmark cited is suspiciously high. SparkPoint ran primarily on Roku Channel, Tubi, Pluto TV, and Samsung TV+ -- all free ad-supported streaming (FAST) platforms. The $18-22 benchmark is for premium CTV (Hulu, Disney+). Comparing FAST platform CPMs to premium benchmarks flatters their efficiency.</w:t>
      </w:r>
    </w:p>
    <w:p/>
    <w:p>
      <w:pPr>
        <w:pStyle w:val="Heading2"/>
      </w:pPr>
      <w:r>
        <w:rPr>
          <w:color w:val="1B2A4A"/>
        </w:rPr>
        <w:t>Genuine Wins</w:t>
      </w:r>
    </w:p>
    <w:p>
      <w:pPr>
        <w:pStyle w:val="ListBullet"/>
      </w:pPr>
      <w:r>
        <w:rPr>
          <w:rFonts w:ascii="Calibri" w:hAnsi="Calibri"/>
          <w:color w:val="1E7D32"/>
          <w:sz w:val="20"/>
        </w:rPr>
        <w:t>This is the strongest-performing vendor of the three. Delivered on nearly all core metrics -- impressions, VCR, CPM, CPCV.</w:t>
      </w:r>
    </w:p>
    <w:p>
      <w:pPr>
        <w:pStyle w:val="ListBullet"/>
      </w:pPr>
      <w:r>
        <w:rPr>
          <w:rFonts w:ascii="Calibri" w:hAnsi="Calibri"/>
          <w:color w:val="1E7D32"/>
          <w:sz w:val="20"/>
        </w:rPr>
        <w:t>Ad recall lift of +16 points at 99% confidence is a genuinely strong result. CTV drove meaningful brand awareness.</w:t>
      </w:r>
    </w:p>
    <w:p>
      <w:pPr>
        <w:pStyle w:val="ListBullet"/>
      </w:pPr>
      <w:r>
        <w:rPr>
          <w:rFonts w:ascii="Calibri" w:hAnsi="Calibri"/>
          <w:color w:val="1E7D32"/>
          <w:sz w:val="20"/>
        </w:rPr>
        <w:t>72% primetime delivery (7-11pm) -- ads were seen during engaged viewing occasions, not 3am backfill.</w:t>
      </w:r>
    </w:p>
    <w:p>
      <w:pPr>
        <w:pStyle w:val="ListBullet"/>
      </w:pPr>
      <w:r>
        <w:rPr>
          <w:rFonts w:ascii="Calibri" w:hAnsi="Calibri"/>
          <w:color w:val="1E7D32"/>
          <w:sz w:val="20"/>
        </w:rPr>
        <w:t>Report delivered on time (9 business days). The only vendor to meet the SOW deadline.</w:t>
      </w:r>
    </w:p>
    <w:p>
      <w:pPr>
        <w:pStyle w:val="ListBullet"/>
      </w:pPr>
      <w:r>
        <w:rPr>
          <w:rFonts w:ascii="Calibri" w:hAnsi="Calibri"/>
          <w:color w:val="1E7D32"/>
          <w:sz w:val="20"/>
        </w:rPr>
        <w:t>Average frequency of 3.1x per household aligns well with awareness objectives without over-saturating.</w:t>
      </w:r>
    </w:p>
    <w:p>
      <w:pPr>
        <w:pStyle w:val="ListBullet"/>
      </w:pPr>
      <w:r>
        <w:rPr>
          <w:rFonts w:ascii="Calibri" w:hAnsi="Calibri"/>
          <w:color w:val="1E7D32"/>
          <w:sz w:val="20"/>
        </w:rPr>
        <w:t>Lucid brand lift methodology attached (3-page PDF) -- transparent about measurement approach, unlike other vendors.</w:t>
      </w:r>
    </w:p>
    <w:p/>
    <w:p>
      <w:pPr>
        <w:pStyle w:val="Heading2"/>
      </w:pPr>
      <w:r>
        <w:rPr>
          <w:color w:val="1B2A4A"/>
        </w:rPr>
        <w:t>Red Flags</w:t>
      </w:r>
    </w:p>
    <w:p>
      <w:pPr>
        <w:pStyle w:val="ListBullet"/>
      </w:pPr>
      <w:r>
        <w:rPr>
          <w:rFonts w:ascii="Calibri" w:hAnsi="Calibri"/>
          <w:b/>
          <w:color w:val="C0392B"/>
          <w:sz w:val="20"/>
        </w:rPr>
        <w:t>STAT SIGNIFICANCE:</w:t>
      </w:r>
      <w:r>
        <w:rPr>
          <w:rFonts w:ascii="Calibri" w:hAnsi="Calibri"/>
          <w:color w:val="333333"/>
          <w:sz w:val="20"/>
        </w:rPr>
        <w:t xml:space="preserve"> Purchase intent lift (+3pts, 88% CI) is not statistically significant. Do not include in client reporting as a proven result.</w:t>
      </w:r>
    </w:p>
    <w:p>
      <w:pPr>
        <w:pStyle w:val="ListBullet"/>
      </w:pPr>
      <w:r>
        <w:rPr>
          <w:rFonts w:ascii="Calibri" w:hAnsi="Calibri"/>
          <w:b/>
          <w:color w:val="E67E22"/>
          <w:sz w:val="20"/>
        </w:rPr>
        <w:t>GEO MISS:</w:t>
      </w:r>
      <w:r>
        <w:rPr>
          <w:rFonts w:ascii="Calibri" w:hAnsi="Calibri"/>
          <w:color w:val="333333"/>
          <w:sz w:val="20"/>
        </w:rPr>
        <w:t xml:space="preserve"> Quebec at 19% -- below 25% target. Same French-language inventory issue seen across all three vendors. SparkPoint acknowledges 'French-language inventory limited on Tubi/Pluto' but did not proactively address this during flight.</w:t>
      </w:r>
    </w:p>
    <w:p>
      <w:pPr>
        <w:pStyle w:val="ListBullet"/>
      </w:pPr>
      <w:r>
        <w:rPr>
          <w:rFonts w:ascii="Calibri" w:hAnsi="Calibri"/>
          <w:b/>
          <w:color w:val="E67E22"/>
          <w:sz w:val="20"/>
        </w:rPr>
        <w:t>INVENTORY QUALITY:</w:t>
      </w:r>
      <w:r>
        <w:rPr>
          <w:rFonts w:ascii="Calibri" w:hAnsi="Calibri"/>
          <w:color w:val="333333"/>
          <w:sz w:val="20"/>
        </w:rPr>
        <w:t xml:space="preserve"> Inventory skews heavily toward FAST platforms (Roku, Tubi, Pluto, Samsung TV+). These are legitimate CTV but are the lower end of the quality spectrum. If VitalFit wants premium brand association, a shift toward paid streaming services would be needed at higher cost.</w:t>
      </w:r>
    </w:p>
    <w:p>
      <w:pPr>
        <w:pStyle w:val="ListBullet"/>
      </w:pPr>
      <w:r>
        <w:rPr>
          <w:rFonts w:ascii="Calibri" w:hAnsi="Calibri"/>
          <w:b/>
          <w:color w:val="E67E22"/>
          <w:sz w:val="20"/>
        </w:rPr>
        <w:t>MISSING DATA:</w:t>
      </w:r>
      <w:r>
        <w:rPr>
          <w:rFonts w:ascii="Calibri" w:hAnsi="Calibri"/>
          <w:color w:val="333333"/>
          <w:sz w:val="20"/>
        </w:rPr>
        <w:t xml:space="preserve"> No frequency capping data shared. Average of 3.1x is fine but distribution could be skewed -- some users may have seen the ad 10+ times while others saw it once.</w:t>
      </w:r>
    </w:p>
    <w:p/>
    <w:p>
      <w:pPr>
        <w:pStyle w:val="Heading2"/>
      </w:pPr>
      <w:r>
        <w:rPr>
          <w:color w:val="1B2A4A"/>
        </w:rPr>
        <w:t>Key Takeaways for Campaign Deck</w:t>
      </w:r>
    </w:p>
    <w:p>
      <w:pPr>
        <w:pStyle w:val="ListBullet"/>
      </w:pPr>
      <w:r>
        <w:rPr>
          <w:rFonts w:ascii="Calibri" w:hAnsi="Calibri"/>
          <w:color w:val="333333"/>
          <w:sz w:val="20"/>
        </w:rPr>
        <w:t>CTV was the most reliable channel in the mix. SparkPoint delivered on time, on budget, and on target for core metrics. This should be the anchor of Q2 planning.</w:t>
      </w:r>
    </w:p>
    <w:p>
      <w:pPr>
        <w:pStyle w:val="ListBullet"/>
      </w:pPr>
      <w:r>
        <w:rPr>
          <w:rFonts w:ascii="Calibri" w:hAnsi="Calibri"/>
          <w:color w:val="333333"/>
          <w:sz w:val="20"/>
        </w:rPr>
        <w:t>Brand lift results are mixed: ad recall is strong and significant, but purchase intent lift is not statistically proven. Present awareness and recall results confidently; flag purchase intent as inconclusive.</w:t>
      </w:r>
    </w:p>
    <w:p>
      <w:pPr>
        <w:pStyle w:val="ListBullet"/>
      </w:pPr>
      <w:r>
        <w:rPr>
          <w:rFonts w:ascii="Calibri" w:hAnsi="Calibri"/>
          <w:color w:val="333333"/>
          <w:sz w:val="20"/>
        </w:rPr>
        <w:t>Consider a hybrid CTV strategy for Q2: maintain FAST platforms for efficient reach, add a smaller premium tier (Hulu/Disney+) for brand halo, and set distinct KPIs for each tier.</w:t>
      </w:r>
    </w:p>
    <w:p>
      <w:pPr>
        <w:pStyle w:val="ListBullet"/>
      </w:pPr>
      <w:r>
        <w:rPr>
          <w:rFonts w:ascii="Calibri" w:hAnsi="Calibri"/>
          <w:color w:val="333333"/>
          <w:sz w:val="20"/>
        </w:rPr>
        <w:t>Quebec underdelivery is a systemic issue across all vendors. Consider a dedicated French-language media buy or Quebec-specific partner for Q2.</w:t>
      </w:r>
    </w:p>
    <w:p>
      <w:r>
        <w:br w:type="page"/>
      </w:r>
    </w:p>
    <w:p>
      <w:pPr>
        <w:pStyle w:val="Heading1"/>
      </w:pPr>
      <w:r>
        <w:rPr>
          <w:color w:val="1B2A4A"/>
        </w:rPr>
        <w:t>Cross-Vendor Summary</w:t>
      </w:r>
    </w:p>
    <w:p>
      <w:pPr>
        <w:pStyle w:val="Heading2"/>
      </w:pPr>
      <w:r>
        <w:rPr>
          <w:color w:val="1B2A4A"/>
        </w:rPr>
        <w:t>Overall Campaign Performance</w:t>
      </w:r>
    </w:p>
    <w:p>
      <w:r>
        <w:rPr>
          <w:rFonts w:ascii="Calibri" w:hAnsi="Calibri"/>
          <w:sz w:val="20"/>
        </w:rPr>
        <w:t>The VitalFit Spring Awareness campaign ran across three vendors with a combined budget of $110,000. Total spend was $113,870 -- 3.5% over budget, driven entirely by TikTok's unauthorized auto-scaling overspend. The campaign achieved its volume targets across all channels but fell short on quality metrics (viewability, geo distribution) and measurement deliverables (brand lift data delayed/incomplete). The Quebec underperformance (18-19% vs 25% target across all three vendors) represents a systemic French-language inventory and content gap that no vendor adequately addressed.</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984"/>
            <w:shd w:fill="1B2A4A" w:val="clear"/>
          </w:tcPr>
          <w:p>
            <w:pPr>
              <w:jc w:val="center"/>
            </w:pPr>
            <w:r/>
            <w:r>
              <w:rPr>
                <w:rFonts w:ascii="Calibri" w:hAnsi="Calibri"/>
                <w:b/>
                <w:color w:val="FFFFFF"/>
                <w:sz w:val="18"/>
              </w:rPr>
              <w:t>Dimension</w:t>
            </w:r>
          </w:p>
        </w:tc>
        <w:tc>
          <w:tcPr>
            <w:tcW w:type="dxa" w:w="1984"/>
            <w:shd w:fill="1B2A4A" w:val="clear"/>
          </w:tcPr>
          <w:p>
            <w:pPr>
              <w:jc w:val="center"/>
            </w:pPr>
            <w:r/>
            <w:r>
              <w:rPr>
                <w:rFonts w:ascii="Calibri" w:hAnsi="Calibri"/>
                <w:b/>
                <w:color w:val="FFFFFF"/>
                <w:sz w:val="18"/>
              </w:rPr>
              <w:t>ReachMax Digital</w:t>
            </w:r>
          </w:p>
        </w:tc>
        <w:tc>
          <w:tcPr>
            <w:tcW w:type="dxa" w:w="1984"/>
            <w:shd w:fill="1B2A4A" w:val="clear"/>
          </w:tcPr>
          <w:p>
            <w:pPr>
              <w:jc w:val="center"/>
            </w:pPr>
            <w:r/>
            <w:r>
              <w:rPr>
                <w:rFonts w:ascii="Calibri" w:hAnsi="Calibri"/>
                <w:b/>
                <w:color w:val="FFFFFF"/>
                <w:sz w:val="18"/>
              </w:rPr>
              <w:t>TikTok</w:t>
            </w:r>
          </w:p>
        </w:tc>
        <w:tc>
          <w:tcPr>
            <w:tcW w:type="dxa" w:w="1984"/>
            <w:shd w:fill="1B2A4A" w:val="clear"/>
          </w:tcPr>
          <w:p>
            <w:pPr>
              <w:jc w:val="center"/>
            </w:pPr>
            <w:r/>
            <w:r>
              <w:rPr>
                <w:rFonts w:ascii="Calibri" w:hAnsi="Calibri"/>
                <w:b/>
                <w:color w:val="FFFFFF"/>
                <w:sz w:val="18"/>
              </w:rPr>
              <w:t>SparkPoint Media</w:t>
            </w:r>
          </w:p>
        </w:tc>
      </w:tr>
      <w:tr>
        <w:tc>
          <w:tcPr>
            <w:tcW w:type="dxa" w:w="1984"/>
          </w:tcPr>
          <w:p>
            <w:pPr>
              <w:jc w:val="center"/>
            </w:pPr>
            <w:r/>
            <w:r>
              <w:rPr>
                <w:rFonts w:ascii="Calibri" w:hAnsi="Calibri"/>
                <w:color w:val="333333"/>
                <w:sz w:val="18"/>
              </w:rPr>
              <w:t>Budget Management</w:t>
            </w:r>
          </w:p>
        </w:tc>
        <w:tc>
          <w:tcPr>
            <w:tcW w:type="dxa" w:w="1984"/>
          </w:tcPr>
          <w:p>
            <w:pPr>
              <w:jc w:val="center"/>
            </w:pPr>
            <w:r/>
            <w:r>
              <w:rPr>
                <w:rFonts w:ascii="Calibri" w:hAnsi="Calibri"/>
                <w:color w:val="333333"/>
                <w:sz w:val="18"/>
              </w:rPr>
              <w:t>Under budget (-$200)</w:t>
            </w:r>
          </w:p>
        </w:tc>
        <w:tc>
          <w:tcPr>
            <w:tcW w:type="dxa" w:w="1984"/>
          </w:tcPr>
          <w:p>
            <w:pPr>
              <w:jc w:val="center"/>
            </w:pPr>
            <w:r/>
            <w:r>
              <w:rPr>
                <w:rFonts w:ascii="Calibri" w:hAnsi="Calibri"/>
                <w:b/>
                <w:color w:val="C0392B"/>
                <w:sz w:val="18"/>
              </w:rPr>
              <w:t>Over budget (+$3,870)</w:t>
            </w:r>
          </w:p>
        </w:tc>
        <w:tc>
          <w:tcPr>
            <w:tcW w:type="dxa" w:w="1984"/>
          </w:tcPr>
          <w:p>
            <w:pPr>
              <w:jc w:val="center"/>
            </w:pPr>
            <w:r/>
            <w:r>
              <w:rPr>
                <w:rFonts w:ascii="Calibri" w:hAnsi="Calibri"/>
                <w:color w:val="333333"/>
                <w:sz w:val="18"/>
              </w:rPr>
              <w:t>On budget (+$200)</w:t>
            </w:r>
          </w:p>
        </w:tc>
      </w:tr>
      <w:tr>
        <w:tc>
          <w:tcPr>
            <w:tcW w:type="dxa" w:w="1984"/>
            <w:shd w:fill="EEF2F7" w:val="clear"/>
          </w:tcPr>
          <w:p>
            <w:pPr>
              <w:jc w:val="center"/>
            </w:pPr>
            <w:r/>
            <w:r>
              <w:rPr>
                <w:rFonts w:ascii="Calibri" w:hAnsi="Calibri"/>
                <w:color w:val="333333"/>
                <w:sz w:val="18"/>
              </w:rPr>
              <w:t>Core KPI Delivery</w:t>
            </w:r>
          </w:p>
        </w:tc>
        <w:tc>
          <w:tcPr>
            <w:tcW w:type="dxa" w:w="1984"/>
            <w:shd w:fill="EEF2F7" w:val="clear"/>
          </w:tcPr>
          <w:p>
            <w:pPr>
              <w:jc w:val="center"/>
            </w:pPr>
            <w:r/>
            <w:r>
              <w:rPr>
                <w:rFonts w:ascii="Calibri" w:hAnsi="Calibri"/>
                <w:color w:val="333333"/>
                <w:sz w:val="18"/>
              </w:rPr>
              <w:t>Mixed -- volume yes, quality no</w:t>
            </w:r>
          </w:p>
        </w:tc>
        <w:tc>
          <w:tcPr>
            <w:tcW w:type="dxa" w:w="1984"/>
            <w:shd w:fill="EEF2F7" w:val="clear"/>
          </w:tcPr>
          <w:p>
            <w:pPr>
              <w:jc w:val="center"/>
            </w:pPr>
            <w:r/>
            <w:r>
              <w:rPr>
                <w:rFonts w:ascii="Calibri" w:hAnsi="Calibri"/>
                <w:color w:val="333333"/>
                <w:sz w:val="18"/>
              </w:rPr>
              <w:t>Strong on engagement metrics</w:t>
            </w:r>
          </w:p>
        </w:tc>
        <w:tc>
          <w:tcPr>
            <w:tcW w:type="dxa" w:w="1984"/>
            <w:shd w:fill="EEF2F7" w:val="clear"/>
          </w:tcPr>
          <w:p>
            <w:pPr>
              <w:jc w:val="center"/>
            </w:pPr>
            <w:r/>
            <w:r>
              <w:rPr>
                <w:rFonts w:ascii="Calibri" w:hAnsi="Calibri"/>
                <w:color w:val="333333"/>
                <w:sz w:val="18"/>
              </w:rPr>
              <w:t>Strong across the board</w:t>
            </w:r>
          </w:p>
        </w:tc>
      </w:tr>
      <w:tr>
        <w:tc>
          <w:tcPr>
            <w:tcW w:type="dxa" w:w="1984"/>
          </w:tcPr>
          <w:p>
            <w:pPr>
              <w:jc w:val="center"/>
            </w:pPr>
            <w:r/>
            <w:r>
              <w:rPr>
                <w:rFonts w:ascii="Calibri" w:hAnsi="Calibri"/>
                <w:color w:val="333333"/>
                <w:sz w:val="18"/>
              </w:rPr>
              <w:t>Quebec Target (25%)</w:t>
            </w:r>
          </w:p>
        </w:tc>
        <w:tc>
          <w:tcPr>
            <w:tcW w:type="dxa" w:w="1984"/>
          </w:tcPr>
          <w:p>
            <w:pPr>
              <w:jc w:val="center"/>
            </w:pPr>
            <w:r/>
            <w:r>
              <w:rPr>
                <w:rFonts w:ascii="Calibri" w:hAnsi="Calibri"/>
                <w:b/>
                <w:color w:val="C0392B"/>
                <w:sz w:val="18"/>
              </w:rPr>
              <w:t>MISS (18%)</w:t>
            </w:r>
          </w:p>
        </w:tc>
        <w:tc>
          <w:tcPr>
            <w:tcW w:type="dxa" w:w="1984"/>
          </w:tcPr>
          <w:p>
            <w:pPr>
              <w:jc w:val="center"/>
            </w:pPr>
            <w:r/>
            <w:r>
              <w:rPr>
                <w:rFonts w:ascii="Calibri" w:hAnsi="Calibri"/>
                <w:b/>
                <w:color w:val="C0392B"/>
                <w:sz w:val="18"/>
              </w:rPr>
              <w:t>MISS (40% lower engagement)</w:t>
            </w:r>
          </w:p>
        </w:tc>
        <w:tc>
          <w:tcPr>
            <w:tcW w:type="dxa" w:w="1984"/>
          </w:tcPr>
          <w:p>
            <w:pPr>
              <w:jc w:val="center"/>
            </w:pPr>
            <w:r/>
            <w:r>
              <w:rPr>
                <w:rFonts w:ascii="Calibri" w:hAnsi="Calibri"/>
                <w:b/>
                <w:color w:val="C0392B"/>
                <w:sz w:val="18"/>
              </w:rPr>
              <w:t>MISS (19%)</w:t>
            </w:r>
          </w:p>
        </w:tc>
      </w:tr>
      <w:tr>
        <w:tc>
          <w:tcPr>
            <w:tcW w:type="dxa" w:w="1984"/>
            <w:shd w:fill="EEF2F7" w:val="clear"/>
          </w:tcPr>
          <w:p>
            <w:pPr>
              <w:jc w:val="center"/>
            </w:pPr>
            <w:r/>
            <w:r>
              <w:rPr>
                <w:rFonts w:ascii="Calibri" w:hAnsi="Calibri"/>
                <w:color w:val="333333"/>
                <w:sz w:val="18"/>
              </w:rPr>
              <w:t>Brand Lift Data</w:t>
            </w:r>
          </w:p>
        </w:tc>
        <w:tc>
          <w:tcPr>
            <w:tcW w:type="dxa" w:w="1984"/>
            <w:shd w:fill="EEF2F7" w:val="clear"/>
          </w:tcPr>
          <w:p>
            <w:pPr>
              <w:jc w:val="center"/>
            </w:pPr>
            <w:r/>
            <w:r>
              <w:rPr>
                <w:rFonts w:ascii="Calibri" w:hAnsi="Calibri"/>
                <w:b/>
                <w:color w:val="C0392B"/>
                <w:sz w:val="18"/>
              </w:rPr>
              <w:t>FAIL -- pending/delayed</w:t>
            </w:r>
          </w:p>
        </w:tc>
        <w:tc>
          <w:tcPr>
            <w:tcW w:type="dxa" w:w="1984"/>
            <w:shd w:fill="EEF2F7" w:val="clear"/>
          </w:tcPr>
          <w:p>
            <w:pPr>
              <w:jc w:val="center"/>
            </w:pPr>
            <w:r/>
            <w:r>
              <w:rPr>
                <w:rFonts w:ascii="Calibri" w:hAnsi="Calibri"/>
                <w:color w:val="333333"/>
                <w:sz w:val="18"/>
              </w:rPr>
              <w:t>N/A (not in scope)</w:t>
            </w:r>
          </w:p>
        </w:tc>
        <w:tc>
          <w:tcPr>
            <w:tcW w:type="dxa" w:w="1984"/>
            <w:shd w:fill="EEF2F7" w:val="clear"/>
          </w:tcPr>
          <w:p>
            <w:pPr>
              <w:jc w:val="center"/>
            </w:pPr>
            <w:r/>
            <w:r>
              <w:rPr>
                <w:rFonts w:ascii="Calibri" w:hAnsi="Calibri"/>
                <w:color w:val="333333"/>
                <w:sz w:val="18"/>
              </w:rPr>
              <w:t>Partial -- 2 of 4 significant</w:t>
            </w:r>
          </w:p>
        </w:tc>
      </w:tr>
      <w:tr>
        <w:tc>
          <w:tcPr>
            <w:tcW w:type="dxa" w:w="1984"/>
          </w:tcPr>
          <w:p>
            <w:pPr>
              <w:jc w:val="center"/>
            </w:pPr>
            <w:r/>
            <w:r>
              <w:rPr>
                <w:rFonts w:ascii="Calibri" w:hAnsi="Calibri"/>
                <w:color w:val="333333"/>
                <w:sz w:val="18"/>
              </w:rPr>
              <w:t>Report Timeliness</w:t>
            </w:r>
          </w:p>
        </w:tc>
        <w:tc>
          <w:tcPr>
            <w:tcW w:type="dxa" w:w="1984"/>
          </w:tcPr>
          <w:p>
            <w:pPr>
              <w:jc w:val="center"/>
            </w:pPr>
            <w:r/>
            <w:r>
              <w:rPr>
                <w:rFonts w:ascii="Calibri" w:hAnsi="Calibri"/>
                <w:b/>
                <w:color w:val="C0392B"/>
                <w:sz w:val="18"/>
              </w:rPr>
              <w:t>Late (2 days)</w:t>
            </w:r>
          </w:p>
        </w:tc>
        <w:tc>
          <w:tcPr>
            <w:tcW w:type="dxa" w:w="1984"/>
          </w:tcPr>
          <w:p>
            <w:pPr>
              <w:jc w:val="center"/>
            </w:pPr>
            <w:r/>
            <w:r>
              <w:rPr>
                <w:rFonts w:ascii="Calibri" w:hAnsi="Calibri"/>
                <w:b/>
                <w:color w:val="C0392B"/>
                <w:sz w:val="18"/>
              </w:rPr>
              <w:t>Late (4 days)</w:t>
            </w:r>
          </w:p>
        </w:tc>
        <w:tc>
          <w:tcPr>
            <w:tcW w:type="dxa" w:w="1984"/>
          </w:tcPr>
          <w:p>
            <w:pPr>
              <w:jc w:val="center"/>
            </w:pPr>
            <w:r/>
            <w:r>
              <w:rPr>
                <w:rFonts w:ascii="Calibri" w:hAnsi="Calibri"/>
                <w:b/>
                <w:color w:val="1E7D32"/>
                <w:sz w:val="18"/>
              </w:rPr>
              <w:t>On time</w:t>
            </w:r>
          </w:p>
        </w:tc>
      </w:tr>
      <w:tr>
        <w:tc>
          <w:tcPr>
            <w:tcW w:type="dxa" w:w="1984"/>
            <w:shd w:fill="EEF2F7" w:val="clear"/>
          </w:tcPr>
          <w:p>
            <w:pPr>
              <w:jc w:val="center"/>
            </w:pPr>
            <w:r/>
            <w:r>
              <w:rPr>
                <w:rFonts w:ascii="Calibri" w:hAnsi="Calibri"/>
                <w:color w:val="333333"/>
                <w:sz w:val="18"/>
              </w:rPr>
              <w:t>Vendor Transparency</w:t>
            </w:r>
          </w:p>
        </w:tc>
        <w:tc>
          <w:tcPr>
            <w:tcW w:type="dxa" w:w="1984"/>
            <w:shd w:fill="EEF2F7" w:val="clear"/>
          </w:tcPr>
          <w:p>
            <w:pPr>
              <w:jc w:val="center"/>
            </w:pPr>
            <w:r/>
            <w:r>
              <w:rPr>
                <w:rFonts w:ascii="Calibri" w:hAnsi="Calibri"/>
                <w:b/>
                <w:color w:val="C0392B"/>
                <w:sz w:val="18"/>
              </w:rPr>
              <w:t>Low -- missing data, unverified claims</w:t>
            </w:r>
          </w:p>
        </w:tc>
        <w:tc>
          <w:tcPr>
            <w:tcW w:type="dxa" w:w="1984"/>
            <w:shd w:fill="EEF2F7" w:val="clear"/>
          </w:tcPr>
          <w:p>
            <w:pPr>
              <w:jc w:val="center"/>
            </w:pPr>
            <w:r/>
            <w:r>
              <w:rPr>
                <w:rFonts w:ascii="Calibri" w:hAnsi="Calibri"/>
                <w:color w:val="333333"/>
                <w:sz w:val="18"/>
              </w:rPr>
              <w:t>Medium -- acknowledges issues</w:t>
            </w:r>
          </w:p>
        </w:tc>
        <w:tc>
          <w:tcPr>
            <w:tcW w:type="dxa" w:w="1984"/>
            <w:shd w:fill="EEF2F7" w:val="clear"/>
          </w:tcPr>
          <w:p>
            <w:pPr>
              <w:jc w:val="center"/>
            </w:pPr>
            <w:r/>
            <w:r>
              <w:rPr>
                <w:rFonts w:ascii="Calibri" w:hAnsi="Calibri"/>
                <w:color w:val="333333"/>
                <w:sz w:val="18"/>
              </w:rPr>
              <w:t>High -- methodology shared</w:t>
            </w:r>
          </w:p>
        </w:tc>
      </w:tr>
      <w:tr>
        <w:tc>
          <w:tcPr>
            <w:tcW w:type="dxa" w:w="1984"/>
          </w:tcPr>
          <w:p>
            <w:pPr>
              <w:jc w:val="center"/>
            </w:pPr>
            <w:r/>
            <w:r>
              <w:rPr>
                <w:rFonts w:ascii="Calibri" w:hAnsi="Calibri"/>
                <w:color w:val="333333"/>
                <w:sz w:val="18"/>
              </w:rPr>
              <w:t>Overall Grade</w:t>
            </w:r>
          </w:p>
        </w:tc>
        <w:tc>
          <w:tcPr>
            <w:tcW w:type="dxa" w:w="1984"/>
          </w:tcPr>
          <w:p>
            <w:pPr>
              <w:jc w:val="center"/>
            </w:pPr>
            <w:r/>
            <w:r>
              <w:rPr>
                <w:rFonts w:ascii="Calibri" w:hAnsi="Calibri"/>
                <w:color w:val="333333"/>
                <w:sz w:val="18"/>
              </w:rPr>
              <w:t>C-</w:t>
            </w:r>
          </w:p>
        </w:tc>
        <w:tc>
          <w:tcPr>
            <w:tcW w:type="dxa" w:w="1984"/>
          </w:tcPr>
          <w:p>
            <w:pPr>
              <w:jc w:val="center"/>
            </w:pPr>
            <w:r/>
            <w:r>
              <w:rPr>
                <w:rFonts w:ascii="Calibri" w:hAnsi="Calibri"/>
                <w:color w:val="333333"/>
                <w:sz w:val="18"/>
              </w:rPr>
              <w:t>B</w:t>
            </w:r>
          </w:p>
        </w:tc>
        <w:tc>
          <w:tcPr>
            <w:tcW w:type="dxa" w:w="1984"/>
          </w:tcPr>
          <w:p>
            <w:pPr>
              <w:jc w:val="center"/>
            </w:pPr>
            <w:r/>
            <w:r>
              <w:rPr>
                <w:rFonts w:ascii="Calibri" w:hAnsi="Calibri"/>
                <w:color w:val="333333"/>
                <w:sz w:val="18"/>
              </w:rPr>
              <w:t>A-</w:t>
            </w:r>
          </w:p>
        </w:tc>
      </w:tr>
    </w:tbl>
    <w:p/>
    <w:p>
      <w:pPr>
        <w:pStyle w:val="Heading2"/>
      </w:pPr>
      <w:r>
        <w:rPr>
          <w:color w:val="1B2A4A"/>
        </w:rPr>
        <w:t>Who Delivered vs Who Fell Short</w:t>
      </w:r>
    </w:p>
    <w:p>
      <w:r>
        <w:rPr>
          <w:rFonts w:ascii="Calibri" w:hAnsi="Calibri"/>
          <w:b/>
          <w:color w:val="1E7D32"/>
          <w:sz w:val="20"/>
        </w:rPr>
        <w:t>SparkPoint Media (CTV) -- Best Performer</w:t>
      </w:r>
    </w:p>
    <w:p>
      <w:pPr>
        <w:pStyle w:val="ListBullet"/>
      </w:pPr>
      <w:r>
        <w:rPr>
          <w:rFonts w:ascii="Calibri" w:hAnsi="Calibri"/>
          <w:color w:val="333333"/>
          <w:sz w:val="20"/>
        </w:rPr>
        <w:t>Only vendor to deliver on time, on budget, and on target across core metrics. Transparent reporting with methodology attached. Brand lift results are partially proven. Earned the right to increased investment in Q2.</w:t>
      </w:r>
    </w:p>
    <w:p>
      <w:r>
        <w:rPr>
          <w:rFonts w:ascii="Calibri" w:hAnsi="Calibri"/>
          <w:b/>
          <w:color w:val="E67E22"/>
          <w:sz w:val="20"/>
        </w:rPr>
        <w:t>TikTok -- Strong Engagement, Poor Governance</w:t>
      </w:r>
    </w:p>
    <w:p>
      <w:pPr>
        <w:pStyle w:val="ListBullet"/>
      </w:pPr>
      <w:r>
        <w:rPr>
          <w:rFonts w:ascii="Calibri" w:hAnsi="Calibri"/>
          <w:color w:val="333333"/>
          <w:sz w:val="20"/>
        </w:rPr>
        <w:t>Genuinely strong upper-funnel performance on CTR, CPC, and views. Creator strategy produced real insights (micro-creator outperformance). However, unauthorized overspend, inflated attribution windows, and the latest report delivery undermine trust. Needs tighter controls, not more budget.</w:t>
      </w:r>
    </w:p>
    <w:p>
      <w:r>
        <w:rPr>
          <w:rFonts w:ascii="Calibri" w:hAnsi="Calibri"/>
          <w:b/>
          <w:color w:val="C0392B"/>
          <w:sz w:val="20"/>
        </w:rPr>
        <w:t>ReachMax Digital -- Underperformed on What Matters</w:t>
      </w:r>
    </w:p>
    <w:p>
      <w:pPr>
        <w:pStyle w:val="ListBullet"/>
      </w:pPr>
      <w:r>
        <w:rPr>
          <w:rFonts w:ascii="Calibri" w:hAnsi="Calibri"/>
          <w:color w:val="333333"/>
          <w:sz w:val="20"/>
        </w:rPr>
        <w:t>Delivered volume (impressions) but missed on quality (viewability), geography (Quebec), and the primary KPI (brand lift data still pending). Report was late. Brand safety claims are unverified. The vendor's narrative does not match the data. Requires a serious performance conversation before Q2 renewal.</w:t>
      </w:r>
    </w:p>
    <w:p/>
    <w:p>
      <w:pPr>
        <w:pStyle w:val="Heading2"/>
      </w:pPr>
      <w:r>
        <w:rPr>
          <w:color w:val="1B2A4A"/>
        </w:rPr>
        <w:t>Recommendations for Q2 Vendor Strategy</w:t>
      </w:r>
    </w:p>
    <w:p>
      <w:r>
        <w:rPr>
          <w:rFonts w:ascii="Calibri" w:hAnsi="Calibri"/>
          <w:b/>
          <w:color w:val="1B2A4A"/>
          <w:sz w:val="20"/>
        </w:rPr>
        <w:t>1. Tighten SOW terms across all vendors.</w:t>
      </w:r>
    </w:p>
    <w:p>
      <w:r>
        <w:rPr>
          <w:rFonts w:ascii="Calibri" w:hAnsi="Calibri"/>
          <w:sz w:val="20"/>
        </w:rPr>
        <w:t>Add contractual requirements: viewable CPM as primary efficiency metric (not total CPM), hard budget caps with pre-approval for overspend, standardized attribution windows (7-day click / 1-day view), penalties for late reporting, and mandatory third-party brand safety verification reports.</w:t>
      </w:r>
    </w:p>
    <w:p>
      <w:r>
        <w:rPr>
          <w:rFonts w:ascii="Calibri" w:hAnsi="Calibri"/>
          <w:b/>
          <w:color w:val="1B2A4A"/>
          <w:sz w:val="20"/>
        </w:rPr>
        <w:t>2. Address Quebec systematically.</w:t>
      </w:r>
    </w:p>
    <w:p>
      <w:r>
        <w:rPr>
          <w:rFonts w:ascii="Calibri" w:hAnsi="Calibri"/>
          <w:sz w:val="20"/>
        </w:rPr>
        <w:t>All three vendors missed Quebec targets. This is not a vendor problem -- it is a market structure problem. French-language digital inventory is limited on major platforms. Consider a dedicated Quebec media partner, French-language creator partnerships for TikTok, and French-language CTV inventory pre-buys for Q2.</w:t>
      </w:r>
    </w:p>
    <w:p>
      <w:r>
        <w:rPr>
          <w:rFonts w:ascii="Calibri" w:hAnsi="Calibri"/>
          <w:b/>
          <w:color w:val="1B2A4A"/>
          <w:sz w:val="20"/>
        </w:rPr>
        <w:t>3. Reallocate budget toward proven performers.</w:t>
      </w:r>
    </w:p>
    <w:p>
      <w:r>
        <w:rPr>
          <w:rFonts w:ascii="Calibri" w:hAnsi="Calibri"/>
          <w:sz w:val="20"/>
        </w:rPr>
        <w:t>SparkPoint (CTV) earned a budget increase based on performance. TikTok should maintain budget but with tighter controls. ReachMax should be put on notice: require a performance improvement plan addressing viewability, brand lift delivery timelines, and geographic targeting before committing Q2 budget.</w:t>
      </w:r>
    </w:p>
    <w:p>
      <w:r>
        <w:rPr>
          <w:rFonts w:ascii="Calibri" w:hAnsi="Calibri"/>
          <w:b/>
          <w:color w:val="1B2A4A"/>
          <w:sz w:val="20"/>
        </w:rPr>
        <w:t>4. Require brand lift study timelines in the SOW.</w:t>
      </w:r>
    </w:p>
    <w:p>
      <w:r>
        <w:rPr>
          <w:rFonts w:ascii="Calibri" w:hAnsi="Calibri"/>
          <w:sz w:val="20"/>
        </w:rPr>
        <w:t>ReachMax's pending brand lift study -- the primary KPI -- is unacceptable. For Q2, require survey partner coordination before campaign launch, mid-flight preliminary results, and final data delivered with the wrap report. If a vendor cannot commit to this timeline, the KPI should be removed from their scope.</w:t>
      </w:r>
    </w:p>
    <w:p>
      <w:r>
        <w:rPr>
          <w:rFonts w:ascii="Calibri" w:hAnsi="Calibri"/>
          <w:b/>
          <w:color w:val="1B2A4A"/>
          <w:sz w:val="20"/>
        </w:rPr>
        <w:t>5. Standardize vendor report cards.</w:t>
      </w:r>
    </w:p>
    <w:p>
      <w:r>
        <w:rPr>
          <w:rFonts w:ascii="Calibri" w:hAnsi="Calibri"/>
          <w:sz w:val="20"/>
        </w:rPr>
        <w:t>Create a standard template that all vendors must follow for wrap reports. This ensures consistent data, makes cross-vendor comparison easier, and prevents vendors from burying misses in narrative text. Include a mandatory section where vendors self-identify what did not meet targets and why.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