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50E84">
      <w:pPr>
        <w:pStyle w:val="4"/>
      </w:pPr>
      <w:r>
        <w:rPr>
          <w:rFonts w:hint="eastAsia"/>
        </w:rPr>
        <w:t>参考</w:t>
      </w:r>
    </w:p>
    <w:p w14:paraId="60C5231F">
      <w:r>
        <w:fldChar w:fldCharType="begin"/>
      </w:r>
      <w:r>
        <w:instrText xml:space="preserve"> HYPERLINK "http://www.yindaheng98.top/%E5%9B%BE%E5%BD%A2%E5%AD%A6/%E6%8A%95%E5%BD%B1%E5%92%8C%E5%85%89%E6%A0%85%E5%8C%96.html" \l "%E9%BD%90%E6%AC%A1%E5%9D%90%E6%A0%87%E5%92%8C%E9%BD%90%E6%AC%A1%E5%90%91%E9%87%8F" </w:instrText>
      </w:r>
      <w:r>
        <w:fldChar w:fldCharType="separate"/>
      </w:r>
      <w:r>
        <w:rPr>
          <w:rStyle w:val="15"/>
        </w:rPr>
        <w:t>http://www.yindaheng98.top/%E5%9B%BE%E5%BD%A2%E5%AD%A6/%E6%8A%95%E5%BD%B1%E5%92%8C%E5%85%89%E6%A0%85%E5%8C%96.html#%E9%BD%90%E6%AC%A1%E5%9D%90%E6%A0%87%E5%92%8C%E9%BD%90%E6%AC%A1%E5%90%91%E9%87%8F</w:t>
      </w:r>
      <w:r>
        <w:rPr>
          <w:rStyle w:val="15"/>
        </w:rPr>
        <w:fldChar w:fldCharType="end"/>
      </w:r>
    </w:p>
    <w:p w14:paraId="7AAF362C">
      <w:pPr>
        <w:keepNext w:val="0"/>
        <w:keepLines w:val="0"/>
        <w:widowControl/>
        <w:suppressLineNumbers w:val="0"/>
        <w:jc w:val="left"/>
      </w:pPr>
      <w:r>
        <w:rPr>
          <w:rFonts w:hint="eastAsia"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  <w14:ligatures w14:val="standardContextual"/>
        </w:rPr>
        <w:t>书籍：</w:t>
      </w:r>
      <w:r>
        <w:rPr>
          <w:rFonts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  <w14:ligatures w14:val="standardContextual"/>
        </w:rPr>
        <w:t>Mathematics for 3D Game Programming and Computer Graphics</w:t>
      </w:r>
    </w:p>
    <w:p w14:paraId="6F5D68AA"/>
    <w:p w14:paraId="2F666831">
      <w:pPr>
        <w:pStyle w:val="4"/>
      </w:pPr>
      <w:r>
        <w:t>L</w:t>
      </w:r>
      <w:r>
        <w:rPr>
          <w:rFonts w:hint="eastAsia"/>
        </w:rPr>
        <w:t>ecture04</w:t>
      </w:r>
    </w:p>
    <w:p w14:paraId="53D08BC7">
      <w:r>
        <w:t>C</w:t>
      </w:r>
      <w:r>
        <w:rPr>
          <w:rFonts w:hint="eastAsia"/>
        </w:rPr>
        <w:t>amera的定义：position，lookat direction，up direction</w:t>
      </w:r>
    </w:p>
    <w:p w14:paraId="64C0FD5C">
      <w:r>
        <w:rPr>
          <w:rFonts w:hint="eastAsia"/>
        </w:rPr>
        <w:t>约定熟成：相机放在000原点，up为y轴，看着-z轴</w:t>
      </w:r>
    </w:p>
    <w:p w14:paraId="70DABBE9">
      <w:r>
        <w:t>V</w:t>
      </w:r>
      <w:r>
        <w:rPr>
          <w:rFonts w:hint="eastAsia"/>
        </w:rPr>
        <w:t>iew/camera transformation：把相机移动到上面约定的位姿，也可以理解为世界坐标系转到相机坐标系下，但是相机坐标系有约定，y轴向上，看向-z轴，在此基础上再做Projection</w:t>
      </w:r>
    </w:p>
    <w:p w14:paraId="2F884C85">
      <w:r>
        <w:t>P</w:t>
      </w:r>
      <w:r>
        <w:rPr>
          <w:rFonts w:hint="eastAsia"/>
        </w:rPr>
        <w:t>erspective projection / orthographic projection</w:t>
      </w:r>
    </w:p>
    <w:p w14:paraId="70953001">
      <w:r>
        <w:rPr>
          <w:rFonts w:hint="eastAsia"/>
        </w:rPr>
        <w:t>透视投影：透视投影转换到cuboid（M_persp-&gt;ortho），再做正交投影</w:t>
      </w:r>
    </w:p>
    <w:p w14:paraId="3858FDA8">
      <w:r>
        <w:rPr>
          <w:rFonts w:hint="eastAsia"/>
        </w:rPr>
        <w:t>正交投影：</w:t>
      </w:r>
      <w:r>
        <w:t>透视投影后视锥体范围就对应一长方体，视锥体各平面就是长方体的各平面，正交投影就是在透视投影后把这个长方体内的点全部缩放到x,y,z∈[</w:t>
      </w:r>
      <w:r>
        <w:rPr>
          <w:rFonts w:ascii="Cambria Math" w:hAnsi="Cambria Math" w:cs="Cambria Math"/>
        </w:rPr>
        <w:t>−</w:t>
      </w:r>
      <w:r>
        <w:t>1,1]3</w:t>
      </w:r>
      <w:r>
        <w:rPr>
          <w:i/>
          <w:iCs/>
        </w:rPr>
        <w:t>x</w:t>
      </w:r>
      <w:r>
        <w:t>,</w:t>
      </w:r>
      <w:r>
        <w:rPr>
          <w:i/>
          <w:iCs/>
        </w:rPr>
        <w:t>y</w:t>
      </w:r>
      <w:r>
        <w:t>,</w:t>
      </w:r>
      <w:r>
        <w:rPr>
          <w:i/>
          <w:iCs/>
        </w:rPr>
        <w:t>z</w:t>
      </w:r>
      <w:r>
        <w:t>∈[</w:t>
      </w:r>
      <w:r>
        <w:rPr>
          <w:rFonts w:ascii="Cambria Math" w:hAnsi="Cambria Math" w:cs="Cambria Math"/>
        </w:rPr>
        <w:t>−</w:t>
      </w:r>
      <w:r>
        <w:t>1,1]3的</w:t>
      </w:r>
      <w:r>
        <w:rPr>
          <w:rFonts w:hint="eastAsia"/>
        </w:rPr>
        <w:t>立</w:t>
      </w:r>
      <w:r>
        <w:t>方体区域内以方便光栅化计算。</w:t>
      </w:r>
    </w:p>
    <w:p w14:paraId="21FCD45A">
      <w:r>
        <w:drawing>
          <wp:inline distT="0" distB="0" distL="0" distR="0">
            <wp:extent cx="2565400" cy="1196340"/>
            <wp:effectExtent l="0" t="0" r="6350" b="3810"/>
            <wp:docPr id="186585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546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010" cy="120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28E8">
      <w:r>
        <w:t>View Transformation</w:t>
      </w:r>
      <w:r>
        <w:rPr>
          <w:rFonts w:hint="eastAsia"/>
        </w:rPr>
        <w:t>：</w:t>
      </w:r>
      <w:r>
        <w:t>View Transformation 矩阵将物体顶点在世界空间下的坐标转换为视图空间下的坐标</w:t>
      </w:r>
      <w:r>
        <w:rPr>
          <w:rFonts w:hint="eastAsia"/>
        </w:rPr>
        <w:t>（相机坐标系）</w:t>
      </w:r>
      <w:r>
        <w:t>。</w:t>
      </w:r>
      <w:r>
        <w:rPr>
          <w:rFonts w:hint="eastAsia"/>
        </w:rPr>
        <w:t>(注意和计算机视觉的世界坐标系转相机坐标系不同，这里的转换是相机看向-z，up为y轴正向)</w:t>
      </w:r>
    </w:p>
    <w:p w14:paraId="4FF2FB83">
      <w:r>
        <w:t>Projection Transformation</w:t>
      </w:r>
      <w:r>
        <w:rPr>
          <w:rFonts w:hint="eastAsia"/>
        </w:rPr>
        <w:t>：</w:t>
      </w:r>
      <w:r>
        <w:t>Projection Transformation 矩阵将物体顶点在视图空间的坐标转换为裁剪空间的坐标</w:t>
      </w:r>
      <w:r>
        <w:rPr>
          <w:rFonts w:hint="eastAsia"/>
        </w:rPr>
        <w:t>。</w:t>
      </w:r>
    </w:p>
    <w:p w14:paraId="2FEFBEE9">
      <w:r>
        <w:rPr>
          <w:rFonts w:hint="eastAsia"/>
        </w:rPr>
        <w:t>什么是正交投影矩阵M_ortho。 也就是标准化正交投影，压缩到-1，1的立方体</w:t>
      </w:r>
    </w:p>
    <w:p w14:paraId="1A1077D0">
      <w:r>
        <w:rPr>
          <w:rFonts w:hint="eastAsia"/>
        </w:rPr>
        <w:t>什么是透视投影转正交投影M_persp-&gt;ortho。</w:t>
      </w:r>
    </w:p>
    <w:p w14:paraId="2236414A">
      <w:pPr>
        <w:rPr>
          <w:rFonts w:hint="eastAsia"/>
        </w:rPr>
      </w:pPr>
      <w:r>
        <w:rPr>
          <w:rFonts w:hint="eastAsia"/>
        </w:rPr>
        <w:t>实际流程是先透视投影转正交投影，然后标准化正交投影</w:t>
      </w:r>
    </w:p>
    <w:p w14:paraId="35AC4644">
      <w:pPr>
        <w:rPr>
          <w:rFonts w:hint="default" w:eastAsiaTheme="minorEastAsia"/>
          <w:lang w:val="en-US" w:eastAsia="zh-CN"/>
        </w:rPr>
      </w:pPr>
    </w:p>
    <w:p w14:paraId="77B4CF0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Matrix推导</w:t>
      </w:r>
    </w:p>
    <w:p w14:paraId="0BA954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"https://yconquesty.github.io/blog/ml/nerf/nerf_ndc.html#background"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https://yconquesty.github.io/blog/ml/nerf/nerf_ndc.html#background</w:t>
      </w:r>
      <w:r>
        <w:rPr>
          <w:rFonts w:hint="eastAsia"/>
          <w:lang w:val="en-US" w:eastAsia="zh-CN"/>
        </w:rPr>
        <w:fldChar w:fldCharType="end"/>
      </w:r>
    </w:p>
    <w:p w14:paraId="31F36AB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Noto Sans CJK SC" w:hAnsi="Noto Sans CJK SC" w:eastAsia="Noto Sans CJK SC" w:cs="Noto Sans CJK SC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  <w14:ligatures w14:val="standardContextual"/>
        </w:rPr>
        <w:t>Mathematics for 3D Game Programming and Computer Graphics</w:t>
      </w:r>
    </w:p>
    <w:p w14:paraId="21B2F0F1">
      <w:pPr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w:r>
        <w:rPr>
          <w:rFonts w:hint="eastAsia"/>
          <w:lang w:val="en-US" w:eastAsia="zh-CN"/>
        </w:rPr>
        <w:t>坐标系x轴向右，y轴向上，按看向-z轴推导，假设n&gt;0, f&gt;0，近平面为z=-n, 远平面为z=-f</w:t>
      </w:r>
    </w:p>
    <w:p w14:paraId="317A2DA9">
      <w:pPr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w:r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  <w:t>M矩阵乘以(Px,Py,Pz,1）会变换到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2"/>
            <w:szCs w:val="24"/>
            <w:lang w:val="en-US" w:eastAsia="zh-CN" w:bidi="ar-SA"/>
            <w14:ligatures w14:val="standardContextual"/>
          </w:rPr>
          <m:t>(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2"/>
            <w:szCs w:val="24"/>
            <w:lang w:val="en-US" w:eastAsia="zh-CN" w:bidi="ar-SA"/>
            <w14:ligatures w14:val="standardContextual"/>
          </w:rPr>
          <m:t>nx/−Pz,ny/−Pz,unknown, 1)</m:t>
        </m:r>
      </m:oMath>
      <w:r>
        <m:rPr/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  <w:t>这里的z是坐标为负的，这里n和f都是正的</w:t>
      </w:r>
    </w:p>
    <w:p w14:paraId="6B624C17">
      <w:pPr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2"/>
              <w:szCs w:val="24"/>
              <w:lang w:val="en-US" w:eastAsia="zh-CN" w:bidi="ar-SA"/>
              <w14:ligatures w14:val="standardContextual"/>
            </w:rPr>
            <m:t>M_persp2ortho=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hint="default" w:ascii="DejaVu Math TeX Gyre" w:hAnsi="DejaVu Math TeX Gyre" w:cstheme="minorBidi"/>
                  <w:kern w:val="2"/>
                  <w:sz w:val="22"/>
                  <w:szCs w:val="24"/>
                  <w:lang w:val="en-US" w:eastAsia="zh-CN" w:bidi="ar-SA"/>
                  <w14:ligatures w14:val="standardContextual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n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n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(n+f)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nf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</m:m>
        </m:oMath>
      </m:oMathPara>
    </w:p>
    <w:p w14:paraId="6FBB41EC"/>
    <w:p w14:paraId="103C8F77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求出</w:t>
      </w:r>
      <w:r>
        <w:rPr>
          <w:rFonts w:hint="eastAsia"/>
          <w:lang w:val="en-US" w:eastAsia="zh-CN"/>
        </w:rPr>
        <w:t>Mortho，-f&lt;=Pz&lt;=-n，但是NDC需要的是把near平面映射到-1, far平面映射到+1，所以需要对z轴进行反转（等于换到NDC左手系）</w:t>
      </w:r>
    </w:p>
    <w:p w14:paraId="1250BD5B">
      <w:p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2"/>
              <w:szCs w:val="24"/>
              <w:lang w:val="en-US" w:eastAsia="zh-CN" w:bidi="ar-SA"/>
              <w14:ligatures w14:val="standardContextual"/>
            </w:rPr>
            <m:t>M_ortho_corner=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kern w:val="2"/>
                  <w:sz w:val="22"/>
                  <w:szCs w:val="24"/>
                  <w:lang w:val="en-US" w:eastAsia="zh-CN" w:bidi="ar-SA"/>
                  <w14:ligatures w14:val="standardContextual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−l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−b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n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</m:m>
        </m:oMath>
      </m:oMathPara>
    </w:p>
    <w:p w14:paraId="10AAEF20">
      <w:p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2"/>
              <w:szCs w:val="24"/>
              <w:lang w:val="en-US" w:eastAsia="zh-CN" w:bidi="ar-SA"/>
              <w14:ligatures w14:val="standardContextual"/>
            </w:rPr>
            <m:t>M_ortho_scale=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kern w:val="2"/>
                  <w:sz w:val="22"/>
                  <w:szCs w:val="24"/>
                  <w:lang w:val="en-US" w:eastAsia="zh-CN" w:bidi="ar-SA"/>
                  <w14:ligatures w14:val="standardContextual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2/(r−l)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2/(t−b)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2/(n−f)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</m:m>
        </m:oMath>
      </m:oMathPara>
    </w:p>
    <w:p w14:paraId="6D863B44">
      <w:pPr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2"/>
              <w:szCs w:val="24"/>
              <w:lang w:val="en-US" w:eastAsia="zh-CN" w:bidi="ar-SA"/>
              <w14:ligatures w14:val="standardContextual"/>
            </w:rPr>
            <m:t>M_ortho_center=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kern w:val="2"/>
                  <w:sz w:val="22"/>
                  <w:szCs w:val="24"/>
                  <w:lang w:val="en-US" w:eastAsia="zh-CN" w:bidi="ar-SA"/>
                  <w14:ligatures w14:val="standardContextual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−1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kern w:val="2"/>
                    <w:sz w:val="22"/>
                    <w:szCs w:val="24"/>
                    <w:lang w:val="en-US" w:eastAsia="zh-CN" w:bidi="ar-SA"/>
                    <w14:ligatures w14:val="standardContextual"/>
                  </w:rPr>
                </m:ctrlPr>
              </m:e>
            </m:mr>
          </m:m>
        </m:oMath>
      </m:oMathPara>
      <w:bookmarkStart w:id="0" w:name="_GoBack"/>
      <w:bookmarkEnd w:id="0"/>
    </w:p>
    <w:p w14:paraId="3A429177">
      <w:pPr>
        <w:rPr>
          <w:rFonts w:hint="default" w:eastAsiaTheme="minorEastAsia"/>
          <w:lang w:val="en-US" w:eastAsia="zh-CN"/>
        </w:rPr>
      </w:pPr>
    </w:p>
    <w:p w14:paraId="5585C94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注意：Mathematics for 3D Game Programming and Computer Graphics书中给了一步到位推导，就是直接映射到-1,1去</w:t>
      </w:r>
    </w:p>
    <w:p w14:paraId="3F0AC8EC">
      <w:pPr>
        <w:rPr>
          <w:rFonts w:hint="default" w:eastAsiaTheme="minorEastAsia"/>
          <w:lang w:val="en-US" w:eastAsia="zh-CN"/>
        </w:rPr>
      </w:pPr>
    </w:p>
    <w:p w14:paraId="60FA7B1E">
      <w:pPr>
        <w:rPr>
          <w:rFonts w:hint="default" w:eastAsiaTheme="minorEastAsia"/>
          <w:lang w:val="en-US" w:eastAsia="zh-CN"/>
        </w:rPr>
      </w:pPr>
    </w:p>
    <w:p w14:paraId="656D994A">
      <w:pPr>
        <w:pStyle w:val="4"/>
      </w:pPr>
      <w:r>
        <w:rPr>
          <w:rFonts w:hint="eastAsia"/>
        </w:rPr>
        <w:t>光栅化</w:t>
      </w:r>
      <w:r>
        <w:t>Raster</w:t>
      </w:r>
      <w:r>
        <w:rPr>
          <w:rFonts w:hint="eastAsia"/>
        </w:rPr>
        <w:t>ization</w:t>
      </w:r>
    </w:p>
    <w:p w14:paraId="39AC7275">
      <w:r>
        <w:rPr>
          <w:rFonts w:hint="eastAsia"/>
        </w:rPr>
        <w:t>光栅就是screen的意思，光栅化=画在屏幕上</w:t>
      </w:r>
    </w:p>
    <w:p w14:paraId="36852479">
      <w:r>
        <w:rPr>
          <w:rFonts w:hint="eastAsia"/>
        </w:rPr>
        <w:t>假设已经得到了[-1,1]的立方体</w:t>
      </w:r>
    </w:p>
    <w:p w14:paraId="22C211E9">
      <w:r>
        <w:t>V</w:t>
      </w:r>
      <w:r>
        <w:rPr>
          <w:rFonts w:hint="eastAsia"/>
        </w:rPr>
        <w:t xml:space="preserve">iewport变换。转换xy plane: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−1,1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 xml:space="preserve"> to [0,widtℎ]x[0,ℎeigℎt]</m:t>
        </m:r>
      </m:oMath>
    </w:p>
    <w:p w14:paraId="4E2E0866">
      <w:r>
        <w:drawing>
          <wp:inline distT="0" distB="0" distL="0" distR="0">
            <wp:extent cx="2169795" cy="865505"/>
            <wp:effectExtent l="0" t="0" r="1905" b="0"/>
            <wp:docPr id="399276302" name="Picture 1" descr="A math equation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6302" name="Picture 1" descr="A math equation with numbers and lin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358" cy="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5B1B">
      <w:pPr>
        <w:rPr>
          <w:rFonts w:hint="eastAsia"/>
        </w:rPr>
      </w:pPr>
      <w:r>
        <w:rPr>
          <w:rFonts w:hint="eastAsia"/>
        </w:rPr>
        <w:t>所谓光栅化，就是确定每个点是否处于物体内，如果处于显示物体的颜色，否则不显示。这个过程专业点叫sampling</w:t>
      </w:r>
    </w:p>
    <w:p w14:paraId="5C6EDD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MVP变换：</w:t>
      </w:r>
    </w:p>
    <w:p w14:paraId="4FF2A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transform：把object的local坐标系转换到世界坐标系下</w:t>
      </w:r>
    </w:p>
    <w:p w14:paraId="594D77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transform：把object从世界坐标系转换到相机坐标系下</w:t>
      </w:r>
    </w:p>
    <w:p w14:paraId="1F7DEF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transform：投影到NDC空间下（clip space）</w:t>
      </w:r>
    </w:p>
    <w:p w14:paraId="7E32D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viewport transform：变换到屏幕下</w:t>
      </w:r>
    </w:p>
    <w:p w14:paraId="13F85A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法线怎么变换？</w:t>
      </w:r>
    </w:p>
    <w:p w14:paraId="486200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vertex可以利用MVP来变换，但是法线不能利用直接乘以n来计算</w:t>
      </w:r>
    </w:p>
    <w:p w14:paraId="233A16F8">
      <w:r>
        <w:drawing>
          <wp:inline distT="0" distB="0" distL="114300" distR="114300">
            <wp:extent cx="1044575" cy="172402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82345" cy="1621790"/>
            <wp:effectExtent l="0" t="0" r="825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5080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MV看作一个整体，下面推导法线变换到view space下</w:t>
      </w:r>
    </w:p>
    <w:p w14:paraId="5492B7FF">
      <w:pPr>
        <w:rPr>
          <w:rFonts w:hint="eastAsia" w:hAnsi="DejaVu Math TeX Gyre"/>
          <w:i w:val="0"/>
          <w:sz w:val="22"/>
          <w:lang w:val="en-US" w:eastAsia="zh-CN"/>
        </w:rPr>
      </w:pPr>
      <w:r>
        <w:rPr>
          <w:rFonts w:hint="eastAsia"/>
          <w:lang w:val="en-US" w:eastAsia="zh-CN"/>
        </w:rPr>
        <w:t>假设</w:t>
      </w:r>
      <m:oMath>
        <m:r>
          <m:rPr/>
          <w:rPr>
            <w:rFonts w:hint="default" w:ascii="DejaVu Math TeX Gyre" w:hAnsi="DejaVu Math TeX Gyre"/>
            <w:sz w:val="22"/>
          </w:rPr>
          <m:t>T</m:t>
        </m:r>
        <m:r>
          <m:rPr>
            <m:sty m:val="p"/>
          </m:rPr>
          <w:rPr>
            <w:rFonts w:hint="default" w:ascii="DejaVu Math TeX Gyre" w:hAnsi="DejaVu Math TeX Gyre"/>
            <w:sz w:val="22"/>
          </w:rPr>
          <m:t>和</m:t>
        </m:r>
        <m:sSup>
          <m:sSupPr>
            <m:ctrlPr>
              <w:rPr>
                <w:rFonts w:hint="default" w:ascii="DejaVu Math TeX Gyre" w:hAnsi="DejaVu Math TeX Gyre"/>
                <w:sz w:val="22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2"/>
              </w:rPr>
              <m:t>T</m:t>
            </m:r>
            <m:ctrlPr>
              <w:rPr>
                <w:rFonts w:ascii="DejaVu Math TeX Gyre" w:hAnsi="DejaVu Math TeX Gyre"/>
                <w:sz w:val="22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2"/>
              </w:rPr>
              <m:t>`</m:t>
            </m:r>
            <m:ctrlPr>
              <w:rPr>
                <w:rFonts w:ascii="DejaVu Math TeX Gyre" w:hAnsi="DejaVu Math TeX Gyre"/>
                <w:sz w:val="22"/>
              </w:rPr>
            </m:ctrlPr>
          </m:sup>
        </m:sSup>
      </m:oMath>
      <w:r>
        <w:rPr>
          <w:rFonts w:hint="eastAsia" w:hAnsi="DejaVu Math TeX Gyre"/>
          <w:i w:val="0"/>
          <w:sz w:val="22"/>
          <w:lang w:eastAsia="zh-CN"/>
        </w:rPr>
        <w:t>为切线向量，切线向量可以由某两个点</w:t>
      </w:r>
      <w:r>
        <w:rPr>
          <w:rFonts w:hint="eastAsia" w:hAnsi="DejaVu Math TeX Gyre"/>
          <w:i w:val="0"/>
          <w:sz w:val="22"/>
          <w:lang w:val="en-US" w:eastAsia="zh-CN"/>
        </w:rPr>
        <w:t>P2 P1得到</w:t>
      </w:r>
    </w:p>
    <w:p w14:paraId="32533775">
      <w:pPr>
        <w:rPr>
          <w:rFonts w:hint="default" w:hAnsi="DejaVu Math TeX Gyre"/>
          <w:i w:val="0"/>
          <w:sz w:val="22"/>
          <w:lang w:val="en-US" w:eastAsia="zh-CN"/>
        </w:rPr>
      </w:pPr>
      <w:r>
        <w:rPr>
          <w:rFonts w:hint="eastAsia" w:hAnsi="DejaVu Math TeX Gyre"/>
          <w:i w:val="0"/>
          <w:sz w:val="22"/>
          <w:lang w:val="en-US" w:eastAsia="zh-CN"/>
        </w:rPr>
        <w:t>（注意T为方向向量，齐次写法最后一个值为0）</w:t>
      </w:r>
    </w:p>
    <w:p w14:paraId="1CACEB5D">
      <w:pPr>
        <m:rPr/>
        <w:rPr>
          <w:rFonts w:hint="default" w:hAnsi="DejaVu Math TeX Gyre" w:eastAsiaTheme="minorEastAsia"/>
          <w:i w:val="0"/>
          <w:sz w:val="22"/>
          <w:lang w:val="en-US" w:eastAsia="zh-CN"/>
        </w:rPr>
      </w:pPr>
      <m:oMathPara>
        <m:oMath>
          <m:r>
            <m:rPr/>
            <w:rPr>
              <w:rFonts w:hint="default" w:ascii="DejaVu Math TeX Gyre" w:hAnsi="DejaVu Math TeX Gyre"/>
              <w:sz w:val="22"/>
            </w:rPr>
            <m:t>T=</m:t>
          </m:r>
          <m:sSub>
            <m:sSubPr>
              <m:ctrlPr>
                <w:rPr>
                  <w:rFonts w:hint="default" w:ascii="DejaVu Math TeX Gyre" w:hAnsi="DejaVu Math TeX Gyre"/>
                  <w:sz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P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2"/>
                </w:rPr>
                <m:t>2</m:t>
              </m:r>
              <m:ctrlPr>
                <w:rPr>
                  <w:rFonts w:ascii="DejaVu Math TeX Gyre" w:hAnsi="DejaVu Math TeX Gyre"/>
                  <w:sz w:val="22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2"/>
            </w:rPr>
            <m:t>−</m:t>
          </m:r>
          <m:sSub>
            <m:sSubPr>
              <m:ctrlPr>
                <w:rPr>
                  <w:rFonts w:hint="default" w:ascii="DejaVu Math TeX Gyre" w:hAnsi="DejaVu Math TeX Gyre"/>
                  <w:sz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P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2"/>
                </w:rPr>
                <m:t>1</m:t>
              </m:r>
              <m:ctrlPr>
                <w:rPr>
                  <w:rFonts w:ascii="DejaVu Math TeX Gyre" w:hAnsi="DejaVu Math TeX Gyre"/>
                  <w:sz w:val="22"/>
                </w:rPr>
              </m:ctrlPr>
            </m:sub>
          </m:sSub>
        </m:oMath>
      </m:oMathPara>
    </w:p>
    <w:p w14:paraId="03C3C313">
      <w:pPr>
        <m:rPr/>
        <w:rPr>
          <w:rFonts w:hint="default" w:hAnsi="DejaVu Math TeX Gyre"/>
          <w:i w:val="0"/>
          <w:sz w:val="22"/>
        </w:rPr>
      </w:pPr>
      <m:oMathPara>
        <m:oMath>
          <m:r>
            <m:rPr/>
            <w:rPr>
              <w:rFonts w:hint="default" w:ascii="DejaVu Math TeX Gyre" w:hAnsi="DejaVu Math TeX Gyre"/>
              <w:sz w:val="22"/>
            </w:rPr>
            <m:t>MV⋅T=MV⋅(</m:t>
          </m:r>
          <m:sSub>
            <m:sSubPr>
              <m:ctrlPr>
                <w:rPr>
                  <w:rFonts w:hint="default" w:ascii="DejaVu Math TeX Gyre" w:hAnsi="DejaVu Math TeX Gyre"/>
                  <w:sz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P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2"/>
                </w:rPr>
                <m:t>2</m:t>
              </m:r>
              <m:ctrlPr>
                <w:rPr>
                  <w:rFonts w:ascii="DejaVu Math TeX Gyre" w:hAnsi="DejaVu Math TeX Gyre"/>
                  <w:sz w:val="22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2"/>
            </w:rPr>
            <m:t>−</m:t>
          </m:r>
          <m:sSub>
            <m:sSubPr>
              <m:ctrlPr>
                <w:rPr>
                  <w:rFonts w:hint="default" w:ascii="DejaVu Math TeX Gyre" w:hAnsi="DejaVu Math TeX Gyre"/>
                  <w:sz w:val="22"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P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2"/>
                </w:rPr>
                <m:t>1</m:t>
              </m:r>
              <m:ctrlPr>
                <w:rPr>
                  <w:rFonts w:ascii="DejaVu Math TeX Gyre" w:hAnsi="DejaVu Math TeX Gyre"/>
                  <w:sz w:val="22"/>
                </w:rPr>
              </m:ctrlPr>
            </m:sub>
          </m:sSub>
          <m:r>
            <m:rPr/>
            <w:rPr>
              <w:rFonts w:hint="default" w:ascii="DejaVu Math TeX Gyre" w:hAnsi="DejaVu Math TeX Gyre"/>
              <w:sz w:val="22"/>
            </w:rPr>
            <m:t>)</m:t>
          </m:r>
        </m:oMath>
      </m:oMathPara>
    </w:p>
    <w:p w14:paraId="012E9A7D">
      <w:pPr>
        <m:rPr/>
        <w:rPr>
          <w:rFonts w:hint="default" w:hAnsi="DejaVu Math TeX Gyre"/>
          <w:i w:val="0"/>
          <w:sz w:val="22"/>
          <w:lang w:val="en-US"/>
        </w:rPr>
      </w:pPr>
      <m:oMathPara>
        <m:oMath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T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`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2"/>
            </w:rPr>
            <m:t>=</m:t>
          </m:r>
          <m:sSubSup>
            <m:sSubSupPr>
              <m:ctrlPr>
                <w:rPr>
                  <w:rFonts w:hint="default" w:ascii="DejaVu Math TeX Gyre" w:hAnsi="DejaVu Math TeX Gyre"/>
                  <w:sz w:val="22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P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2"/>
                </w:rPr>
                <m:t>2</m:t>
              </m:r>
              <m:ctrlPr>
                <w:rPr>
                  <w:rFonts w:ascii="DejaVu Math TeX Gyre" w:hAnsi="DejaVu Math TeX Gyre"/>
                  <w:sz w:val="22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`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bSup>
          <m:r>
            <m:rPr/>
            <w:rPr>
              <w:rFonts w:hint="default" w:ascii="DejaVu Math TeX Gyre" w:hAnsi="DejaVu Math TeX Gyre"/>
              <w:sz w:val="22"/>
            </w:rPr>
            <m:t>−</m:t>
          </m:r>
          <m:sSubSup>
            <m:sSubSupPr>
              <m:ctrlPr>
                <w:rPr>
                  <w:rFonts w:hint="default" w:ascii="DejaVu Math TeX Gyre" w:hAnsi="DejaVu Math TeX Gyre"/>
                  <w:sz w:val="22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P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sz w:val="22"/>
                </w:rPr>
                <m:t>1</m:t>
              </m:r>
              <m:ctrlPr>
                <w:rPr>
                  <w:rFonts w:ascii="DejaVu Math TeX Gyre" w:hAnsi="DejaVu Math TeX Gyre"/>
                  <w:sz w:val="22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`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bSup>
        </m:oMath>
      </m:oMathPara>
    </w:p>
    <w:p w14:paraId="230A9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所以可以利用MV来变换切线向量</w:t>
      </w:r>
    </w:p>
    <w:p w14:paraId="10644EE2">
      <w:pPr>
        <m:rPr/>
        <w:rPr>
          <w:rFonts w:hint="default" w:hAnsi="DejaVu Math TeX Gyre" w:eastAsiaTheme="minorEastAsia"/>
          <w:i w:val="0"/>
          <w:sz w:val="22"/>
          <w:lang w:val="en-US" w:eastAsia="zh-CN"/>
        </w:rPr>
      </w:pPr>
      <w:r>
        <w:rPr>
          <w:rFonts w:hint="eastAsia"/>
          <w:lang w:val="en-US" w:eastAsia="zh-CN"/>
        </w:rPr>
        <w:t>假设有一个3x3矩阵G，把法线变换后依然满足</w:t>
      </w:r>
      <m:oMath>
        <m:sSup>
          <m:sSupPr>
            <m:ctrlPr>
              <w:rPr>
                <w:rFonts w:hint="default" w:ascii="DejaVu Math TeX Gyre" w:hAnsi="DejaVu Math TeX Gyre"/>
                <w:sz w:val="22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2"/>
              </w:rPr>
              <m:t>N</m:t>
            </m:r>
            <m:ctrlPr>
              <w:rPr>
                <w:rFonts w:ascii="DejaVu Math TeX Gyre" w:hAnsi="DejaVu Math TeX Gyre"/>
                <w:sz w:val="22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2"/>
              </w:rPr>
              <m:t>`</m:t>
            </m:r>
            <m:ctrlPr>
              <w:rPr>
                <w:rFonts w:ascii="DejaVu Math TeX Gyre" w:hAnsi="DejaVu Math TeX Gyre"/>
                <w:sz w:val="22"/>
              </w:rPr>
            </m:ctrlPr>
          </m:sup>
        </m:sSup>
        <m:r>
          <m:rPr/>
          <w:rPr>
            <w:rFonts w:hint="default" w:ascii="DejaVu Math TeX Gyre" w:hAnsi="DejaVu Math TeX Gyre"/>
            <w:sz w:val="22"/>
          </w:rPr>
          <m:t>⋅</m:t>
        </m:r>
        <m:sSup>
          <m:sSupPr>
            <m:ctrlPr>
              <w:rPr>
                <w:rFonts w:hint="default" w:ascii="DejaVu Math TeX Gyre" w:hAnsi="DejaVu Math TeX Gyre"/>
                <w:sz w:val="22"/>
              </w:rPr>
            </m:ctrlPr>
          </m:sSupPr>
          <m:e>
            <m:r>
              <m:rPr/>
              <w:rPr>
                <w:rFonts w:hint="default" w:ascii="DejaVu Math TeX Gyre" w:hAnsi="DejaVu Math TeX Gyre"/>
                <w:sz w:val="22"/>
              </w:rPr>
              <m:t>T</m:t>
            </m:r>
            <m:ctrlPr>
              <w:rPr>
                <w:rFonts w:ascii="DejaVu Math TeX Gyre" w:hAnsi="DejaVu Math TeX Gyre"/>
                <w:sz w:val="22"/>
              </w:rPr>
            </m:ctrlPr>
          </m:e>
          <m:sup>
            <m:r>
              <m:rPr/>
              <w:rPr>
                <w:rFonts w:hint="default" w:ascii="DejaVu Math TeX Gyre" w:hAnsi="DejaVu Math TeX Gyre"/>
                <w:sz w:val="22"/>
              </w:rPr>
              <m:t>`</m:t>
            </m:r>
            <m:ctrlPr>
              <w:rPr>
                <w:rFonts w:ascii="DejaVu Math TeX Gyre" w:hAnsi="DejaVu Math TeX Gyre"/>
                <w:sz w:val="22"/>
              </w:rPr>
            </m:ctrlPr>
          </m:sup>
        </m:sSup>
        <m:r>
          <m:rPr/>
          <w:rPr>
            <w:rFonts w:hint="default" w:ascii="DejaVu Math TeX Gyre" w:hAnsi="DejaVu Math TeX Gyre"/>
            <w:sz w:val="22"/>
          </w:rPr>
          <m:t>=0</m:t>
        </m:r>
      </m:oMath>
      <w:r>
        <m:rPr/>
        <w:rPr>
          <w:rFonts w:hint="eastAsia" w:hAnsi="DejaVu Math TeX Gyre"/>
          <w:i w:val="0"/>
          <w:sz w:val="22"/>
          <w:lang w:eastAsia="zh-CN"/>
        </w:rPr>
        <w:t>，这里实际只用了</w:t>
      </w:r>
      <w:r>
        <m:rPr/>
        <w:rPr>
          <w:rFonts w:hint="eastAsia" w:hAnsi="DejaVu Math TeX Gyre"/>
          <w:i w:val="0"/>
          <w:sz w:val="22"/>
          <w:lang w:val="en-US" w:eastAsia="zh-CN"/>
        </w:rPr>
        <w:t>MV的左上角3x3子矩阵</w:t>
      </w:r>
    </w:p>
    <w:p w14:paraId="2A1B7706">
      <w:pPr>
        <m:rPr/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m:oMathPara>
        <m:oMath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N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`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2"/>
            </w:rPr>
            <m:t>⋅</m:t>
          </m:r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T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`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2"/>
            </w:rPr>
            <m:t>=(GN)⋅(MVT)=0</m:t>
          </m:r>
        </m:oMath>
      </m:oMathPara>
    </w:p>
    <w:p w14:paraId="7CAF71B7">
      <w:pPr>
        <m:rPr/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w:r>
        <m:rPr/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  <w:t>把点乘改为矩阵乘法形式，方便推导</w:t>
      </w:r>
    </w:p>
    <w:p w14:paraId="08B129E0">
      <w:pPr>
        <m:rPr/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m:oMathPara>
        <m:oMath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N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T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G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T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2"/>
            </w:rPr>
            <m:t>MVT</m:t>
          </m:r>
        </m:oMath>
      </m:oMathPara>
    </w:p>
    <w:p w14:paraId="50814D7E">
      <w:pPr>
        <m:rPr/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w:r>
        <m:rPr/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  <w:t>又因为</w:t>
      </w:r>
    </w:p>
    <w:p w14:paraId="4C2F311E">
      <w:pPr>
        <m:rPr/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m:oMathPara>
        <m:oMath>
          <m:r>
            <m:rPr/>
            <w:rPr>
              <w:rFonts w:hint="default" w:ascii="DejaVu Math TeX Gyre" w:hAnsi="DejaVu Math TeX Gyre"/>
              <w:sz w:val="22"/>
            </w:rPr>
            <m:t>N⋅T=</m:t>
          </m:r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N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T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2"/>
            </w:rPr>
            <m:t>T=0</m:t>
          </m:r>
        </m:oMath>
      </m:oMathPara>
    </w:p>
    <w:p w14:paraId="5A50F5F3">
      <w:pPr>
        <m:rPr/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w:r>
        <m:rPr/>
        <w:rPr>
          <w:rFonts w:hint="eastAsia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  <w:t>所以</w:t>
      </w:r>
    </w:p>
    <w:p w14:paraId="7C40E370">
      <w:pPr>
        <m:rPr/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m:oMathPara>
        <m:oMath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G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T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r>
            <m:rPr/>
            <w:rPr>
              <w:rFonts w:hint="default" w:ascii="DejaVu Math TeX Gyre" w:hAnsi="DejaVu Math TeX Gyre"/>
              <w:sz w:val="22"/>
            </w:rPr>
            <m:t>MV=I</m:t>
          </m:r>
        </m:oMath>
      </m:oMathPara>
    </w:p>
    <w:p w14:paraId="7204A285">
      <w:pPr>
        <m:rPr/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  <m:oMathPara>
        <m:oMath>
          <m:r>
            <m:rPr/>
            <w:rPr>
              <w:rFonts w:hint="default" w:ascii="DejaVu Math TeX Gyre" w:hAnsi="DejaVu Math TeX Gyre"/>
              <w:sz w:val="22"/>
            </w:rPr>
            <m:t>G=((MV</m:t>
          </m:r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)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−1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  <m:sSup>
            <m:sSupPr>
              <m:ctrlPr>
                <w:rPr>
                  <w:rFonts w:hint="default" w:ascii="DejaVu Math TeX Gyre" w:hAnsi="DejaVu Math TeX Gyre"/>
                  <w:sz w:val="22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sz w:val="22"/>
                </w:rPr>
                <m:t>)</m:t>
              </m:r>
              <m:ctrlPr>
                <w:rPr>
                  <w:rFonts w:ascii="DejaVu Math TeX Gyre" w:hAnsi="DejaVu Math TeX Gyre"/>
                  <w:sz w:val="22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sz w:val="22"/>
                </w:rPr>
                <m:t>T</m:t>
              </m:r>
              <m:ctrlPr>
                <w:rPr>
                  <w:rFonts w:ascii="DejaVu Math TeX Gyre" w:hAnsi="DejaVu Math TeX Gyre"/>
                  <w:sz w:val="22"/>
                </w:rPr>
              </m:ctrlPr>
            </m:sup>
          </m:sSup>
        </m:oMath>
      </m:oMathPara>
    </w:p>
    <w:p w14:paraId="706EA793">
      <w:pPr>
        <m:rPr/>
        <w:rPr>
          <w:rFonts w:hint="default" w:hAnsi="DejaVu Math TeX Gyre" w:cstheme="minorBidi"/>
          <w:i w:val="0"/>
          <w:kern w:val="2"/>
          <w:sz w:val="22"/>
          <w:szCs w:val="24"/>
          <w:lang w:val="en-US" w:eastAsia="zh-CN" w:bidi="ar-SA"/>
          <w14:ligatures w14:val="standardContextual"/>
        </w:rPr>
      </w:pPr>
    </w:p>
    <w:p w14:paraId="440CA5EF">
      <w:pPr>
        <w:rPr>
          <w:rFonts w:hint="eastAsia"/>
        </w:rPr>
      </w:pPr>
    </w:p>
    <w:p w14:paraId="1ED1FDD1">
      <w:pPr>
        <w:pStyle w:val="4"/>
      </w:pPr>
      <w:r>
        <w:rPr>
          <w:rFonts w:hint="eastAsia"/>
        </w:rPr>
        <w:t>抗锯齿antialiasing</w:t>
      </w:r>
    </w:p>
    <w:p w14:paraId="0CCE2C57">
      <w:r>
        <w:rPr>
          <w:rFonts w:hint="eastAsia"/>
        </w:rPr>
        <w:t>先做模糊再做sampling，也就是低通滤波。</w:t>
      </w:r>
    </w:p>
    <w:p w14:paraId="3FE143BE">
      <w:r>
        <w:rPr>
          <w:rFonts w:hint="eastAsia"/>
        </w:rPr>
        <w:t>MSAA，</w:t>
      </w:r>
      <w:r>
        <w:t>一个像素内部不止采样一次，而是多个采样点。判断覆盖率：看这个像素的采样点是否在三角形（几何体）内。最终一个像素的颜色 = 所有采样点的结果加权平均。</w:t>
      </w:r>
    </w:p>
    <w:p w14:paraId="022E14EB">
      <w:r>
        <w:rPr>
          <w:b/>
          <w:bCs/>
        </w:rPr>
        <w:t>混叠现象</w:t>
      </w:r>
      <w:r>
        <w:rPr>
          <w:rFonts w:hint="eastAsia"/>
        </w:rPr>
        <w:t>：</w:t>
      </w:r>
      <w:r>
        <w:t>高于采样带宽的成分会“折叠”到低频区，表现出来就是</w:t>
      </w:r>
      <w:r>
        <w:rPr>
          <w:b/>
          <w:bCs/>
        </w:rPr>
        <w:t>边缘呈现阶梯状的锯齿</w:t>
      </w:r>
      <w:r>
        <w:t>。</w:t>
      </w:r>
    </w:p>
    <w:p w14:paraId="05D3F467"/>
    <w:p w14:paraId="3C442DE4">
      <w:pPr>
        <w:pStyle w:val="4"/>
      </w:pPr>
      <w:r>
        <w:rPr>
          <w:rFonts w:hint="eastAsia"/>
        </w:rPr>
        <w:t>Z-buffer algorithm（光栅化的z怎么处理）</w:t>
      </w:r>
    </w:p>
    <w:p w14:paraId="0237491B">
      <w:r>
        <w:rPr>
          <w:rFonts w:hint="eastAsia"/>
        </w:rPr>
        <w:t>遍历所有triangles，更新triangles涉及到的像素的深度，保留深度最小值</w:t>
      </w:r>
    </w:p>
    <w:p w14:paraId="2185A56D">
      <w:pPr>
        <w:pStyle w:val="4"/>
      </w:pPr>
      <w:r>
        <w:rPr>
          <w:rFonts w:hint="eastAsia"/>
        </w:rPr>
        <w:t>Shading</w:t>
      </w:r>
    </w:p>
    <w:p w14:paraId="18F885E3">
      <w:r>
        <w:rPr>
          <w:rFonts w:hint="eastAsia"/>
        </w:rPr>
        <w:t>Blinn-Phong Reflectance Model。经验模型。光照简单分为三类：specular highlights，diffuse reflection， ambient lighting，也就是镜面高光，漫反射，环境光。</w:t>
      </w:r>
    </w:p>
    <w:p w14:paraId="50A5D870">
      <w:r>
        <w:rPr>
          <w:rFonts w:hint="eastAsia"/>
        </w:rPr>
        <w:t>环境光：Blinn-Phong并不精确描述环境光，只用一个非常简单的近似来表示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env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即为环境光产生的亮度=材质对环境光的反射系数*环境光强度（常量constant）</w:t>
      </w:r>
    </w:p>
    <w:p w14:paraId="607F0DFA">
      <w:r>
        <w:rPr>
          <w:rFonts w:hint="eastAsia"/>
        </w:rPr>
        <w:t>Lambert漫反射：漫反射指的是光从一定角度入射之后，向各个方向均匀反射的效果。</w:t>
      </w:r>
      <w:r>
        <w:drawing>
          <wp:inline distT="0" distB="0" distL="0" distR="0">
            <wp:extent cx="2736215" cy="1437005"/>
            <wp:effectExtent l="0" t="0" r="6985" b="0"/>
            <wp:docPr id="774766442" name="Picture 1" descr="A diagram of a light sour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66442" name="Picture 1" descr="A diagram of a light sourc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352" cy="14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E14A">
      <w:pPr>
        <w:rPr>
          <w:rFonts w:hint="eastAsia"/>
        </w:rPr>
      </w:pPr>
      <w:r>
        <w:rPr>
          <w:rFonts w:hint="eastAsia"/>
        </w:rPr>
        <w:t>注：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  <m:r>
          <m:rPr/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  <m:r>
          <m:rPr/>
          <w:rPr>
            <w:rFonts w:hint="eastAsia" w:ascii="Cambria Math" w:hAnsi="Cambria Math"/>
          </w:rPr>
          <m:t> </m:t>
        </m:r>
        <m:r>
          <m:rPr/>
          <w:rPr>
            <w:rFonts w:ascii="Cambria Math" w:hAnsi="Cambria Math"/>
          </w:rPr>
          <m:t>=|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acc>
        <m:r>
          <m:rPr/>
          <w:rPr>
            <w:rFonts w:ascii="Cambria Math" w:hAnsi="Cambria Math"/>
          </w:rPr>
          <m:t>||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acc>
        <m:r>
          <m:rPr/>
          <w:rPr>
            <w:rFonts w:ascii="Cambria Math" w:hAnsi="Cambria Math"/>
          </w:rPr>
          <m:t>|cosθ</m:t>
        </m:r>
      </m:oMath>
    </w:p>
    <w:p w14:paraId="0FEAE511">
      <w:pPr>
        <w:rPr>
          <w:rFonts w:hint="eastAsia"/>
        </w:rPr>
      </w:pPr>
      <m:oMath>
        <m:r>
          <m:rPr/>
          <w:rPr>
            <w:rFonts w:hint="eastAsia" w:ascii="Cambria Math" w:hAnsi="Cambria Math"/>
          </w:rPr>
          <m:t>I</m:t>
        </m:r>
      </m:oMath>
      <w:r>
        <w:rPr>
          <w:rFonts w:hint="eastAsia"/>
        </w:rPr>
        <w:t>为入射光强度，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表示离光源越远，入射光强度会衰减，</w:t>
      </w:r>
      <m:oMath>
        <m:r>
          <m:rPr/>
          <w:rPr>
            <w:rFonts w:ascii="Cambria Math" w:hAnsi="Cambria Math"/>
          </w:rPr>
          <m:t>n</m:t>
        </m:r>
        <m:r>
          <m:rPr/>
          <w:rPr>
            <w:rFonts w:hint="eastAsia" w:ascii="Cambria Math" w:hAnsi="Cambria Math"/>
          </w:rPr>
          <m:t> </m:t>
        </m:r>
        <m:r>
          <m:rPr/>
          <w:rPr>
            <w:rFonts w:ascii="Cambria Math" w:hAnsi="Cambria Math"/>
          </w:rPr>
          <m:t>⋅l</m:t>
        </m:r>
      </m:oMath>
      <w:r>
        <w:rPr>
          <w:rFonts w:hint="eastAsia"/>
        </w:rPr>
        <w:t>表示法线向量点乘入射方向（注意是表面指向光源），也就是只和</w:t>
      </w:r>
      <m:oMath>
        <m:r>
          <m:rPr/>
          <w:rPr>
            <w:rFonts w:hint="eastAsia" w:ascii="Cambria Math" w:hAnsi="Cambria Math"/>
          </w:rPr>
          <m:t>cos</m:t>
        </m:r>
        <m:r>
          <m:rPr/>
          <w:rPr>
            <w:rFonts w:ascii="Cambria Math" w:hAnsi="Cambria Math"/>
          </w:rPr>
          <m:t>θ</m:t>
        </m:r>
      </m:oMath>
      <w:r>
        <w:rPr>
          <w:rFonts w:hint="eastAsia"/>
        </w:rPr>
        <w:t>有关，同时注意，漫反射强度和相机观测位置无关。</w:t>
      </w:r>
    </w:p>
    <w:p w14:paraId="097E881E">
      <w:pPr>
        <w:rPr>
          <w:rFonts w:hint="eastAsia"/>
        </w:rPr>
      </w:pPr>
      <w:r>
        <w:drawing>
          <wp:inline distT="0" distB="0" distL="0" distR="0">
            <wp:extent cx="2717165" cy="2040255"/>
            <wp:effectExtent l="0" t="0" r="6985" b="0"/>
            <wp:docPr id="208262015" name="Picture 1" descr="A diagram of a reflection of 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015" name="Picture 1" descr="A diagram of a reflection of ligh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028" cy="204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E018">
      <w:pPr>
        <w:rPr>
          <w:lang w:val="en-AU"/>
        </w:rPr>
      </w:pPr>
      <w:r>
        <w:rPr>
          <w:rFonts w:hint="eastAsia"/>
          <w:lang w:val="en-AU"/>
        </w:rPr>
        <w:t xml:space="preserve">镜面反射：求出法线向量和half </w:t>
      </w:r>
      <w:r>
        <w:rPr>
          <w:lang w:val="en-AU"/>
        </w:rPr>
        <w:t>vector</w:t>
      </w:r>
      <w:r>
        <w:rPr>
          <w:rFonts w:hint="eastAsia"/>
          <w:lang w:val="en-AU"/>
        </w:rPr>
        <w:t>的夹角的cosine值来判断相机观测能接收到多少镜面反射的光强度，这里类比初中物理。用half vector而不直接计算入射光反射向量的原因是half vector计算更简单，指数P让结果更narrow</w:t>
      </w:r>
    </w:p>
    <w:p w14:paraId="550B1B01">
      <w:pPr>
        <w:rPr>
          <w:lang w:val="en-AU"/>
        </w:rPr>
      </w:pPr>
      <w:r>
        <w:drawing>
          <wp:inline distT="0" distB="0" distL="0" distR="0">
            <wp:extent cx="2966720" cy="1555750"/>
            <wp:effectExtent l="0" t="0" r="5080" b="6350"/>
            <wp:docPr id="1124368535" name="Picture 1" descr="A diagram of a blue x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68535" name="Picture 1" descr="A diagram of a blue x and a black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025" cy="15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A69">
      <w:pPr>
        <w:rPr>
          <w:rFonts w:hint="eastAsia"/>
          <w:lang w:val="en-AU"/>
        </w:rPr>
      </w:pPr>
      <w:r>
        <w:rPr>
          <w:rFonts w:hint="eastAsia"/>
          <w:lang w:val="en-AU"/>
        </w:rPr>
        <w:t>上图是完整计算公式</w:t>
      </w:r>
    </w:p>
    <w:p w14:paraId="7CD56280">
      <w:pPr>
        <w:rPr>
          <w:b/>
          <w:bCs/>
          <w:lang w:val="en-AU"/>
        </w:rPr>
      </w:pPr>
      <w:r>
        <w:rPr>
          <w:rFonts w:hint="eastAsia"/>
          <w:b/>
          <w:bCs/>
          <w:lang w:val="en-AU"/>
        </w:rPr>
        <w:t>Shading frequencies</w:t>
      </w:r>
    </w:p>
    <w:p w14:paraId="2A409945">
      <w:pPr>
        <w:rPr>
          <w:lang w:val="en-AU"/>
        </w:rPr>
      </w:pPr>
      <w:r>
        <w:rPr>
          <w:rFonts w:hint="eastAsia"/>
          <w:lang w:val="en-AU"/>
        </w:rPr>
        <w:t>Flat shading: 对每个面进行Blinn-Phong模型计算，将该结果应用于整个面</w:t>
      </w:r>
    </w:p>
    <w:p w14:paraId="7E2DA573">
      <w:pPr>
        <w:rPr>
          <w:lang w:val="en-AU"/>
        </w:rPr>
      </w:pPr>
      <w:r>
        <w:rPr>
          <w:rFonts w:hint="eastAsia"/>
          <w:lang w:val="en-AU"/>
        </w:rPr>
        <w:t>Gouraud Shading：对每个三角形vertex进行shading计算，有了顶点的shading结果之后，对三角形内部的每一个点进行重心坐标插值。</w:t>
      </w:r>
    </w:p>
    <w:p w14:paraId="53B589CC">
      <w:pPr>
        <w:rPr>
          <w:lang w:val="en-AU"/>
        </w:rPr>
      </w:pPr>
      <w:r>
        <w:rPr>
          <w:rFonts w:hint="eastAsia"/>
          <w:lang w:val="en-AU"/>
        </w:rPr>
        <w:t>那么怎么求vertex法向量？把该vertex周围的面的法线向量求均值归一化</w:t>
      </w:r>
    </w:p>
    <w:p w14:paraId="659C1B99">
      <w:pPr>
        <w:rPr>
          <w:lang w:val="en-AU"/>
        </w:rPr>
      </w:pPr>
      <w:r>
        <w:drawing>
          <wp:inline distT="0" distB="0" distL="0" distR="0">
            <wp:extent cx="2470150" cy="1765300"/>
            <wp:effectExtent l="0" t="0" r="6350" b="6350"/>
            <wp:docPr id="1993330575" name="Picture 1" descr="A diagram of a hexagon with arrow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0575" name="Picture 1" descr="A diagram of a hexagon with arrows and lin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084" cy="17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BA6">
      <w:pPr>
        <w:rPr>
          <w:lang w:val="en-AU"/>
        </w:rPr>
      </w:pPr>
      <w:r>
        <w:rPr>
          <w:rFonts w:hint="eastAsia"/>
          <w:lang w:val="en-AU"/>
        </w:rPr>
        <w:t>Phong Shading：对每个pixel进行shading，如何求每个pixel的法线向量？利用重心</w:t>
      </w:r>
    </w:p>
    <w:p w14:paraId="473B1E2F">
      <w:pPr>
        <w:rPr>
          <w:rFonts w:hint="eastAsia"/>
          <w:lang w:val="en-AU"/>
        </w:rPr>
      </w:pPr>
      <w:r>
        <w:drawing>
          <wp:inline distT="0" distB="0" distL="0" distR="0">
            <wp:extent cx="2785745" cy="2053590"/>
            <wp:effectExtent l="0" t="0" r="0" b="3810"/>
            <wp:docPr id="124377393" name="Picture 1" descr="A diagram of a line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393" name="Picture 1" descr="A diagram of a line with lines and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883" cy="20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9E5">
      <w:pPr>
        <w:rPr>
          <w:lang w:val="en-AU"/>
        </w:rPr>
      </w:pPr>
      <w:r>
        <w:drawing>
          <wp:inline distT="0" distB="0" distL="0" distR="0">
            <wp:extent cx="2305685" cy="723265"/>
            <wp:effectExtent l="0" t="0" r="0" b="635"/>
            <wp:docPr id="1977127781" name="Picture 1" descr="A gold teapot with a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27781" name="Picture 1" descr="A gold teapot with a handl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638" cy="72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4010">
      <w:pPr>
        <w:rPr>
          <w:lang w:val="en-AU"/>
        </w:rPr>
      </w:pPr>
      <w:r>
        <w:drawing>
          <wp:inline distT="0" distB="0" distL="0" distR="0">
            <wp:extent cx="2526665" cy="1869440"/>
            <wp:effectExtent l="0" t="0" r="6985" b="0"/>
            <wp:docPr id="93258568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85687" name="Picture 1" descr="A diagram of a proces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479" cy="18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F1D2">
      <w:pPr>
        <w:rPr>
          <w:lang w:val="en-AU"/>
        </w:rPr>
      </w:pPr>
    </w:p>
    <w:p w14:paraId="6E3878D6">
      <w:pPr>
        <w:rPr>
          <w:rFonts w:hint="eastAsia"/>
          <w:lang w:val="en-AU"/>
        </w:rPr>
      </w:pPr>
    </w:p>
    <w:p w14:paraId="3A7C9062">
      <w:pPr>
        <w:rPr>
          <w:rFonts w:hint="eastAsia"/>
          <w:lang w:val="en-AU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CD"/>
    <w:rsid w:val="00002743"/>
    <w:rsid w:val="00003352"/>
    <w:rsid w:val="00050A97"/>
    <w:rsid w:val="00073A46"/>
    <w:rsid w:val="000907AD"/>
    <w:rsid w:val="000B1BE1"/>
    <w:rsid w:val="000B6A02"/>
    <w:rsid w:val="000B76EC"/>
    <w:rsid w:val="000F5FE0"/>
    <w:rsid w:val="00132360"/>
    <w:rsid w:val="001541AD"/>
    <w:rsid w:val="0016220C"/>
    <w:rsid w:val="00182009"/>
    <w:rsid w:val="001908FC"/>
    <w:rsid w:val="001972DF"/>
    <w:rsid w:val="001A1349"/>
    <w:rsid w:val="001A150A"/>
    <w:rsid w:val="001E1ED9"/>
    <w:rsid w:val="00214453"/>
    <w:rsid w:val="00226DE8"/>
    <w:rsid w:val="00251A01"/>
    <w:rsid w:val="00277925"/>
    <w:rsid w:val="002B4C21"/>
    <w:rsid w:val="002B5753"/>
    <w:rsid w:val="002C1DE1"/>
    <w:rsid w:val="00317BFA"/>
    <w:rsid w:val="00320394"/>
    <w:rsid w:val="0034010F"/>
    <w:rsid w:val="00353F27"/>
    <w:rsid w:val="00361F15"/>
    <w:rsid w:val="0037685B"/>
    <w:rsid w:val="003E3B10"/>
    <w:rsid w:val="003F46ED"/>
    <w:rsid w:val="0040108E"/>
    <w:rsid w:val="00414662"/>
    <w:rsid w:val="00446F22"/>
    <w:rsid w:val="00454888"/>
    <w:rsid w:val="00457EB8"/>
    <w:rsid w:val="00477FA6"/>
    <w:rsid w:val="00483D5A"/>
    <w:rsid w:val="00490339"/>
    <w:rsid w:val="00562D3A"/>
    <w:rsid w:val="005A028E"/>
    <w:rsid w:val="005A6563"/>
    <w:rsid w:val="005B5C63"/>
    <w:rsid w:val="00601BAA"/>
    <w:rsid w:val="00610263"/>
    <w:rsid w:val="00617E39"/>
    <w:rsid w:val="00652739"/>
    <w:rsid w:val="00675469"/>
    <w:rsid w:val="00677CDE"/>
    <w:rsid w:val="006A6E87"/>
    <w:rsid w:val="006B6934"/>
    <w:rsid w:val="007167A2"/>
    <w:rsid w:val="007345BD"/>
    <w:rsid w:val="00735E3D"/>
    <w:rsid w:val="00747752"/>
    <w:rsid w:val="00756381"/>
    <w:rsid w:val="007863FA"/>
    <w:rsid w:val="007D5463"/>
    <w:rsid w:val="008568FF"/>
    <w:rsid w:val="00863749"/>
    <w:rsid w:val="008A21BC"/>
    <w:rsid w:val="008B1036"/>
    <w:rsid w:val="008E0957"/>
    <w:rsid w:val="008E48AE"/>
    <w:rsid w:val="00911602"/>
    <w:rsid w:val="00917879"/>
    <w:rsid w:val="009316CA"/>
    <w:rsid w:val="00952986"/>
    <w:rsid w:val="00983723"/>
    <w:rsid w:val="00996930"/>
    <w:rsid w:val="009A5216"/>
    <w:rsid w:val="009A77AD"/>
    <w:rsid w:val="009A78D8"/>
    <w:rsid w:val="009E5889"/>
    <w:rsid w:val="00A12427"/>
    <w:rsid w:val="00A3103D"/>
    <w:rsid w:val="00A47D64"/>
    <w:rsid w:val="00A51221"/>
    <w:rsid w:val="00A94BB7"/>
    <w:rsid w:val="00AA0DB4"/>
    <w:rsid w:val="00AA2FF3"/>
    <w:rsid w:val="00AA3323"/>
    <w:rsid w:val="00AC2D17"/>
    <w:rsid w:val="00B24EE8"/>
    <w:rsid w:val="00B31392"/>
    <w:rsid w:val="00B41039"/>
    <w:rsid w:val="00B70E2F"/>
    <w:rsid w:val="00B75ACD"/>
    <w:rsid w:val="00BE204F"/>
    <w:rsid w:val="00C117E5"/>
    <w:rsid w:val="00C62D74"/>
    <w:rsid w:val="00C91A62"/>
    <w:rsid w:val="00C9278E"/>
    <w:rsid w:val="00CA3378"/>
    <w:rsid w:val="00CD2FCF"/>
    <w:rsid w:val="00CF31AF"/>
    <w:rsid w:val="00D13DBA"/>
    <w:rsid w:val="00D23E5C"/>
    <w:rsid w:val="00D25205"/>
    <w:rsid w:val="00D27693"/>
    <w:rsid w:val="00D66574"/>
    <w:rsid w:val="00DB3B68"/>
    <w:rsid w:val="00DC5425"/>
    <w:rsid w:val="00E33DCC"/>
    <w:rsid w:val="00E3544D"/>
    <w:rsid w:val="00E92498"/>
    <w:rsid w:val="00E968C4"/>
    <w:rsid w:val="00EA7B59"/>
    <w:rsid w:val="00EC2747"/>
    <w:rsid w:val="00F14291"/>
    <w:rsid w:val="00F26383"/>
    <w:rsid w:val="00F37A72"/>
    <w:rsid w:val="00F6350A"/>
    <w:rsid w:val="00F7507B"/>
    <w:rsid w:val="00F850EE"/>
    <w:rsid w:val="00FC1ED8"/>
    <w:rsid w:val="00FC251C"/>
    <w:rsid w:val="00FD6223"/>
    <w:rsid w:val="071D833F"/>
    <w:rsid w:val="0BEA9400"/>
    <w:rsid w:val="1BBA35CB"/>
    <w:rsid w:val="1FDE9C32"/>
    <w:rsid w:val="2EDFAC77"/>
    <w:rsid w:val="2F6F2E9C"/>
    <w:rsid w:val="2FBF9A10"/>
    <w:rsid w:val="3BCE0AFC"/>
    <w:rsid w:val="3DFD0F03"/>
    <w:rsid w:val="3DFFAE09"/>
    <w:rsid w:val="3F7AEC1D"/>
    <w:rsid w:val="3FFFB0F4"/>
    <w:rsid w:val="47B794F4"/>
    <w:rsid w:val="47F72C49"/>
    <w:rsid w:val="55BFACEC"/>
    <w:rsid w:val="5ABF4C48"/>
    <w:rsid w:val="5EF650FC"/>
    <w:rsid w:val="63FF4945"/>
    <w:rsid w:val="64910948"/>
    <w:rsid w:val="6AF791BE"/>
    <w:rsid w:val="6BD79F0C"/>
    <w:rsid w:val="6C75797A"/>
    <w:rsid w:val="6D325729"/>
    <w:rsid w:val="6DD3154E"/>
    <w:rsid w:val="6DDF34E4"/>
    <w:rsid w:val="6ECF9D37"/>
    <w:rsid w:val="6EFE4CC5"/>
    <w:rsid w:val="6FF6E09D"/>
    <w:rsid w:val="74CF7E9F"/>
    <w:rsid w:val="757FA499"/>
    <w:rsid w:val="75AF150F"/>
    <w:rsid w:val="75FE1EE6"/>
    <w:rsid w:val="77F63246"/>
    <w:rsid w:val="77FB75DB"/>
    <w:rsid w:val="7943A4E6"/>
    <w:rsid w:val="7B775F1D"/>
    <w:rsid w:val="7BDED8D0"/>
    <w:rsid w:val="7D7CC1E5"/>
    <w:rsid w:val="7ED87A11"/>
    <w:rsid w:val="7EFB543D"/>
    <w:rsid w:val="7FFB540C"/>
    <w:rsid w:val="7FFF266C"/>
    <w:rsid w:val="7FFF9F91"/>
    <w:rsid w:val="7FFFCF03"/>
    <w:rsid w:val="AAE31986"/>
    <w:rsid w:val="ABF74E68"/>
    <w:rsid w:val="B675B139"/>
    <w:rsid w:val="B75B7CCC"/>
    <w:rsid w:val="B7FB6E5F"/>
    <w:rsid w:val="BDFFE8A2"/>
    <w:rsid w:val="BF52F97E"/>
    <w:rsid w:val="BF579BE0"/>
    <w:rsid w:val="CEED9DDA"/>
    <w:rsid w:val="D5B4C396"/>
    <w:rsid w:val="D5FF0A00"/>
    <w:rsid w:val="DF5DC4DB"/>
    <w:rsid w:val="DFBD31D6"/>
    <w:rsid w:val="DFEC0736"/>
    <w:rsid w:val="DFFFAFB9"/>
    <w:rsid w:val="E7D7DE6A"/>
    <w:rsid w:val="EACFF968"/>
    <w:rsid w:val="EB5FDF3B"/>
    <w:rsid w:val="EB7F8DAA"/>
    <w:rsid w:val="EE9951A0"/>
    <w:rsid w:val="EFF6FE36"/>
    <w:rsid w:val="EFFF17C1"/>
    <w:rsid w:val="F1AE4009"/>
    <w:rsid w:val="F7F7BA33"/>
    <w:rsid w:val="F7FEB1AA"/>
    <w:rsid w:val="F9E26D27"/>
    <w:rsid w:val="FDDF0D8A"/>
    <w:rsid w:val="FDFFBAD2"/>
    <w:rsid w:val="FEFC6AD8"/>
    <w:rsid w:val="FEFE7323"/>
    <w:rsid w:val="FEFF1ED2"/>
    <w:rsid w:val="FFEDD99C"/>
    <w:rsid w:val="FFF1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Hyperlink"/>
    <w:basedOn w:val="14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Heading 2 Char"/>
    <w:basedOn w:val="14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3 Char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4 Char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Heading 5 Char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1">
    <w:name w:val="Heading 6 Char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Heading 7 Char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9 Char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4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4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styleId="35">
    <w:name w:val="Placeholder Text"/>
    <w:basedOn w:val="14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346</Words>
  <Characters>1977</Characters>
  <Lines>16</Lines>
  <Paragraphs>4</Paragraphs>
  <TotalTime>349</TotalTime>
  <ScaleCrop>false</ScaleCrop>
  <LinksUpToDate>false</LinksUpToDate>
  <CharactersWithSpaces>2319</CharactersWithSpaces>
  <Application>WPS Office_12.1.2.22571_F1E327BC-269C-435d-A152-05C5408002CA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2025-09-06T16:29:00Z</dcterms:created>
  <dc:creator>Yunbo Zhou</dc:creator>
  <cp:lastModifiedBy>zyb</cp:lastModifiedBy>
  <dcterms:modified xsi:type="dcterms:W3CDTF">2025-09-09T18:46:54Z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2052-12.1.2.22571</vt:lpwstr>
  </property>
  <property fmtid="{D5CDD505-2E9C-101B-9397-08002B2CF9AE}" pid="3" name="ICV">
    <vt:lpwstr>374E08E562FE40E9CE7EBF68CBCA88A6_42</vt:lpwstr>
  </property>
</Properties>
</file>