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Speed &amp; Precision Test: Level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baseline paragraph of normal text used to establish the autotyper’s baseline accuracy. It features standard punctuation, mixed casing, and a smooth typing rhythm designed to ensure the automation engine does not drop characters or introduce mechanical typos during simulated human delivery.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Formatting Stress Test: Level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intentionally forces the automation to switch rapidly between distinct structural styles to see if the formatting carries over or "bleeds" into neighboring text. We begin with a block of </w:t>
      </w:r>
      <w:r w:rsidDel="00000000" w:rsidR="00000000" w:rsidRPr="00000000">
        <w:rPr>
          <w:rFonts w:ascii="Google Sans" w:cs="Google Sans" w:eastAsia="Google Sans" w:hAnsi="Google Sans"/>
          <w:b w:val="1"/>
          <w:bCs w:val="1"/>
          <w:color w:val="1f1f1f"/>
          <w:rtl w:val="0"/>
        </w:rPr>
        <w:t xml:space="preserve">bold text emphasis</w:t>
      </w:r>
      <w:r w:rsidDel="00000000" w:rsidR="00000000" w:rsidRPr="00000000">
        <w:rPr>
          <w:rFonts w:ascii="Google Sans" w:cs="Google Sans" w:eastAsia="Google Sans" w:hAnsi="Google Sans"/>
          <w:color w:val="1f1f1f"/>
          <w:rtl w:val="0"/>
        </w:rPr>
        <w:t xml:space="preserve"> to check for unclosed style tags, immediately followed by </w:t>
      </w:r>
      <w:r w:rsidDel="00000000" w:rsidR="00000000" w:rsidRPr="00000000">
        <w:rPr>
          <w:rFonts w:ascii="Google Sans" w:cs="Google Sans" w:eastAsia="Google Sans" w:hAnsi="Google Sans"/>
          <w:i w:val="1"/>
          <w:iCs w:val="1"/>
          <w:color w:val="1f1f1f"/>
          <w:rtl w:val="0"/>
        </w:rPr>
        <w:t xml:space="preserve">italicized text for stylistic variation</w:t>
      </w:r>
      <w:r w:rsidDel="00000000" w:rsidR="00000000" w:rsidRPr="00000000">
        <w:rPr>
          <w:rFonts w:ascii="Google Sans" w:cs="Google Sans" w:eastAsia="Google Sans" w:hAnsi="Google Sans"/>
          <w:color w:val="1f1f1f"/>
          <w:rtl w:val="0"/>
        </w:rPr>
        <w:t xml:space="preserve">, and concluding with underlined text to test native text decoration rules. If the humanlike autotyper fails to properly apply or close these style boundaries, the remainder of the document will look completely distorted.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Formatting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Header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 largest font weight &amp;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Pending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Header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 medium font weight &amp;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Pending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Bold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boundary; no bleeding to next 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Pending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Italic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 slanting without dropping characters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Pending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line directly beneath target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Pending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Grid Matrix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 cell borders and proper text alignment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Pending ]</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final paragraph serves as the verification anchor. If the autotyper successfully processed the rich table above, this text must seamlessly revert back to standard, unstyled prose. Watch closely to ensure the table's structural borders did not break apart and that the text alignment within the cells remained perfectly justified as it typed.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