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E6B3E"/>
          <w:sz w:val="48"/>
        </w:rPr>
        <w:t>FADA — Farm AI Decision Agent</w:t>
      </w:r>
    </w:p>
    <w:p>
      <w:pPr>
        <w:spacing w:before="80" w:after="80"/>
        <w:jc w:val="center"/>
      </w:pPr>
      <w:r>
        <w:rPr>
          <w:b/>
          <w:color w:val="142B52"/>
          <w:sz w:val="32"/>
        </w:rPr>
        <w:t>Arquitetura em Figuras — Documento Técnico</w:t>
      </w:r>
    </w:p>
    <w:p>
      <w:pPr>
        <w:jc w:val="center"/>
      </w:pPr>
      <w:r>
        <w:rPr>
          <w:i/>
          <w:color w:val="536374"/>
          <w:sz w:val="22"/>
        </w:rPr>
        <w:t>Gêmeo digital determinístico e explicável para apoio à decisão na cultura da soja</w:t>
      </w:r>
    </w:p>
    <w:p>
      <w:pPr>
        <w:spacing w:before="200"/>
        <w:jc w:val="center"/>
      </w:pPr>
      <w:r>
        <w:rPr>
          <w:color w:val="1B2430"/>
          <w:sz w:val="20"/>
        </w:rPr>
        <w:t>Cauã Eduardo Kempf Hammes · Gustavo Rafael Wiskow   |   Orient.: Diane Raquel Zientarski</w:t>
        <w:br/>
      </w:r>
      <w:r>
        <w:rPr>
          <w:color w:val="536374"/>
          <w:sz w:val="19"/>
        </w:rPr>
        <w:t>Centro Tecnológico Frederico Jorge Logemann — Horizontina/RS · Escola Aberta 2026</w:t>
      </w:r>
    </w:p>
    <w:p>
      <w:pPr>
        <w:spacing w:before="3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1F6F2"/>
          </w:tcPr>
          <w:p>
            <w:r>
              <w:rPr>
                <w:b/>
                <w:color w:val="1E6B3E"/>
                <w:sz w:val="19"/>
              </w:rPr>
              <w:t xml:space="preserve">Nota de reprodutibilidade.  </w:t>
            </w:r>
            <w:r>
              <w:rPr>
                <w:sz w:val="18"/>
              </w:rPr>
              <w:t>Todas as figuras data-driven (5, 6, 7) e os números citados neste documento foram gerados pelo pacote agro_engine (Python puro, 0 dependências), cujos 124 testes automáticos passam integralmente. Usa-se um único cenário canônico de referência (talhão típico, Horizontina/RS; cultivar GMR 5.5; semeadura 05/11; população 300 mil/ha; solo pH 5,8 / V 58% / P 12 / K 120; preço R$ 120/sc). Nele o motor prevê 54.4 ± 9.1 sc/ha, lucro R$ 3038/ha e ROI 87%.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142B52"/>
          <w:sz w:val="30"/>
        </w:rPr>
        <w:t>0.  Sistema visual compartilhado</w:t>
      </w:r>
    </w:p>
    <w:p>
      <w:r>
        <w:t>Todas as figuras seguem a mesma linguagem visual — é ela que garante leitura consistente entre diagramas. A cor codifica exclusivamente a responsabilidade de cada elemento (nunca é decorativa); a forma codifica a natureza do elemento; o estilo da seta codifica o tipo de relação.</w:t>
      </w:r>
    </w:p>
    <w:p>
      <w:pPr>
        <w:spacing w:before="160" w:after="80"/>
      </w:pPr>
      <w:r>
        <w:rPr>
          <w:b/>
          <w:color w:val="142B52"/>
          <w:sz w:val="23"/>
        </w:rPr>
        <w:t>Paleta semântica (cor = responsabilidade)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907"/>
            <w:shd w:val="clear" w:fill="14532D"/>
          </w:tcPr>
          <w:p>
            <w:r>
              <w:rPr>
                <w:b/>
                <w:color w:val="FFFFFF"/>
                <w:sz w:val="18"/>
              </w:rPr>
              <w:t>Cor</w:t>
            </w:r>
          </w:p>
        </w:tc>
        <w:tc>
          <w:tcPr>
            <w:tcW w:type="dxa" w:w="3402"/>
            <w:shd w:val="clear" w:fill="14532D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685"/>
            <w:shd w:val="clear" w:fill="14532D"/>
          </w:tcPr>
          <w:p>
            <w:r>
              <w:rPr>
                <w:b/>
                <w:color w:val="FFFFFF"/>
                <w:sz w:val="18"/>
              </w:rPr>
              <w:t>Onde aparece</w:t>
            </w:r>
          </w:p>
        </w:tc>
      </w:tr>
      <w:tr>
        <w:tc>
          <w:tcPr>
            <w:tcW w:type="dxa" w:w="907"/>
            <w:shd w:val="clear" w:fill="6C4BB6"/>
          </w:tcPr>
          <w:p>
            <w:r>
              <w:t xml:space="preserve"> 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Usuário / ator humano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agricultor, avaliador</w:t>
            </w:r>
          </w:p>
        </w:tc>
      </w:tr>
      <w:tr>
        <w:tc>
          <w:tcPr>
            <w:tcW w:type="dxa" w:w="907"/>
            <w:shd w:val="clear" w:fill="4C8DD6"/>
          </w:tcPr>
          <w:p>
            <w:r>
              <w:t xml:space="preserve"> 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Frontend (apresentação)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Next.js / React</w:t>
            </w:r>
          </w:p>
        </w:tc>
      </w:tr>
      <w:tr>
        <w:tc>
          <w:tcPr>
            <w:tcW w:type="dxa" w:w="907"/>
            <w:shd w:val="clear" w:fill="1F6F8B"/>
          </w:tcPr>
          <w:p>
            <w:r>
              <w:t xml:space="preserve"> 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Backend / orquestração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FastAPI</w:t>
            </w:r>
          </w:p>
        </w:tc>
      </w:tr>
      <w:tr>
        <w:tc>
          <w:tcPr>
            <w:tcW w:type="dxa" w:w="907"/>
            <w:shd w:val="clear" w:fill="2E8B57"/>
          </w:tcPr>
          <w:p>
            <w:r>
              <w:t xml:space="preserve"> 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Motor determinístico (ciência)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agro_engine — o núcleo</w:t>
            </w:r>
          </w:p>
        </w:tc>
      </w:tr>
      <w:tr>
        <w:tc>
          <w:tcPr>
            <w:tcW w:type="dxa" w:w="907"/>
            <w:shd w:val="clear" w:fill="E8912D"/>
          </w:tcPr>
          <w:p>
            <w:r>
              <w:t xml:space="preserve"> 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Camada de IA / calibração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knowledge engine</w:t>
            </w:r>
          </w:p>
        </w:tc>
      </w:tr>
      <w:tr>
        <w:tc>
          <w:tcPr>
            <w:tcW w:type="dxa" w:w="907"/>
            <w:shd w:val="clear" w:fill="8494A6"/>
          </w:tcPr>
          <w:p>
            <w:r>
              <w:t xml:space="preserve"> 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Dados externos / ambiente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clima, ZARC, mercado, satélite</w:t>
            </w:r>
          </w:p>
        </w:tc>
      </w:tr>
      <w:tr>
        <w:tc>
          <w:tcPr>
            <w:tcW w:type="dxa" w:w="907"/>
            <w:shd w:val="clear" w:fill="3B3B6D"/>
          </w:tcPr>
          <w:p>
            <w:r>
              <w:t xml:space="preserve"> 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Persistência (gêmeo digital)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PostgreSQL / PostGIS</w:t>
            </w:r>
          </w:p>
        </w:tc>
      </w:tr>
      <w:tr>
        <w:tc>
          <w:tcPr>
            <w:tcW w:type="dxa" w:w="907"/>
            <w:shd w:val="clear" w:fill="14532D"/>
          </w:tcPr>
          <w:p>
            <w:r>
              <w:t xml:space="preserve"> 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Saída / decisão entregue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previsão, ROI, risco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1E6B3E"/>
          <w:sz w:val="20"/>
        </w:rPr>
        <w:t>Formas (semântica fixa):</w:t>
      </w:r>
    </w:p>
    <w:p>
      <w:pPr>
        <w:pStyle w:val="ListBullet"/>
        <w:spacing w:after="20"/>
        <w:ind w:left="510"/>
      </w:pPr>
      <w:r>
        <w:rPr>
          <w:sz w:val="20"/>
        </w:rPr>
        <w:t>Retângulo arredondado = módulo/serviço de software.</w:t>
      </w:r>
    </w:p>
    <w:p>
      <w:pPr>
        <w:pStyle w:val="ListBullet"/>
        <w:spacing w:after="20"/>
        <w:ind w:left="510"/>
      </w:pPr>
      <w:r>
        <w:rPr>
          <w:sz w:val="20"/>
        </w:rPr>
        <w:t>Cilindro = banco de dados / cache persistente.</w:t>
      </w:r>
    </w:p>
    <w:p>
      <w:pPr>
        <w:pStyle w:val="ListBullet"/>
        <w:spacing w:after="20"/>
        <w:ind w:left="510"/>
      </w:pPr>
      <w:r>
        <w:rPr>
          <w:sz w:val="20"/>
        </w:rPr>
        <w:t>Paralelogramo = artefato de dados (JSON, série temporal).</w:t>
      </w:r>
    </w:p>
    <w:p>
      <w:pPr>
        <w:pStyle w:val="ListBullet"/>
        <w:spacing w:after="20"/>
        <w:ind w:left="510"/>
      </w:pPr>
      <w:r>
        <w:rPr>
          <w:sz w:val="20"/>
        </w:rPr>
        <w:t>Hexágono = modelo científico/matemático (fórmula).</w:t>
      </w:r>
    </w:p>
    <w:p>
      <w:pPr>
        <w:pStyle w:val="ListBullet"/>
        <w:spacing w:after="20"/>
        <w:ind w:left="510"/>
      </w:pPr>
      <w:r>
        <w:rPr>
          <w:sz w:val="20"/>
        </w:rPr>
        <w:t>Boneco = usuário ou fonte externa.</w:t>
      </w:r>
    </w:p>
    <w:p>
      <w:pPr>
        <w:spacing w:after="40"/>
      </w:pPr>
      <w:r>
        <w:rPr>
          <w:b/>
          <w:color w:val="1E6B3E"/>
          <w:sz w:val="20"/>
        </w:rPr>
        <w:t>Setas (semântica fixa):</w:t>
      </w:r>
    </w:p>
    <w:p>
      <w:pPr>
        <w:pStyle w:val="ListBullet"/>
        <w:spacing w:after="20"/>
        <w:ind w:left="510"/>
      </w:pPr>
      <w:r>
        <w:rPr>
          <w:sz w:val="20"/>
        </w:rPr>
        <w:t>Sólida cheia → fluxo de dados / chamada síncrona.</w:t>
      </w:r>
    </w:p>
    <w:p>
      <w:pPr>
        <w:pStyle w:val="ListBullet"/>
        <w:spacing w:after="20"/>
        <w:ind w:left="510"/>
      </w:pPr>
      <w:r>
        <w:rPr>
          <w:sz w:val="20"/>
        </w:rPr>
        <w:t>Tracejada ⇢ retorno ou loop de aprendizado (retroalimentação entre safras).</w:t>
      </w:r>
    </w:p>
    <w:p>
      <w:pPr>
        <w:pStyle w:val="ListBullet"/>
        <w:spacing w:after="20"/>
        <w:ind w:left="510"/>
      </w:pPr>
      <w:r>
        <w:rPr>
          <w:sz w:val="20"/>
        </w:rPr>
        <w:t>Pontilhada ┈&gt; fase futura (roadmap, ainda não implementada).</w:t>
      </w:r>
    </w:p>
    <w:p>
      <w:r>
        <w:br w:type="page"/>
      </w:r>
    </w:p>
    <w:p>
      <w:pPr>
        <w:spacing w:before="200" w:after="80"/>
      </w:pPr>
      <w:r>
        <w:rPr>
          <w:b/>
          <w:color w:val="142B52"/>
          <w:sz w:val="27"/>
        </w:rPr>
        <w:t>Figura 1 — Diagrama de contexto do sistema</w:t>
      </w:r>
    </w:p>
    <w:p>
      <w:pPr>
        <w:spacing w:after="60"/>
      </w:pPr>
      <w:r>
        <w:rPr>
          <w:b/>
          <w:color w:val="1E6B3E"/>
          <w:sz w:val="20"/>
        </w:rPr>
        <w:t xml:space="preserve">Objetivo:  </w:t>
      </w:r>
      <w:r>
        <w:rPr>
          <w:sz w:val="20"/>
        </w:rPr>
        <w:t>Responder, em 5 segundos, o que é o FADA e com quem/o quê ele se relaciona (visão de altitude máxima).</w:t>
      </w:r>
    </w:p>
    <w:p>
      <w:pPr>
        <w:spacing w:after="40"/>
      </w:pPr>
      <w:r>
        <w:rPr>
          <w:b/>
          <w:color w:val="1E6B3E"/>
          <w:sz w:val="20"/>
        </w:rPr>
        <w:t>Elementos:</w:t>
      </w:r>
    </w:p>
    <w:p>
      <w:pPr>
        <w:pStyle w:val="ListBullet"/>
        <w:spacing w:after="20"/>
        <w:ind w:left="510"/>
      </w:pPr>
      <w:r>
        <w:rPr>
          <w:sz w:val="20"/>
        </w:rPr>
        <w:t>Caixa central única = o sistema FADA (verde).</w:t>
      </w:r>
    </w:p>
    <w:p>
      <w:pPr>
        <w:pStyle w:val="ListBullet"/>
        <w:spacing w:after="20"/>
        <w:ind w:left="510"/>
      </w:pPr>
      <w:r>
        <w:rPr>
          <w:sz w:val="20"/>
        </w:rPr>
        <w:t>Ator à esquerda = Agricultor/Técnico (usuário).</w:t>
      </w:r>
    </w:p>
    <w:p>
      <w:pPr>
        <w:pStyle w:val="ListBullet"/>
        <w:spacing w:after="20"/>
        <w:ind w:left="510"/>
      </w:pPr>
      <w:r>
        <w:rPr>
          <w:sz w:val="20"/>
        </w:rPr>
        <w:t>Três blocos de dados externos à direita: Clima (NASA POWER · Open-Meteo), Agronomia (ZARC/MAPA · Embrapa), Mercado (CONAB).</w:t>
      </w:r>
    </w:p>
    <w:p>
      <w:pPr>
        <w:pStyle w:val="ListBullet"/>
        <w:spacing w:after="20"/>
        <w:ind w:left="510"/>
      </w:pPr>
      <w:r>
        <w:rPr>
          <w:sz w:val="20"/>
        </w:rPr>
        <w:t>Bloco tracejado = Sensoriamento remoto Sentinel-2 (fase futura).</w:t>
      </w:r>
    </w:p>
    <w:p>
      <w:pPr>
        <w:spacing w:after="40"/>
      </w:pPr>
      <w:r>
        <w:rPr>
          <w:b/>
          <w:color w:val="1E6B3E"/>
          <w:sz w:val="20"/>
        </w:rPr>
        <w:t>Relações:</w:t>
      </w:r>
    </w:p>
    <w:p>
      <w:pPr>
        <w:pStyle w:val="ListBullet"/>
        <w:spacing w:after="20"/>
        <w:ind w:left="510"/>
      </w:pPr>
      <w:r>
        <w:rPr>
          <w:sz w:val="20"/>
        </w:rPr>
        <w:t>Agricultor → FADA: envia o cenário de manejo.</w:t>
      </w:r>
    </w:p>
    <w:p>
      <w:pPr>
        <w:pStyle w:val="ListBullet"/>
        <w:spacing w:after="20"/>
        <w:ind w:left="510"/>
      </w:pPr>
      <w:r>
        <w:rPr>
          <w:sz w:val="20"/>
        </w:rPr>
        <w:t>FADA → Agricultor: devolve previsão ± incerteza, risco, lucro e recomendação (seta de retorno, verde-escuro).</w:t>
      </w:r>
    </w:p>
    <w:p>
      <w:pPr>
        <w:pStyle w:val="ListBullet"/>
        <w:spacing w:after="20"/>
        <w:ind w:left="510"/>
      </w:pPr>
      <w:r>
        <w:rPr>
          <w:sz w:val="20"/>
        </w:rPr>
        <w:t>Fontes externas → FADA: séries climáticas, janelas ZARC e preços (setas entrando).</w:t>
      </w:r>
    </w:p>
    <w:p>
      <w:pPr>
        <w:pStyle w:val="ListBullet"/>
        <w:spacing w:after="20"/>
        <w:ind w:left="510"/>
      </w:pPr>
      <w:r>
        <w:rPr>
          <w:sz w:val="20"/>
        </w:rPr>
        <w:t>Satélite ┈&gt; FADA: pontilhada, indicando fase futura.</w:t>
      </w:r>
    </w:p>
    <w:p>
      <w:pPr>
        <w:spacing w:after="60"/>
      </w:pPr>
      <w:r>
        <w:rPr>
          <w:b/>
          <w:color w:val="1E6B3E"/>
          <w:sz w:val="20"/>
        </w:rPr>
        <w:t xml:space="preserve">Legenda:  </w:t>
      </w:r>
      <w:r>
        <w:rPr>
          <w:sz w:val="20"/>
        </w:rPr>
        <w:t>usuário (violeta) · sistema (verde) · dados externos (cinza) · fase futura (contorno tracejado).</w:t>
      </w:r>
    </w:p>
    <w:p>
      <w:pPr>
        <w:spacing w:after="60"/>
      </w:pPr>
      <w:r>
        <w:rPr>
          <w:b/>
          <w:color w:val="1E6B3E"/>
          <w:sz w:val="20"/>
        </w:rPr>
        <w:t xml:space="preserve">Interpretação:  </w:t>
      </w:r>
      <w:r>
        <w:rPr>
          <w:sz w:val="20"/>
        </w:rPr>
        <w:t>O FADA é um sistema fechado e bem delimitado que consome apenas dados públicos/abertos e devolve decisão explicada ao produtor.</w:t>
      </w:r>
    </w:p>
    <w:p>
      <w:pPr>
        <w:spacing w:after="40"/>
      </w:pPr>
      <w:r>
        <w:rPr>
          <w:b/>
          <w:color w:val="1E6B3E"/>
          <w:sz w:val="20"/>
        </w:rPr>
        <w:t>Mensagens-chave:</w:t>
      </w:r>
    </w:p>
    <w:p>
      <w:pPr>
        <w:pStyle w:val="ListBullet"/>
        <w:spacing w:after="20"/>
        <w:ind w:left="510"/>
      </w:pPr>
      <w:r>
        <w:rPr>
          <w:sz w:val="20"/>
        </w:rPr>
        <w:t>É autocontido e depende só de fontes gratuitas.</w:t>
      </w:r>
    </w:p>
    <w:p>
      <w:pPr>
        <w:pStyle w:val="ListBullet"/>
        <w:spacing w:after="20"/>
        <w:ind w:left="510"/>
      </w:pPr>
      <w:r>
        <w:rPr>
          <w:sz w:val="20"/>
        </w:rPr>
        <w:t>O produtor é o centro da interação, não o dado bruto.</w:t>
      </w:r>
    </w:p>
    <w:p>
      <w:pPr>
        <w:pStyle w:val="ListBullet"/>
        <w:spacing w:after="20"/>
        <w:ind w:left="510"/>
      </w:pPr>
      <w:r>
        <w:rPr>
          <w:sz w:val="20"/>
        </w:rPr>
        <w:t>Há um caminho de evolução (satélite) já previsto na fronteira do sistema.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92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con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36374"/>
          <w:sz w:val="17"/>
        </w:rPr>
        <w:t>Fig. 1 — Contexto: fronteira do sistema, atores e fontes de dados abertas.</w:t>
      </w:r>
    </w:p>
    <w:p>
      <w:pPr>
        <w:spacing w:before="200" w:after="80"/>
      </w:pPr>
      <w:r>
        <w:rPr>
          <w:b/>
          <w:color w:val="142B52"/>
          <w:sz w:val="27"/>
        </w:rPr>
        <w:t>Figura 2 — Arquitetura em camadas (containers)</w:t>
      </w:r>
    </w:p>
    <w:p>
      <w:pPr>
        <w:spacing w:after="60"/>
      </w:pPr>
      <w:r>
        <w:rPr>
          <w:b/>
          <w:color w:val="1E6B3E"/>
          <w:sz w:val="20"/>
        </w:rPr>
        <w:t xml:space="preserve">Objetivo:  </w:t>
      </w:r>
      <w:r>
        <w:rPr>
          <w:sz w:val="20"/>
        </w:rPr>
        <w:t>Mostrar como o software está organizado e deixar explícito que a inteligência está isolada do resto.</w:t>
      </w:r>
    </w:p>
    <w:p>
      <w:pPr>
        <w:spacing w:after="40"/>
      </w:pPr>
      <w:r>
        <w:rPr>
          <w:b/>
          <w:color w:val="1E6B3E"/>
          <w:sz w:val="20"/>
        </w:rPr>
        <w:t>Elementos:</w:t>
      </w:r>
    </w:p>
    <w:p>
      <w:pPr>
        <w:pStyle w:val="ListBullet"/>
        <w:spacing w:after="20"/>
        <w:ind w:left="510"/>
      </w:pPr>
      <w:r>
        <w:rPr>
          <w:sz w:val="20"/>
        </w:rPr>
        <w:t>Camada de apresentação (apps/web): Next.js · React · Tailwind · MapLibre — 'apenas exibe'.</w:t>
      </w:r>
    </w:p>
    <w:p>
      <w:pPr>
        <w:pStyle w:val="ListBullet"/>
        <w:spacing w:after="20"/>
        <w:ind w:left="510"/>
      </w:pPr>
      <w:r>
        <w:rPr>
          <w:sz w:val="20"/>
        </w:rPr>
        <w:t>Camada de orquestração (apps/api): FastAPI · Pydantic.</w:t>
      </w:r>
    </w:p>
    <w:p>
      <w:pPr>
        <w:pStyle w:val="ListBullet"/>
        <w:spacing w:after="20"/>
        <w:ind w:left="510"/>
      </w:pPr>
      <w:r>
        <w:rPr>
          <w:sz w:val="20"/>
        </w:rPr>
        <w:t>Núcleo científico (agro_engine): 31 módulos, Python puro, 0 dependências, 124 testes — destacado com borda espessa.</w:t>
      </w:r>
    </w:p>
    <w:p>
      <w:pPr>
        <w:pStyle w:val="ListBullet"/>
        <w:spacing w:after="20"/>
        <w:ind w:left="510"/>
      </w:pPr>
      <w:r>
        <w:rPr>
          <w:sz w:val="20"/>
        </w:rPr>
        <w:t>Persistência (cilindro): PostgreSQL + PostGIS = o gêmeo digital.</w:t>
      </w:r>
    </w:p>
    <w:p>
      <w:pPr>
        <w:pStyle w:val="ListBullet"/>
        <w:spacing w:after="20"/>
        <w:ind w:left="510"/>
      </w:pPr>
      <w:r>
        <w:rPr>
          <w:sz w:val="20"/>
        </w:rPr>
        <w:t>Cache de clima (cilindro lateral) ligado à API.</w:t>
      </w:r>
    </w:p>
    <w:p>
      <w:pPr>
        <w:spacing w:after="40"/>
      </w:pPr>
      <w:r>
        <w:rPr>
          <w:b/>
          <w:color w:val="1E6B3E"/>
          <w:sz w:val="20"/>
        </w:rPr>
        <w:t>Relações:</w:t>
      </w:r>
    </w:p>
    <w:p>
      <w:pPr>
        <w:pStyle w:val="ListBullet"/>
        <w:spacing w:after="20"/>
        <w:ind w:left="510"/>
      </w:pPr>
      <w:r>
        <w:rPr>
          <w:sz w:val="20"/>
        </w:rPr>
        <w:t>web → api por REST/JSON.</w:t>
      </w:r>
    </w:p>
    <w:p>
      <w:pPr>
        <w:pStyle w:val="ListBullet"/>
        <w:spacing w:after="20"/>
        <w:ind w:left="510"/>
      </w:pPr>
      <w:r>
        <w:rPr>
          <w:sz w:val="20"/>
        </w:rPr>
        <w:t>api → agro_engine por chamada de função in-process (baixa latência).</w:t>
      </w:r>
    </w:p>
    <w:p>
      <w:pPr>
        <w:pStyle w:val="ListBullet"/>
        <w:spacing w:after="20"/>
        <w:ind w:left="510"/>
      </w:pPr>
      <w:r>
        <w:rPr>
          <w:sz w:val="20"/>
        </w:rPr>
        <w:t>api ↔ banco por SQLAlchemy/GeoAlchemy.</w:t>
      </w:r>
    </w:p>
    <w:p>
      <w:pPr>
        <w:pStyle w:val="ListBullet"/>
        <w:spacing w:after="20"/>
        <w:ind w:left="510"/>
      </w:pPr>
      <w:r>
        <w:rPr>
          <w:sz w:val="20"/>
        </w:rPr>
        <w:t>api ↔ cache de clima, que troca com as fontes externas.</w:t>
      </w:r>
    </w:p>
    <w:p>
      <w:pPr>
        <w:spacing w:after="60"/>
      </w:pPr>
      <w:r>
        <w:rPr>
          <w:b/>
          <w:color w:val="1E6B3E"/>
          <w:sz w:val="20"/>
        </w:rPr>
        <w:t xml:space="preserve">Legenda:  </w:t>
      </w:r>
      <w:r>
        <w:rPr>
          <w:sz w:val="20"/>
        </w:rPr>
        <w:t>frontend (azul-claro) · backend (azul-petróleo) · motor (verde, borda grossa) · persistência (índigo) · cache/externo (cinza).</w:t>
      </w:r>
    </w:p>
    <w:p>
      <w:pPr>
        <w:spacing w:after="60"/>
      </w:pPr>
      <w:r>
        <w:rPr>
          <w:b/>
          <w:color w:val="1E6B3E"/>
          <w:sz w:val="20"/>
        </w:rPr>
        <w:t xml:space="preserve">Interpretação:  </w:t>
      </w:r>
      <w:r>
        <w:rPr>
          <w:sz w:val="20"/>
        </w:rPr>
        <w:t>Arquitetura em cebola: a web é descartável; o valor durável está no motor científico e no banco histórico.</w:t>
      </w:r>
    </w:p>
    <w:p>
      <w:pPr>
        <w:spacing w:after="40"/>
      </w:pPr>
      <w:r>
        <w:rPr>
          <w:b/>
          <w:color w:val="1E6B3E"/>
          <w:sz w:val="20"/>
        </w:rPr>
        <w:t>Mensagens-chave:</w:t>
      </w:r>
    </w:p>
    <w:p>
      <w:pPr>
        <w:pStyle w:val="ListBullet"/>
        <w:spacing w:after="20"/>
        <w:ind w:left="510"/>
      </w:pPr>
      <w:r>
        <w:rPr>
          <w:sz w:val="20"/>
        </w:rPr>
        <w:t>Separação de responsabilidades clara.</w:t>
      </w:r>
    </w:p>
    <w:p>
      <w:pPr>
        <w:pStyle w:val="ListBullet"/>
        <w:spacing w:after="20"/>
        <w:ind w:left="510"/>
      </w:pPr>
      <w:r>
        <w:rPr>
          <w:sz w:val="20"/>
        </w:rPr>
        <w:t>O motor não depende de framework — é portável, auditável e testável isoladamente (124 testes).</w:t>
      </w:r>
    </w:p>
    <w:p>
      <w:pPr>
        <w:pStyle w:val="ListBullet"/>
        <w:spacing w:after="20"/>
        <w:ind w:left="510"/>
      </w:pPr>
      <w:r>
        <w:rPr>
          <w:sz w:val="20"/>
        </w:rPr>
        <w:t>A borda espessa sinaliza onde mora a inteligência do sistema.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59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cama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36374"/>
          <w:sz w:val="17"/>
        </w:rPr>
        <w:t>Fig. 2 — Camadas de software; a inteligência (agro_engine) isolada da apresentação e da persistência.</w:t>
      </w:r>
    </w:p>
    <w:p>
      <w:pPr>
        <w:spacing w:before="200" w:after="80"/>
      </w:pPr>
      <w:r>
        <w:rPr>
          <w:b/>
          <w:color w:val="142B52"/>
          <w:sz w:val="27"/>
        </w:rPr>
        <w:t>Figura 3 — Filosofia: ciência primeiro, IA depois</w:t>
      </w:r>
    </w:p>
    <w:p>
      <w:pPr>
        <w:spacing w:after="60"/>
      </w:pPr>
      <w:r>
        <w:rPr>
          <w:b/>
          <w:color w:val="1E6B3E"/>
          <w:sz w:val="20"/>
        </w:rPr>
        <w:t xml:space="preserve">Objetivo:  </w:t>
      </w:r>
      <w:r>
        <w:rPr>
          <w:sz w:val="20"/>
        </w:rPr>
        <w:t>Comunicar a decisão de projeto que diferencia o FADA de uma 'caixa-preta': por que a IA não está no centro.</w:t>
      </w:r>
    </w:p>
    <w:p>
      <w:pPr>
        <w:spacing w:after="40"/>
      </w:pPr>
      <w:r>
        <w:rPr>
          <w:b/>
          <w:color w:val="1E6B3E"/>
          <w:sz w:val="20"/>
        </w:rPr>
        <w:t>Elementos:</w:t>
      </w:r>
    </w:p>
    <w:p>
      <w:pPr>
        <w:pStyle w:val="ListBullet"/>
        <w:spacing w:after="20"/>
        <w:ind w:left="510"/>
      </w:pPr>
      <w:r>
        <w:rPr>
          <w:sz w:val="20"/>
        </w:rPr>
        <w:t>Base larga (verde) = núcleo determinístico (fenologia, FAO-56, ZARC, IPPD, economia).</w:t>
      </w:r>
    </w:p>
    <w:p>
      <w:pPr>
        <w:pStyle w:val="ListBullet"/>
        <w:spacing w:after="20"/>
        <w:ind w:left="510"/>
      </w:pPr>
      <w:r>
        <w:rPr>
          <w:sz w:val="20"/>
        </w:rPr>
        <w:t>Faixa intermediária (índigo) = histórico do talhão (safras reais previsto × colhido).</w:t>
      </w:r>
    </w:p>
    <w:p>
      <w:pPr>
        <w:pStyle w:val="ListBullet"/>
        <w:spacing w:after="20"/>
        <w:ind w:left="510"/>
      </w:pPr>
      <w:r>
        <w:rPr>
          <w:sz w:val="20"/>
        </w:rPr>
        <w:t>Topo estreito (âmbar) = camada de correção por IA (calibração hoje; ML no futuro).</w:t>
      </w:r>
    </w:p>
    <w:p>
      <w:pPr>
        <w:pStyle w:val="ListBullet"/>
        <w:spacing w:after="20"/>
        <w:ind w:left="510"/>
      </w:pPr>
      <w:r>
        <w:rPr>
          <w:sz w:val="20"/>
        </w:rPr>
        <w:t>Eixos laterais: explicabilidade (cresce para baixo) × dados exigidos (cresce para cima).</w:t>
      </w:r>
    </w:p>
    <w:p>
      <w:pPr>
        <w:spacing w:after="40"/>
      </w:pPr>
      <w:r>
        <w:rPr>
          <w:b/>
          <w:color w:val="1E6B3E"/>
          <w:sz w:val="20"/>
        </w:rPr>
        <w:t>Relações:</w:t>
      </w:r>
    </w:p>
    <w:p>
      <w:pPr>
        <w:pStyle w:val="ListBullet"/>
        <w:spacing w:after="20"/>
        <w:ind w:left="510"/>
      </w:pPr>
      <w:r>
        <w:rPr>
          <w:sz w:val="20"/>
        </w:rPr>
        <w:t>Seta ⇢ do topo de volta à base, rotulada 'corrige o viés, nunca substitui'.</w:t>
      </w:r>
    </w:p>
    <w:p>
      <w:pPr>
        <w:pStyle w:val="ListBullet"/>
        <w:spacing w:after="20"/>
        <w:ind w:left="510"/>
      </w:pPr>
      <w:r>
        <w:rPr>
          <w:sz w:val="20"/>
        </w:rPr>
        <w:t>O tamanho de cada faixa é proporcional à sua importância no sistema.</w:t>
      </w:r>
    </w:p>
    <w:p>
      <w:pPr>
        <w:spacing w:after="60"/>
      </w:pPr>
      <w:r>
        <w:rPr>
          <w:b/>
          <w:color w:val="1E6B3E"/>
          <w:sz w:val="20"/>
        </w:rPr>
        <w:t xml:space="preserve">Legenda:  </w:t>
      </w:r>
      <w:r>
        <w:rPr>
          <w:sz w:val="20"/>
        </w:rPr>
        <w:t>verde = ciência determinística · índigo = dado histórico · âmbar = camada de IA.</w:t>
      </w:r>
    </w:p>
    <w:p>
      <w:pPr>
        <w:spacing w:after="60"/>
      </w:pPr>
      <w:r>
        <w:rPr>
          <w:b/>
          <w:color w:val="1E6B3E"/>
          <w:sz w:val="20"/>
        </w:rPr>
        <w:t xml:space="preserve">Interpretação:  </w:t>
      </w:r>
      <w:r>
        <w:rPr>
          <w:sz w:val="20"/>
        </w:rPr>
        <w:t>A IA é uma fina camada de correção sobre uma base científica robusta — não o motor da previsão.</w:t>
      </w:r>
    </w:p>
    <w:p>
      <w:pPr>
        <w:spacing w:after="40"/>
      </w:pPr>
      <w:r>
        <w:rPr>
          <w:b/>
          <w:color w:val="1E6B3E"/>
          <w:sz w:val="20"/>
        </w:rPr>
        <w:t>Mensagens-chave:</w:t>
      </w:r>
    </w:p>
    <w:p>
      <w:pPr>
        <w:pStyle w:val="ListBullet"/>
        <w:spacing w:after="20"/>
        <w:ind w:left="510"/>
      </w:pPr>
      <w:r>
        <w:rPr>
          <w:sz w:val="20"/>
        </w:rPr>
        <w:t>Funciona com zero histórico: a base já entrega previsão.</w:t>
      </w:r>
    </w:p>
    <w:p>
      <w:pPr>
        <w:pStyle w:val="ListBullet"/>
        <w:spacing w:after="20"/>
        <w:ind w:left="510"/>
      </w:pPr>
      <w:r>
        <w:rPr>
          <w:sz w:val="20"/>
        </w:rPr>
        <w:t>A IA entra apenas quando há dado real, como correção.</w:t>
      </w:r>
    </w:p>
    <w:p>
      <w:pPr>
        <w:pStyle w:val="ListBullet"/>
        <w:spacing w:after="20"/>
        <w:ind w:left="510"/>
      </w:pPr>
      <w:r>
        <w:rPr>
          <w:sz w:val="20"/>
        </w:rPr>
        <w:t>A explicabilidade é máxima na base — o oposto da caixa-preta.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46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filosof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36374"/>
          <w:sz w:val="17"/>
        </w:rPr>
        <w:t>Fig. 3 — Pirâmide de conhecimento: base determinística ampla, correção de IA no topo.</w:t>
      </w:r>
    </w:p>
    <w:p>
      <w:pPr>
        <w:spacing w:before="200" w:after="80"/>
      </w:pPr>
      <w:r>
        <w:rPr>
          <w:b/>
          <w:color w:val="142B52"/>
          <w:sz w:val="27"/>
        </w:rPr>
        <w:t>Figura 4 — Pipeline do motor determinístico</w:t>
      </w:r>
    </w:p>
    <w:p>
      <w:pPr>
        <w:spacing w:after="60"/>
      </w:pPr>
      <w:r>
        <w:rPr>
          <w:b/>
          <w:color w:val="1E6B3E"/>
          <w:sz w:val="20"/>
        </w:rPr>
        <w:t xml:space="preserve">Objetivo:  </w:t>
      </w:r>
      <w:r>
        <w:rPr>
          <w:sz w:val="20"/>
        </w:rPr>
        <w:t>Detalhar como uma previsão é calculada, passo a passo — o coração técnico do endpoint /simulate.</w:t>
      </w:r>
    </w:p>
    <w:p>
      <w:pPr>
        <w:spacing w:after="40"/>
      </w:pPr>
      <w:r>
        <w:rPr>
          <w:b/>
          <w:color w:val="1E6B3E"/>
          <w:sz w:val="20"/>
        </w:rPr>
        <w:t>Elementos:</w:t>
      </w:r>
    </w:p>
    <w:p>
      <w:pPr>
        <w:pStyle w:val="ListBullet"/>
        <w:spacing w:after="20"/>
        <w:ind w:left="510"/>
      </w:pPr>
      <w:r>
        <w:rPr>
          <w:sz w:val="20"/>
        </w:rPr>
        <w:t>Cinco modelos científicos encadeados (hexágonos): Fenologia (GDD) → Balanço hídrico (FAO-56) → Janela ZARC → Cascata IPPD → Economia.</w:t>
      </w:r>
    </w:p>
    <w:p>
      <w:pPr>
        <w:pStyle w:val="ListBullet"/>
        <w:spacing w:after="20"/>
        <w:ind w:left="510"/>
      </w:pPr>
      <w:r>
        <w:rPr>
          <w:sz w:val="20"/>
        </w:rPr>
        <w:t>Entradas (paralelogramos) alimentando cada etapa: Solo, Cultivar, Manejo, Clima, Preço.</w:t>
      </w:r>
    </w:p>
    <w:p>
      <w:pPr>
        <w:pStyle w:val="ListBullet"/>
        <w:spacing w:after="20"/>
        <w:ind w:left="510"/>
      </w:pPr>
      <w:r>
        <w:rPr>
          <w:sz w:val="20"/>
        </w:rPr>
        <w:t>Saída de cada etapa rotulada abaixo (datas V/R, déficit, penalidade, prod.±incerteza, lucro/ROI).</w:t>
      </w:r>
    </w:p>
    <w:p>
      <w:pPr>
        <w:pStyle w:val="ListBullet"/>
        <w:spacing w:after="20"/>
        <w:ind w:left="510"/>
      </w:pPr>
      <w:r>
        <w:rPr>
          <w:sz w:val="20"/>
        </w:rPr>
        <w:t>Saída final: Resultado (JSON) em verde-escuro.</w:t>
      </w:r>
    </w:p>
    <w:p>
      <w:pPr>
        <w:spacing w:after="40"/>
      </w:pPr>
      <w:r>
        <w:rPr>
          <w:b/>
          <w:color w:val="1E6B3E"/>
          <w:sz w:val="20"/>
        </w:rPr>
        <w:t>Relações:</w:t>
      </w:r>
    </w:p>
    <w:p>
      <w:pPr>
        <w:pStyle w:val="ListBullet"/>
        <w:spacing w:after="20"/>
        <w:ind w:left="510"/>
      </w:pPr>
      <w:r>
        <w:rPr>
          <w:sz w:val="20"/>
        </w:rPr>
        <w:t>Fluxo em série da esquerda para a direita (setas sólidas entre hexágonos).</w:t>
      </w:r>
    </w:p>
    <w:p>
      <w:pPr>
        <w:pStyle w:val="ListBullet"/>
        <w:spacing w:after="20"/>
        <w:ind w:left="510"/>
      </w:pPr>
      <w:r>
        <w:rPr>
          <w:sz w:val="20"/>
        </w:rPr>
        <w:t>O déficit hídrico e a penalidade ZARC entram como fatores na Cascata IPPD.</w:t>
      </w:r>
    </w:p>
    <w:p>
      <w:pPr>
        <w:pStyle w:val="ListBullet"/>
        <w:spacing w:after="20"/>
        <w:ind w:left="510"/>
      </w:pPr>
      <w:r>
        <w:rPr>
          <w:sz w:val="20"/>
        </w:rPr>
        <w:t>A economia consome a produtividade e devolve o resultado consolidado.</w:t>
      </w:r>
    </w:p>
    <w:p>
      <w:pPr>
        <w:spacing w:after="60"/>
      </w:pPr>
      <w:r>
        <w:rPr>
          <w:b/>
          <w:color w:val="1E6B3E"/>
          <w:sz w:val="20"/>
        </w:rPr>
        <w:t xml:space="preserve">Legenda:  </w:t>
      </w:r>
      <w:r>
        <w:rPr>
          <w:sz w:val="20"/>
        </w:rPr>
        <w:t>hexágono = modelo científico · paralelogramo = dado de entrada · verde-escuro = saída.</w:t>
      </w:r>
    </w:p>
    <w:p>
      <w:pPr>
        <w:spacing w:after="60"/>
      </w:pPr>
      <w:r>
        <w:rPr>
          <w:b/>
          <w:color w:val="1E6B3E"/>
          <w:sz w:val="20"/>
        </w:rPr>
        <w:t xml:space="preserve">Interpretação:  </w:t>
      </w:r>
      <w:r>
        <w:rPr>
          <w:sz w:val="20"/>
        </w:rPr>
        <w:t>Cada etapa é um modelo agronômico consagrado; a Cascata IPPD é o ponto de convergência de todos os fatores.</w:t>
      </w:r>
    </w:p>
    <w:p>
      <w:pPr>
        <w:spacing w:after="40"/>
      </w:pPr>
      <w:r>
        <w:rPr>
          <w:b/>
          <w:color w:val="1E6B3E"/>
          <w:sz w:val="20"/>
        </w:rPr>
        <w:t>Mensagens-chave:</w:t>
      </w:r>
    </w:p>
    <w:p>
      <w:pPr>
        <w:pStyle w:val="ListBullet"/>
        <w:spacing w:after="20"/>
        <w:ind w:left="510"/>
      </w:pPr>
      <w:r>
        <w:rPr>
          <w:sz w:val="20"/>
        </w:rPr>
        <w:t>Nenhum número é inventado — cada bloco tem referência (Embrapa, FAO-56, ZARC/MAPA, CQFS-RS/SC, CONAB).</w:t>
      </w:r>
    </w:p>
    <w:p>
      <w:pPr>
        <w:pStyle w:val="ListBullet"/>
        <w:spacing w:after="20"/>
        <w:ind w:left="510"/>
      </w:pPr>
      <w:r>
        <w:rPr>
          <w:sz w:val="20"/>
        </w:rPr>
        <w:t>É uma pipeline transparente e inspecionável, etapa por etapa.</w:t>
      </w:r>
    </w:p>
    <w:p>
      <w:pPr>
        <w:pStyle w:val="ListBullet"/>
        <w:spacing w:after="20"/>
        <w:ind w:left="510"/>
      </w:pPr>
      <w:r>
        <w:rPr>
          <w:sz w:val="20"/>
        </w:rPr>
        <w:t>A incerteza é propagada até a saída, não escondida.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062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6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36374"/>
          <w:sz w:val="17"/>
        </w:rPr>
        <w:t>Fig. 4 — Encadeamento dos modelos científicos determinísticos do /simulate.</w:t>
      </w:r>
    </w:p>
    <w:p>
      <w:pPr>
        <w:spacing w:before="200" w:after="80"/>
      </w:pPr>
      <w:r>
        <w:rPr>
          <w:b/>
          <w:color w:val="142B52"/>
          <w:sz w:val="27"/>
        </w:rPr>
        <w:t>Figura 5 — Cascata IPPD: decomposição da produtividade (dados reais)</w:t>
      </w:r>
    </w:p>
    <w:p>
      <w:pPr>
        <w:spacing w:after="60"/>
      </w:pPr>
      <w:r>
        <w:rPr>
          <w:b/>
          <w:color w:val="1E6B3E"/>
          <w:sz w:val="20"/>
        </w:rPr>
        <w:t xml:space="preserve">Objetivo:  </w:t>
      </w:r>
      <w:r>
        <w:rPr>
          <w:sz w:val="20"/>
        </w:rPr>
        <w:t>Tornar visível qual fator adiciona ou rouba produtividade — o momento em que o número vira explicação.</w:t>
      </w:r>
    </w:p>
    <w:p>
      <w:pPr>
        <w:spacing w:after="40"/>
      </w:pPr>
      <w:r>
        <w:rPr>
          <w:b/>
          <w:color w:val="1E6B3E"/>
          <w:sz w:val="20"/>
        </w:rPr>
        <w:t>Elementos:</w:t>
      </w:r>
    </w:p>
    <w:p>
      <w:pPr>
        <w:pStyle w:val="ListBullet"/>
        <w:spacing w:after="20"/>
        <w:ind w:left="510"/>
      </w:pPr>
      <w:r>
        <w:rPr>
          <w:sz w:val="20"/>
        </w:rPr>
        <w:t>Barra inicial = potencial genético da cultivar (95 sc/ha).</w:t>
      </w:r>
    </w:p>
    <w:p>
      <w:pPr>
        <w:pStyle w:val="ListBullet"/>
        <w:spacing w:after="20"/>
        <w:ind w:left="510"/>
      </w:pPr>
      <w:r>
        <w:rPr>
          <w:sz w:val="20"/>
        </w:rPr>
        <w:t>Barras intermediárias = contribuição real de cada fator (verde = ganho, vermelho = perda).</w:t>
      </w:r>
    </w:p>
    <w:p>
      <w:pPr>
        <w:pStyle w:val="ListBullet"/>
        <w:spacing w:after="20"/>
        <w:ind w:left="510"/>
      </w:pPr>
      <w:r>
        <w:rPr>
          <w:sz w:val="20"/>
        </w:rPr>
        <w:t>Barra final = produtividade esperada (54.4 sc/ha) com whisker de incerteza (± 9.1 sc/ha).</w:t>
      </w:r>
    </w:p>
    <w:p>
      <w:pPr>
        <w:pStyle w:val="ListBullet"/>
        <w:spacing w:after="20"/>
        <w:ind w:left="510"/>
      </w:pPr>
      <w:r>
        <w:rPr>
          <w:sz w:val="20"/>
        </w:rPr>
        <w:t>Fatores com |Δ| &lt; 0,6 sc/ha agrupados em 'Outros (≈0)' para clareza.</w:t>
      </w:r>
    </w:p>
    <w:p>
      <w:pPr>
        <w:spacing w:after="40"/>
      </w:pPr>
      <w:r>
        <w:rPr>
          <w:b/>
          <w:color w:val="1E6B3E"/>
          <w:sz w:val="20"/>
        </w:rPr>
        <w:t>Relações:</w:t>
      </w:r>
    </w:p>
    <w:p>
      <w:pPr>
        <w:pStyle w:val="ListBullet"/>
        <w:spacing w:after="20"/>
        <w:ind w:left="510"/>
      </w:pPr>
      <w:r>
        <w:rPr>
          <w:sz w:val="20"/>
        </w:rPr>
        <w:t>Cada barra parte do topo da anterior (conectores tracejados).</w:t>
      </w:r>
    </w:p>
    <w:p>
      <w:pPr>
        <w:pStyle w:val="ListBullet"/>
        <w:spacing w:after="20"/>
        <w:ind w:left="510"/>
      </w:pPr>
      <w:r>
        <w:rPr>
          <w:sz w:val="20"/>
        </w:rPr>
        <w:t>Maiores perdas reais neste cenário: Água -26.0; Pragas -7.7; Daninhas -4.0 (sc/ha).</w:t>
      </w:r>
    </w:p>
    <w:p>
      <w:pPr>
        <w:pStyle w:val="ListBullet"/>
        <w:spacing w:after="20"/>
        <w:ind w:left="510"/>
      </w:pPr>
      <w:r>
        <w:rPr>
          <w:sz w:val="20"/>
        </w:rPr>
        <w:t>A soma algébrica de todos os fatores sobre o potencial resulta na produtividade esperada.</w:t>
      </w:r>
    </w:p>
    <w:p>
      <w:pPr>
        <w:spacing w:after="60"/>
      </w:pPr>
      <w:r>
        <w:rPr>
          <w:b/>
          <w:color w:val="1E6B3E"/>
          <w:sz w:val="20"/>
        </w:rPr>
        <w:t xml:space="preserve">Legenda:  </w:t>
      </w:r>
      <w:r>
        <w:rPr>
          <w:sz w:val="20"/>
        </w:rPr>
        <w:t>verde = ganho · vermelho = perda · cinza = potencial · verde-escuro = esperado · whisker = incerteza.</w:t>
      </w:r>
    </w:p>
    <w:p>
      <w:pPr>
        <w:spacing w:after="60"/>
      </w:pPr>
      <w:r>
        <w:rPr>
          <w:b/>
          <w:color w:val="1E6B3E"/>
          <w:sz w:val="20"/>
        </w:rPr>
        <w:t xml:space="preserve">Interpretação:  </w:t>
      </w:r>
      <w:r>
        <w:rPr>
          <w:sz w:val="20"/>
        </w:rPr>
        <w:t>A produtividade final (54.4 sc/ha) é o potencial menos as perdas por fator; o maior fator negativo (Água, -26 sc/ha) é o gargalo acionável.</w:t>
      </w:r>
    </w:p>
    <w:p>
      <w:pPr>
        <w:spacing w:after="40"/>
      </w:pPr>
      <w:r>
        <w:rPr>
          <w:b/>
          <w:color w:val="1E6B3E"/>
          <w:sz w:val="20"/>
        </w:rPr>
        <w:t>Mensagens-chave:</w:t>
      </w:r>
    </w:p>
    <w:p>
      <w:pPr>
        <w:pStyle w:val="ListBullet"/>
        <w:spacing w:after="20"/>
        <w:ind w:left="510"/>
      </w:pPr>
      <w:r>
        <w:rPr>
          <w:sz w:val="20"/>
        </w:rPr>
        <w:t>O produtor vê exatamente ONDE perde produtividade.</w:t>
      </w:r>
    </w:p>
    <w:p>
      <w:pPr>
        <w:pStyle w:val="ListBullet"/>
        <w:spacing w:after="20"/>
        <w:ind w:left="510"/>
      </w:pPr>
      <w:r>
        <w:rPr>
          <w:sz w:val="20"/>
        </w:rPr>
        <w:t>A priorização de investimento segue o maior Δ negativo.</w:t>
      </w:r>
    </w:p>
    <w:p>
      <w:pPr>
        <w:pStyle w:val="ListBullet"/>
        <w:spacing w:after="20"/>
        <w:ind w:left="510"/>
      </w:pPr>
      <w:r>
        <w:rPr>
          <w:sz w:val="20"/>
        </w:rPr>
        <w:t>É o antídoto da caixa-preta: um número decomposto e auditável.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88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casc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36374"/>
          <w:sz w:val="17"/>
        </w:rPr>
        <w:t>Fig. 5 — Cascata IPPD real: 95 → 54.4 sc/ha (cenário de referência).</w:t>
      </w:r>
    </w:p>
    <w:p>
      <w:pPr>
        <w:spacing w:before="200" w:after="80"/>
      </w:pPr>
      <w:r>
        <w:rPr>
          <w:b/>
          <w:color w:val="142B52"/>
          <w:sz w:val="27"/>
        </w:rPr>
        <w:t>Figura 6 — Monte Carlo sob ENSO: quantificação de risco (dados reais)</w:t>
      </w:r>
    </w:p>
    <w:p>
      <w:pPr>
        <w:spacing w:after="60"/>
      </w:pPr>
      <w:r>
        <w:rPr>
          <w:b/>
          <w:color w:val="1E6B3E"/>
          <w:sz w:val="20"/>
        </w:rPr>
        <w:t xml:space="preserve">Objetivo:  </w:t>
      </w:r>
      <w:r>
        <w:rPr>
          <w:sz w:val="20"/>
        </w:rPr>
        <w:t>Mostrar que a saída não é um número único, e sim uma distribuição de resultados sensível ao clima (ENSO).</w:t>
      </w:r>
    </w:p>
    <w:p>
      <w:pPr>
        <w:spacing w:after="40"/>
      </w:pPr>
      <w:r>
        <w:rPr>
          <w:b/>
          <w:color w:val="1E6B3E"/>
          <w:sz w:val="20"/>
        </w:rPr>
        <w:t>Elementos:</w:t>
      </w:r>
    </w:p>
    <w:p>
      <w:pPr>
        <w:pStyle w:val="ListBullet"/>
        <w:spacing w:after="20"/>
        <w:ind w:left="510"/>
      </w:pPr>
      <w:r>
        <w:rPr>
          <w:sz w:val="20"/>
        </w:rPr>
        <w:t>Três distribuições de lucro/ha, uma por regime ENSO (La Niña, Neutro, El Niño), 3.000 safras cada.</w:t>
      </w:r>
    </w:p>
    <w:p>
      <w:pPr>
        <w:pStyle w:val="ListBullet"/>
        <w:spacing w:after="20"/>
        <w:ind w:left="510"/>
      </w:pPr>
      <w:r>
        <w:rPr>
          <w:sz w:val="20"/>
        </w:rPr>
        <w:t>Linhas verticais tracejadas = mediana de cada cenário.</w:t>
      </w:r>
    </w:p>
    <w:p>
      <w:pPr>
        <w:pStyle w:val="ListBullet"/>
        <w:spacing w:after="20"/>
        <w:ind w:left="510"/>
      </w:pPr>
      <w:r>
        <w:rPr>
          <w:sz w:val="20"/>
        </w:rPr>
        <w:t>Linha sólida em zero = break-even; área à esquerda = probabilidade de prejuízo.</w:t>
      </w:r>
    </w:p>
    <w:p>
      <w:pPr>
        <w:pStyle w:val="ListBullet"/>
        <w:spacing w:after="20"/>
        <w:ind w:left="510"/>
      </w:pPr>
      <w:r>
        <w:rPr>
          <w:sz w:val="20"/>
        </w:rPr>
        <w:t>Caixa de anotação = P(prejuízo) e medianas reais por cenário.</w:t>
      </w:r>
    </w:p>
    <w:p>
      <w:pPr>
        <w:spacing w:after="40"/>
      </w:pPr>
      <w:r>
        <w:rPr>
          <w:b/>
          <w:color w:val="1E6B3E"/>
          <w:sz w:val="20"/>
        </w:rPr>
        <w:t>Relações:</w:t>
      </w:r>
    </w:p>
    <w:p>
      <w:pPr>
        <w:pStyle w:val="ListBullet"/>
        <w:spacing w:after="20"/>
        <w:ind w:left="510"/>
      </w:pPr>
      <w:r>
        <w:rPr>
          <w:sz w:val="20"/>
        </w:rPr>
        <w:t>Cada distribuição resulta de reamostrar clima e preço milhares de vezes e rodar o pipeline determinístico.</w:t>
      </w:r>
    </w:p>
    <w:p>
      <w:pPr>
        <w:pStyle w:val="ListBullet"/>
        <w:spacing w:after="20"/>
        <w:ind w:left="510"/>
      </w:pPr>
      <w:r>
        <w:rPr>
          <w:sz w:val="20"/>
        </w:rPr>
        <w:t>O fator ENSO desloca a curva: El Niño (chuva ×1,18) à direita, La Niña (×0,74) à esquerda.</w:t>
      </w:r>
    </w:p>
    <w:p>
      <w:pPr>
        <w:spacing w:after="60"/>
      </w:pPr>
      <w:r>
        <w:rPr>
          <w:b/>
          <w:color w:val="1E6B3E"/>
          <w:sz w:val="20"/>
        </w:rPr>
        <w:t xml:space="preserve">Legenda:  </w:t>
      </w:r>
      <w:r>
        <w:rPr>
          <w:sz w:val="20"/>
        </w:rPr>
        <w:t>La Niña (vermelho) · Neutro (azul) · El Niño (verde); tracejado = mediana; linha em zero = break-even.</w:t>
      </w:r>
    </w:p>
    <w:p>
      <w:pPr>
        <w:spacing w:after="60"/>
      </w:pPr>
      <w:r>
        <w:rPr>
          <w:b/>
          <w:color w:val="1E6B3E"/>
          <w:sz w:val="20"/>
        </w:rPr>
        <w:t xml:space="preserve">Interpretação:  </w:t>
      </w:r>
      <w:r>
        <w:rPr>
          <w:sz w:val="20"/>
        </w:rPr>
        <w:t>Rodar a safra milhares de vezes revela a cauda de risco. Mediana de lucro: La Niña R$ 2092 · Neutro R$ 2483 · El Niño R$ 2848/ha.</w:t>
      </w:r>
    </w:p>
    <w:p>
      <w:pPr>
        <w:spacing w:after="40"/>
      </w:pPr>
      <w:r>
        <w:rPr>
          <w:b/>
          <w:color w:val="1E6B3E"/>
          <w:sz w:val="20"/>
        </w:rPr>
        <w:t>Mensagens-chave:</w:t>
      </w:r>
    </w:p>
    <w:p>
      <w:pPr>
        <w:pStyle w:val="ListBullet"/>
        <w:spacing w:after="20"/>
        <w:ind w:left="510"/>
      </w:pPr>
      <w:r>
        <w:rPr>
          <w:sz w:val="20"/>
        </w:rPr>
        <w:t>A pergunta 'qual a chance de prejuízo?' tem resposta numérica (La Niña 0.2% · Neutro 0.1% · El Niño 0.0%).</w:t>
      </w:r>
    </w:p>
    <w:p>
      <w:pPr>
        <w:pStyle w:val="ListBullet"/>
        <w:spacing w:after="20"/>
        <w:ind w:left="510"/>
      </w:pPr>
      <w:r>
        <w:rPr>
          <w:sz w:val="20"/>
        </w:rPr>
        <w:t>O risco é explicitamente ligado ao ENSO, o driver climático nº 1 da região.</w:t>
      </w:r>
    </w:p>
    <w:p>
      <w:pPr>
        <w:pStyle w:val="ListBullet"/>
        <w:spacing w:after="20"/>
        <w:ind w:left="510"/>
      </w:pPr>
      <w:r>
        <w:rPr>
          <w:sz w:val="20"/>
        </w:rPr>
        <w:t>Decisão sob incerteza — muito mais honesto que um único número.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05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montecar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5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36374"/>
          <w:sz w:val="17"/>
        </w:rPr>
        <w:t>Fig. 6 — Distribuição real do lucro por regime ENSO (3.000 simulações por cenário).</w:t>
      </w:r>
    </w:p>
    <w:p>
      <w:pPr>
        <w:spacing w:before="200" w:after="80"/>
      </w:pPr>
      <w:r>
        <w:rPr>
          <w:b/>
          <w:color w:val="142B52"/>
          <w:sz w:val="27"/>
        </w:rPr>
        <w:t>Figura 7 — Motor de conhecimento: calibração previsto × colhido (dados reais)</w:t>
      </w:r>
    </w:p>
    <w:p>
      <w:pPr>
        <w:spacing w:after="60"/>
      </w:pPr>
      <w:r>
        <w:rPr>
          <w:b/>
          <w:color w:val="1E6B3E"/>
          <w:sz w:val="20"/>
        </w:rPr>
        <w:t xml:space="preserve">Objetivo:  </w:t>
      </w:r>
      <w:r>
        <w:rPr>
          <w:sz w:val="20"/>
        </w:rPr>
        <w:t>Mostrar o único ponto onde entra 'IA' e por que ela é estatisticamente honesta com pouco dado.</w:t>
      </w:r>
    </w:p>
    <w:p>
      <w:pPr>
        <w:spacing w:after="40"/>
      </w:pPr>
      <w:r>
        <w:rPr>
          <w:b/>
          <w:color w:val="1E6B3E"/>
          <w:sz w:val="20"/>
        </w:rPr>
        <w:t>Elementos:</w:t>
      </w:r>
    </w:p>
    <w:p>
      <w:pPr>
        <w:pStyle w:val="ListBullet"/>
        <w:spacing w:after="20"/>
        <w:ind w:left="510"/>
      </w:pPr>
      <w:r>
        <w:rPr>
          <w:sz w:val="20"/>
        </w:rPr>
        <w:t>Painel (a): erro médio absoluto (MAE) sem e com calibração, à medida que safras reais são registradas.</w:t>
      </w:r>
    </w:p>
    <w:p>
      <w:pPr>
        <w:pStyle w:val="ListBullet"/>
        <w:spacing w:after="20"/>
        <w:ind w:left="510"/>
      </w:pPr>
      <w:r>
        <w:rPr>
          <w:sz w:val="20"/>
        </w:rPr>
        <w:t>Painel (b): |viés| aplicado (barras âmbar) e confiança n/(n+3) (linha índigo).</w:t>
      </w:r>
    </w:p>
    <w:p>
      <w:pPr>
        <w:pStyle w:val="ListBullet"/>
        <w:spacing w:after="20"/>
        <w:ind w:left="510"/>
      </w:pPr>
      <w:r>
        <w:rPr>
          <w:sz w:val="20"/>
        </w:rPr>
        <w:t>Setas verticais em (a) = redução de erro obtida pela correção.</w:t>
      </w:r>
    </w:p>
    <w:p>
      <w:pPr>
        <w:spacing w:after="40"/>
      </w:pPr>
      <w:r>
        <w:rPr>
          <w:b/>
          <w:color w:val="1E6B3E"/>
          <w:sz w:val="20"/>
        </w:rPr>
        <w:t>Relações:</w:t>
      </w:r>
    </w:p>
    <w:p>
      <w:pPr>
        <w:pStyle w:val="ListBullet"/>
        <w:spacing w:after="20"/>
        <w:ind w:left="510"/>
      </w:pPr>
      <w:r>
        <w:rPr>
          <w:sz w:val="20"/>
        </w:rPr>
        <w:t>A cada safra, compara-se previsto × colhido; o resíduo médio vira uma correção aditiva encolhida por n/(n+3).</w:t>
      </w:r>
    </w:p>
    <w:p>
      <w:pPr>
        <w:pStyle w:val="ListBullet"/>
        <w:spacing w:after="20"/>
        <w:ind w:left="510"/>
      </w:pPr>
      <w:r>
        <w:rPr>
          <w:sz w:val="20"/>
        </w:rPr>
        <w:t>O viés cresce em direção ao valor verdadeiro conforme a confiança sobe.</w:t>
      </w:r>
    </w:p>
    <w:p>
      <w:pPr>
        <w:spacing w:after="60"/>
      </w:pPr>
      <w:r>
        <w:rPr>
          <w:b/>
          <w:color w:val="1E6B3E"/>
          <w:sz w:val="20"/>
        </w:rPr>
        <w:t xml:space="preserve">Legenda:  </w:t>
      </w:r>
      <w:r>
        <w:rPr>
          <w:sz w:val="20"/>
        </w:rPr>
        <w:t>vermelho = MAE sem calibração · verde = MAE com calibração · âmbar = |viés| · índigo = confiança.</w:t>
      </w:r>
    </w:p>
    <w:p>
      <w:pPr>
        <w:spacing w:after="60"/>
      </w:pPr>
      <w:r>
        <w:rPr>
          <w:b/>
          <w:color w:val="1E6B3E"/>
          <w:sz w:val="20"/>
        </w:rPr>
        <w:t xml:space="preserve">Interpretação:  </w:t>
      </w:r>
      <w:r>
        <w:rPr>
          <w:sz w:val="20"/>
        </w:rPr>
        <w:t>Num talhão com viés sistemático, a calibração reduz o MAE de 5.0 → 1.9 sc/ha em 5 safras, enquanto a confiança sobe de 0.25 → 0.62.</w:t>
      </w:r>
    </w:p>
    <w:p>
      <w:pPr>
        <w:spacing w:after="40"/>
      </w:pPr>
      <w:r>
        <w:rPr>
          <w:b/>
          <w:color w:val="1E6B3E"/>
          <w:sz w:val="20"/>
        </w:rPr>
        <w:t>Mensagens-chave:</w:t>
      </w:r>
    </w:p>
    <w:p>
      <w:pPr>
        <w:pStyle w:val="ListBullet"/>
        <w:spacing w:after="20"/>
        <w:ind w:left="510"/>
      </w:pPr>
      <w:r>
        <w:rPr>
          <w:sz w:val="20"/>
        </w:rPr>
        <w:t>Aprende sem 'big data': melhora já na primeira safra registrada.</w:t>
      </w:r>
    </w:p>
    <w:p>
      <w:pPr>
        <w:pStyle w:val="ListBullet"/>
        <w:spacing w:after="20"/>
        <w:ind w:left="510"/>
      </w:pPr>
      <w:r>
        <w:rPr>
          <w:sz w:val="20"/>
        </w:rPr>
        <w:t>O fator de encolhimento n/(n+3) evita superajuste com poucos dados.</w:t>
      </w:r>
    </w:p>
    <w:p>
      <w:pPr>
        <w:pStyle w:val="ListBullet"/>
        <w:spacing w:after="20"/>
        <w:ind w:left="510"/>
      </w:pPr>
      <w:r>
        <w:rPr>
          <w:sz w:val="20"/>
        </w:rPr>
        <w:t>O Monte Carlo capta o clima; a calibração capta o viés do talhão — papéis complementares.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86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calibr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36374"/>
          <w:sz w:val="17"/>
        </w:rPr>
        <w:t>Fig. 7 — Calibração real: MAE 5.0 → 1.9 sc/ha; confiança 0.25 → 0.62.</w:t>
      </w:r>
    </w:p>
    <w:p>
      <w:pPr>
        <w:spacing w:before="200" w:after="80"/>
      </w:pPr>
      <w:r>
        <w:rPr>
          <w:b/>
          <w:color w:val="142B52"/>
          <w:sz w:val="27"/>
        </w:rPr>
        <w:t>Figura 8 — Diagrama de sequência de uma simulação</w:t>
      </w:r>
    </w:p>
    <w:p>
      <w:pPr>
        <w:spacing w:after="60"/>
      </w:pPr>
      <w:r>
        <w:rPr>
          <w:b/>
          <w:color w:val="1E6B3E"/>
          <w:sz w:val="20"/>
        </w:rPr>
        <w:t xml:space="preserve">Objetivo:  </w:t>
      </w:r>
      <w:r>
        <w:rPr>
          <w:sz w:val="20"/>
        </w:rPr>
        <w:t>Amarrar as Figuras 2 e 4 num fluxo temporal concreto: o que acontece ao clicar 'Simular'.</w:t>
      </w:r>
    </w:p>
    <w:p>
      <w:pPr>
        <w:spacing w:after="40"/>
      </w:pPr>
      <w:r>
        <w:rPr>
          <w:b/>
          <w:color w:val="1E6B3E"/>
          <w:sz w:val="20"/>
        </w:rPr>
        <w:t>Elementos:</w:t>
      </w:r>
    </w:p>
    <w:p>
      <w:pPr>
        <w:pStyle w:val="ListBullet"/>
        <w:spacing w:after="20"/>
        <w:ind w:left="510"/>
      </w:pPr>
      <w:r>
        <w:rPr>
          <w:sz w:val="20"/>
        </w:rPr>
        <w:t>Cinco lifelines: Agricultor, Web, API, agro_engine, Cache/DB.</w:t>
      </w:r>
    </w:p>
    <w:p>
      <w:pPr>
        <w:pStyle w:val="ListBullet"/>
        <w:spacing w:after="20"/>
        <w:ind w:left="510"/>
      </w:pPr>
      <w:r>
        <w:rPr>
          <w:sz w:val="20"/>
        </w:rPr>
        <w:t>Oito mensagens numeradas, de cima para baixo.</w:t>
      </w:r>
    </w:p>
    <w:p>
      <w:pPr>
        <w:pStyle w:val="ListBullet"/>
        <w:spacing w:after="20"/>
        <w:ind w:left="510"/>
      </w:pPr>
      <w:r>
        <w:rPr>
          <w:sz w:val="20"/>
        </w:rPr>
        <w:t>Auto-mensagem no agro_engine = execução interna do pipeline (fenologia → … → Monte Carlo).</w:t>
      </w:r>
    </w:p>
    <w:p>
      <w:pPr>
        <w:spacing w:after="40"/>
      </w:pPr>
      <w:r>
        <w:rPr>
          <w:b/>
          <w:color w:val="1E6B3E"/>
          <w:sz w:val="20"/>
        </w:rPr>
        <w:t>Relações:</w:t>
      </w:r>
    </w:p>
    <w:p>
      <w:pPr>
        <w:pStyle w:val="ListBullet"/>
        <w:spacing w:after="20"/>
        <w:ind w:left="510"/>
      </w:pPr>
      <w:r>
        <w:rPr>
          <w:sz w:val="20"/>
        </w:rPr>
        <w:t>1 clique → 2 POST /simulate → 3 busca de clima (cache/DB) → 4 simulate() → 5 pipeline interno → 6-8 retornos até a renderização.</w:t>
      </w:r>
    </w:p>
    <w:p>
      <w:pPr>
        <w:pStyle w:val="ListBullet"/>
        <w:spacing w:after="20"/>
        <w:ind w:left="510"/>
      </w:pPr>
      <w:r>
        <w:rPr>
          <w:sz w:val="20"/>
        </w:rPr>
        <w:t>Mensagens de retorno em tracejado; chamadas em linha sólida.</w:t>
      </w:r>
    </w:p>
    <w:p>
      <w:pPr>
        <w:spacing w:after="60"/>
      </w:pPr>
      <w:r>
        <w:rPr>
          <w:b/>
          <w:color w:val="1E6B3E"/>
          <w:sz w:val="20"/>
        </w:rPr>
        <w:t xml:space="preserve">Legenda:  </w:t>
      </w:r>
      <w:r>
        <w:rPr>
          <w:sz w:val="20"/>
        </w:rPr>
        <w:t>chamada síncrona (linha sólida) · retorno (linha tracejada); cor de cada lifeline segue a paleta.</w:t>
      </w:r>
    </w:p>
    <w:p>
      <w:pPr>
        <w:spacing w:after="60"/>
      </w:pPr>
      <w:r>
        <w:rPr>
          <w:b/>
          <w:color w:val="1E6B3E"/>
          <w:sz w:val="20"/>
        </w:rPr>
        <w:t xml:space="preserve">Interpretação:  </w:t>
      </w:r>
      <w:r>
        <w:rPr>
          <w:sz w:val="20"/>
        </w:rPr>
        <w:t>A resposta sai em segundos; /simulate é stateless e o clima é cacheado para não consultar API externa a cada clique.</w:t>
      </w:r>
    </w:p>
    <w:p>
      <w:pPr>
        <w:spacing w:after="40"/>
      </w:pPr>
      <w:r>
        <w:rPr>
          <w:b/>
          <w:color w:val="1E6B3E"/>
          <w:sz w:val="20"/>
        </w:rPr>
        <w:t>Mensagens-chave:</w:t>
      </w:r>
    </w:p>
    <w:p>
      <w:pPr>
        <w:pStyle w:val="ListBullet"/>
        <w:spacing w:after="20"/>
        <w:ind w:left="510"/>
      </w:pPr>
      <w:r>
        <w:rPr>
          <w:sz w:val="20"/>
        </w:rPr>
        <w:t>O motor é chamado in-process, garantindo baixa latência.</w:t>
      </w:r>
    </w:p>
    <w:p>
      <w:pPr>
        <w:pStyle w:val="ListBullet"/>
        <w:spacing w:after="20"/>
        <w:ind w:left="510"/>
      </w:pPr>
      <w:r>
        <w:rPr>
          <w:sz w:val="20"/>
        </w:rPr>
        <w:t>/simulate é sem estado — é o 'laboratório virtual' que permite testar cenários livremente.</w:t>
      </w:r>
    </w:p>
    <w:p>
      <w:pPr>
        <w:pStyle w:val="ListBullet"/>
        <w:spacing w:after="20"/>
        <w:ind w:left="510"/>
      </w:pPr>
      <w:r>
        <w:rPr>
          <w:sz w:val="20"/>
        </w:rPr>
        <w:t>O clima externo é consultado uma vez e reutilizado.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477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sequenc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7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36374"/>
          <w:sz w:val="17"/>
        </w:rPr>
        <w:t>Fig. 8 — Colaboração temporal entre as camadas em uma requisição de simulação.</w:t>
      </w:r>
    </w:p>
    <w:p>
      <w:r>
        <w:br w:type="page"/>
      </w:r>
    </w:p>
    <w:p>
      <w:pPr>
        <w:spacing w:before="280" w:after="120"/>
      </w:pPr>
      <w:r>
        <w:rPr>
          <w:b/>
          <w:color w:val="142B52"/>
          <w:sz w:val="26"/>
        </w:rPr>
        <w:t>Tabela A — Módulos do motor: responsabilidade e base científica</w:t>
      </w:r>
    </w:p>
    <w:p>
      <w:r>
        <w:t>Os nove módulos científicos centrais do agro_engine. Cada um responde a uma pergunta e é coberto pela suíte de testes (124 testes, 100% verdes).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417"/>
            <w:shd w:val="clear" w:fill="1453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381"/>
            <w:shd w:val="clear" w:fill="1453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Pergunta que responde</w:t>
            </w:r>
          </w:p>
        </w:tc>
        <w:tc>
          <w:tcPr>
            <w:tcW w:type="dxa" w:w="2721"/>
            <w:shd w:val="clear" w:fill="1453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Entrada → Saída</w:t>
            </w:r>
          </w:p>
        </w:tc>
        <w:tc>
          <w:tcPr>
            <w:tcW w:type="dxa" w:w="2154"/>
            <w:shd w:val="clear" w:fill="1453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Base científica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7"/>
              </w:rPr>
              <w:t>phenology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7"/>
              </w:rPr>
              <w:t>Quando ocorre cada estádio?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sz w:val="17"/>
              </w:rPr>
              <w:t>clima + cultivar → datas V/R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7"/>
              </w:rPr>
              <w:t>Graus-dia (GDD), Tbase 10 °C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7"/>
              </w:rPr>
              <w:t>water_balance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7"/>
              </w:rPr>
              <w:t>Quanta água faltou por estádio?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sz w:val="17"/>
              </w:rPr>
              <w:t>clima + solo → déficit hídrico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7"/>
              </w:rPr>
              <w:t>FAO-56 (Kc, ET₀)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7"/>
              </w:rPr>
              <w:t>sowing_window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7"/>
              </w:rPr>
              <w:t>A época é de risco?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sz w:val="17"/>
              </w:rPr>
              <w:t>município + data → penalidade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7"/>
              </w:rPr>
              <w:t>ZARC/MAPA–Embrapa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7"/>
              </w:rPr>
              <w:t>yield_model (IPPD)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7"/>
              </w:rPr>
              <w:t>Quanto e por quê?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sz w:val="17"/>
              </w:rPr>
              <w:t>fatores → prod. ± incerteza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7"/>
              </w:rPr>
              <w:t>Decomposição multiplicativa (IPPD)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7"/>
              </w:rPr>
              <w:t>economics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7"/>
              </w:rPr>
              <w:t>Compensa financeiramente?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sz w:val="17"/>
              </w:rPr>
              <w:t>prod. + custos + preço → lucro/ROI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7"/>
              </w:rPr>
              <w:t>Contabilidade de custos (CONAB)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7"/>
              </w:rPr>
              <w:t>montecarlo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7"/>
              </w:rPr>
              <w:t>Qual o risco?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sz w:val="17"/>
              </w:rPr>
              <w:t>cenário → distribuição + P(prejuízo)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7"/>
              </w:rPr>
              <w:t>Monte Carlo (3.000 it.) + ENSO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7"/>
              </w:rPr>
              <w:t>knowledge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7"/>
              </w:rPr>
              <w:t>Como corrigir a previsão?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sz w:val="17"/>
              </w:rPr>
              <w:t>previsto × colhido → viés/confiança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7"/>
              </w:rPr>
              <w:t>Encolhimento estatístico n/(n+3)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7"/>
              </w:rPr>
              <w:t>radar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7"/>
              </w:rPr>
              <w:t>Como está o talhão hoje?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sz w:val="17"/>
              </w:rPr>
              <w:t>cenário → 6 dimensões + score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7"/>
              </w:rPr>
              <w:t>Agregação diagnóstica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7"/>
              </w:rPr>
              <w:t>O que fazer primeiro?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sz w:val="17"/>
              </w:rPr>
              <w:t>cenário → fila por Δlucro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7"/>
              </w:rPr>
              <w:t>Monte Carlo pareado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b/>
          <w:color w:val="142B52"/>
          <w:sz w:val="26"/>
        </w:rPr>
        <w:t>Tabela B — Fontes de dados: licença, custo e status</w:t>
      </w:r>
    </w:p>
    <w:p>
      <w:r>
        <w:t>Todas as fontes ativas são abertas e gratuitas — viabilizando custo operacional próximo de zero.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474"/>
            <w:shd w:val="clear" w:fill="1453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Fonte</w:t>
            </w:r>
          </w:p>
        </w:tc>
        <w:tc>
          <w:tcPr>
            <w:tcW w:type="dxa" w:w="1928"/>
            <w:shd w:val="clear" w:fill="1453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Variável</w:t>
            </w:r>
          </w:p>
        </w:tc>
        <w:tc>
          <w:tcPr>
            <w:tcW w:type="dxa" w:w="1928"/>
            <w:shd w:val="clear" w:fill="1453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Licença / custo</w:t>
            </w:r>
          </w:p>
        </w:tc>
        <w:tc>
          <w:tcPr>
            <w:tcW w:type="dxa" w:w="2268"/>
            <w:shd w:val="clear" w:fill="1453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Resolução / atualização</w:t>
            </w:r>
          </w:p>
        </w:tc>
        <w:tc>
          <w:tcPr>
            <w:tcW w:type="dxa" w:w="1077"/>
            <w:shd w:val="clear" w:fill="1453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b/>
                <w:sz w:val="17"/>
              </w:rPr>
              <w:t>NASA POWER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clima + radiação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pública / gratuita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7"/>
              </w:rPr>
              <w:t>diário · desde 1981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sz w:val="17"/>
              </w:rPr>
              <w:t>ativo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b/>
                <w:sz w:val="17"/>
              </w:rPr>
              <w:t>Open-Meteo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clima diário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CC-BY / gratuita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7"/>
              </w:rPr>
              <w:t>diário · desde 1940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sz w:val="17"/>
              </w:rPr>
              <w:t>ativo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b/>
                <w:sz w:val="17"/>
              </w:rPr>
              <w:t>INMET / BDMEP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clima (estações)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pública / gratuita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7"/>
              </w:rPr>
              <w:t>diário · local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sz w:val="17"/>
              </w:rPr>
              <w:t>ativo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b/>
                <w:sz w:val="17"/>
              </w:rPr>
              <w:t>ZARC / MAPA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janela de semeadura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pública / gratuita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7"/>
              </w:rPr>
              <w:t>por município + solo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sz w:val="17"/>
              </w:rPr>
              <w:t>ativo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b/>
                <w:sz w:val="17"/>
              </w:rPr>
              <w:t>CQFS-RS/SC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interpretação de solo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referência técnica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7"/>
              </w:rPr>
              <w:t>tabelas de recomendação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sz w:val="17"/>
              </w:rPr>
              <w:t>ativo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b/>
                <w:sz w:val="17"/>
              </w:rPr>
              <w:t>CONAB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preços e custos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pública / gratuita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7"/>
              </w:rPr>
              <w:t>mensal / safra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sz w:val="17"/>
              </w:rPr>
              <w:t>ativo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b/>
                <w:sz w:val="17"/>
              </w:rPr>
              <w:t>Sentinel-2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NDVI/EVI/NDRE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7"/>
              </w:rPr>
              <w:t>Copernicus / gratuita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7"/>
              </w:rPr>
              <w:t>10 m · 5 dias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sz w:val="17"/>
              </w:rPr>
              <w:t>futuro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b/>
          <w:color w:val="142B52"/>
          <w:sz w:val="25"/>
        </w:rPr>
        <w:t>Ordem lógica de apresentação</w:t>
      </w:r>
    </w:p>
    <w:p>
      <w:r>
        <w:t>Contexto (Fig. 1) → Arquitetura (Fig. 2) → Filosofia (Fig. 3) → Pipeline (Fig. 4) → Cascata (Fig. 5) → Risco (Fig. 6) → Aprendizado (Fig. 7) → Sequência (Fig. 8) → Tabelas A e B. A sequência vai do 'o quê' ao 'como', e do determinístico ao probabilístico/adaptativo — a narrativa científica esperada em defesa e artigo.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