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24"/>
        </w:rPr>
        <w:t>CENTRO TECNOLÓGICO FREDERICO JORGE LOGEMANN</w:t>
      </w:r>
    </w:p>
    <w:p>
      <w:pPr>
        <w:spacing w:after="0"/>
        <w:jc w:val="center"/>
      </w:pPr>
      <w:r>
        <w:rPr>
          <w:b/>
          <w:sz w:val="24"/>
        </w:rPr>
        <w:t>ENSINO MÉDIO</w:t>
      </w:r>
    </w:p>
    <w:p/>
    <w:p/>
    <w:p/>
    <w:p/>
    <w:p/>
    <w:p/>
    <w:p>
      <w:pPr>
        <w:spacing w:after="0"/>
        <w:jc w:val="center"/>
      </w:pPr>
      <w:r>
        <w:rPr>
          <w:b/>
          <w:sz w:val="28"/>
        </w:rPr>
        <w:t>FADA — Farm AI Decision Agent</w:t>
      </w:r>
    </w:p>
    <w:p>
      <w:pPr>
        <w:spacing w:after="0"/>
        <w:jc w:val="center"/>
      </w:pPr>
      <w:r>
        <w:rPr>
          <w:b w:val="0"/>
          <w:sz w:val="24"/>
        </w:rPr>
        <w:t>Gêmeo digital determinístico de apoio à decisão na cultura da soja</w:t>
      </w:r>
    </w:p>
    <w:p/>
    <w:p>
      <w:pPr>
        <w:spacing w:after="0"/>
        <w:jc w:val="center"/>
      </w:pPr>
      <w:r>
        <w:rPr>
          <w:b/>
          <w:sz w:val="24"/>
        </w:rPr>
        <w:t>DIÁRIO DE BORDO</w:t>
      </w:r>
    </w:p>
    <w:p/>
    <w:p/>
    <w:p/>
    <w:p/>
    <w:p/>
    <w:p/>
    <w:p>
      <w:pPr>
        <w:spacing w:after="0"/>
        <w:jc w:val="center"/>
      </w:pPr>
      <w:r>
        <w:rPr>
          <w:b w:val="0"/>
          <w:sz w:val="24"/>
        </w:rPr>
        <w:t>Cauã Eduardo Kempf Hammes</w:t>
      </w:r>
    </w:p>
    <w:p>
      <w:pPr>
        <w:spacing w:after="0"/>
        <w:jc w:val="center"/>
      </w:pPr>
      <w:r>
        <w:rPr>
          <w:b w:val="0"/>
          <w:sz w:val="24"/>
        </w:rPr>
        <w:t>Gustavo Rafael Wiskow</w:t>
      </w:r>
    </w:p>
    <w:p>
      <w:pPr>
        <w:spacing w:after="0"/>
        <w:jc w:val="center"/>
      </w:pPr>
      <w:r>
        <w:rPr>
          <w:b w:val="0"/>
          <w:sz w:val="24"/>
        </w:rPr>
        <w:t>Professora orientadora: Diane Raquel Zientarski</w:t>
      </w:r>
    </w:p>
    <w:p/>
    <w:p/>
    <w:p/>
    <w:p/>
    <w:p/>
    <w:p/>
    <w:p>
      <w:pPr>
        <w:spacing w:after="0"/>
        <w:jc w:val="center"/>
      </w:pPr>
      <w:r>
        <w:rPr>
          <w:b w:val="0"/>
          <w:sz w:val="24"/>
        </w:rPr>
        <w:t>Horizontina — RS</w:t>
      </w:r>
    </w:p>
    <w:p>
      <w:pPr>
        <w:spacing w:after="0"/>
        <w:jc w:val="center"/>
      </w:pPr>
      <w:r>
        <w:rPr>
          <w:b w:val="0"/>
          <w:sz w:val="24"/>
        </w:rPr>
        <w:t>2026</w:t>
      </w:r>
    </w:p>
    <w:p>
      <w:r>
        <w:br w:type="page"/>
      </w:r>
    </w:p>
    <w:p>
      <w:pPr>
        <w:pStyle w:val="Heading1"/>
      </w:pPr>
      <w:r>
        <w:t>APRESENTAÇÃO</w:t>
      </w:r>
    </w:p>
    <w:p>
      <w:pPr>
        <w:spacing w:after="120"/>
        <w:ind w:firstLine="720"/>
      </w:pPr>
      <w:r>
        <w:t>Este diário de bordo registra, de forma cronológica e reflexiva, o percurso de desenvolvimento do projeto FADA (Farm AI Decision Agent), conduzido pelos estudantes do terceiro ano do Ensino Médio Técnico do Centro Tecnológico Frederico Jorge Logemann, para a feira Escola Aberta de 2026. O documento tem três finalidades: (i) documentar as atividades realizadas em cada etapa, com suas datas; (ii) registrar as decisões técnicas e metodológicas, as dificuldades encontradas e as soluções adotadas; e (iii) preservar as reflexões e os aprendizados que acompanharam o amadurecimento do projeto.</w:t>
      </w:r>
    </w:p>
    <w:p>
      <w:pPr>
        <w:spacing w:after="120"/>
        <w:ind w:firstLine="720"/>
      </w:pPr>
      <w:r>
        <w:t>Cada registro está organizado em campos padronizados — Atividades, Decisões, Dificuldades e Aprendizados — de modo a permitir uma leitura rápida e uma análise consistente do processo. Os registros estão ancorados no cronograma oficial da Escola Aberta (Quadro 1) e na linha do tempo do projeto (Figura 1). O código-fonte, a documentação técnica e as versões dos documentos encontram-se versionados na plataforma GitHub, o que confere rastreabilidade a cada avanço descrito.</w:t>
      </w:r>
    </w:p>
    <w:p>
      <w:pPr>
        <w:spacing w:after="60"/>
      </w:pPr>
      <w:r>
        <w:rPr>
          <w:b/>
          <w:color w:val="2F7D32"/>
        </w:rPr>
        <w:t xml:space="preserve">Observação metodológica: </w:t>
      </w:r>
      <w:r>
        <w:t>o desenvolvimento adotou práticas modernas de engenharia de software, incluindo controle de versão (Git/GitHub), testes automatizados e ferramentas de produtividade assistida. Todas as decisões de arquitetura, os parâmetros agronômicos e as análises aqui registradas foram compreendidos, revisados e validados pela equipe.</w:t>
      </w:r>
    </w:p>
    <w:p>
      <w:r>
        <w:br w:type="page"/>
      </w:r>
    </w:p>
    <w:p>
      <w:pPr>
        <w:pStyle w:val="Heading1"/>
      </w:pPr>
      <w:r>
        <w:t>1 CRONOGRAMA OFICIAL — ESCOLA ABERTA 2026</w:t>
      </w:r>
    </w:p>
    <w:p>
      <w:pPr>
        <w:spacing w:after="120"/>
        <w:ind w:firstLine="720"/>
      </w:pPr>
      <w:r>
        <w:t>O Quadro 1 reproduz o calendário oficial de atividades e prazos da feira Escola Aberta 2026, ao qual o desenvolvimento do projeto foi alinhado. Por se tratar de turma do terceiro ano do Ensino Médio Técnico, aplica-se a exigência de entrega do Relatório de Pesquisa.</w:t>
      </w:r>
    </w:p>
    <w:p>
      <w:pPr>
        <w:spacing w:after="40"/>
        <w:jc w:val="center"/>
      </w:pPr>
      <w:r>
        <w:rPr>
          <w:b w:val="0"/>
          <w:color w:val="444444"/>
          <w:sz w:val="20"/>
        </w:rPr>
        <w:t>Quadro 1 — Cronograma oficial da Escola Aberta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20"/>
              </w:rPr>
              <w:t>Atividade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20"/>
              </w:rPr>
              <w:t>Data-limite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Lançamento do Projeto Escola Aberta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25 de fevereiro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Inscrição do resumo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02 a 16 de março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Divulgação dos professores orientadores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até 30 de março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Orientações para o Plano de Pesquisa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13 a 17 de abril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Entrega da 1ª versão do Plano de Pesquisa (valendo 0,5)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24 de abril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Devolução do Plano de Pesquisa pelo CRC e orientadores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11 de maio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Entrega da versão final do Plano de Pesquisa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25 de maio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Orientações do Plano de Pesquisa e do Relatório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18 de maio a 02 de junho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Entrega do Relatório de Pesquisa — 1ª versão (8º ao Técnico)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01 de junho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Devolutiva do professor orientador quanto a melhorias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16 de junho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Postagem do pitch de 3 minutos no Classroom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22 de junho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Entrega da versão final do Relatório de Pesquisa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01 de julho de 2026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Apresentação na Escola Aberta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03 e 04 de julho de 2026</w:t>
            </w:r>
          </w:p>
        </w:tc>
      </w:tr>
    </w:tbl>
    <w:p>
      <w:pPr>
        <w:spacing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color w:val="444444"/>
          <w:sz w:val="20"/>
        </w:rPr>
        <w:t>Figura 1 — Linha do tempo do projeto: fases de desenvolvimento e marcos da feira</w:t>
      </w:r>
    </w:p>
    <w:p>
      <w:r>
        <w:br w:type="page"/>
      </w:r>
    </w:p>
    <w:p>
      <w:pPr>
        <w:pStyle w:val="Heading1"/>
      </w:pPr>
      <w:r>
        <w:t>2 REGISTROS DO DESENVOLVIMENTO</w:t>
      </w:r>
    </w:p>
    <w:p>
      <w:pPr>
        <w:spacing w:after="120"/>
        <w:ind w:firstLine="720"/>
      </w:pPr>
      <w:r>
        <w:t>Os registros a seguir documentam o percurso do projeto, do lançamento à apresentação. Cada entrada traz a data (ou período), a fase correspondente e os quatro campos padronizados.</w:t>
      </w:r>
    </w:p>
    <w:p>
      <w:pPr>
        <w:pStyle w:val="Heading2"/>
      </w:pPr>
      <w:r>
        <w:t>25 de fevereiro de 2026 — Lançamento e definição do tema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Concepção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Participamos do lançamento do Projeto Escola Aberta e iniciamos a definição do tema. A partir do interesse por tecnologia e pela realidade agrícola da região de Horizontina, delimitamos o foco na cultura da soja e no problema da tomada de decisão sob incerteza climática.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Optamos por um tema que unisse inteligência artificial e agronomia, com aplicação regional concreta (Noroeste do RS), em vez de um tema genérico.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Havia o risco de escolher um escopo grande demais para o tempo disponível.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Aprendemos a importância de delimitar bem o problema antes de pensar na solução.</w:t>
      </w:r>
    </w:p>
    <w:p>
      <w:pPr>
        <w:spacing w:after="40"/>
      </w:pPr>
    </w:p>
    <w:p>
      <w:pPr>
        <w:pStyle w:val="Heading2"/>
      </w:pPr>
      <w:r>
        <w:t>02 a 16 de março de 2026 — Inscrição do resumo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Concepção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Elaboramos e inscrevemos o resumo do projeto. Definimos o nome FADA (Farm AI Decision Agent) e a proposta central: um sistema de apoio à decisão que integra clima, solo e manejo para estimar produtividade e recomendar ações.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Formulamos a hipótese e o objetivo geral de forma que pudessem ser efetivamente testados ao longo do projeto.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Sintetizar uma proposta ampla em um resumo curto e claro exigiu várias revisões.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Escrever o resumo obrigou-nos a esclarecer, para nós mesmos, o que o projeto realmente entregaria.</w:t>
      </w:r>
    </w:p>
    <w:p>
      <w:pPr>
        <w:spacing w:after="40"/>
      </w:pPr>
    </w:p>
    <w:p>
      <w:pPr>
        <w:pStyle w:val="Heading2"/>
      </w:pPr>
      <w:r>
        <w:t>17 a 30 de março de 2026 — Pesquisa bibliográfica e definição da orientadora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Concepção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Realizamos a revisão bibliográfica inicial, consultando Embrapa, CONAB, IBGE, Emater/RS e artigos científicos sobre clima e produção no RS (Lisbinski, 2024), inteligência artificial no agronegócio e o Zoneamento Agrícola de Risco Climático (ZARC). Foi confirmada a orientação da professora Diane Raquel Zientarski.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Identificamos duas fontes técnicas decisivas para o método: o balanço hídrico FAO-56 e os parâmetros de fenologia da soja da Embrapa. Decidimos que o município de referência seria Horizontina/RS.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A literatura sobre IA no agro concentrava-se em modelos de aprendizado de máquina que exigem grandes históricos de dados — que não teríamos.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Percebemos, já nesta fase, a tensão entre 'IA que aprende de dados' e 'modelo que usa a ciência conhecida' — reflexão que definiria toda a arquitetura.</w:t>
      </w:r>
    </w:p>
    <w:p>
      <w:pPr>
        <w:spacing w:after="40"/>
      </w:pPr>
    </w:p>
    <w:p>
      <w:pPr>
        <w:pStyle w:val="Heading2"/>
      </w:pPr>
      <w:r>
        <w:t>13 a 17 de abril de 2026 — Orientações e estruturação metodológica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Modelagem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Nas orientações para o Plano de Pesquisa, estruturamos a metodologia. Tomamos a decisão arquitetural mais importante do projeto: adotar um núcleo científico DETERMINÍSTICO como base, reservando a inteligência artificial de aprendizado para uma camada posterior de calibração.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Escolhemos um modelo baseado em processos (explicável e funcional desde a primeira safra) em vez de uma 'caixa-preta' estatística. Definimos a arquitetura em três camadas (motor, API, interface).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Justificar por que NÃO colocaríamos o machine learning no centro exigiu fundamentação teórica cuidadosa.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Entendemos que uma boa decisão de arquitetura vale mais que qualquer linha de código escrita depois.</w:t>
      </w:r>
    </w:p>
    <w:p>
      <w:pPr>
        <w:spacing w:after="40"/>
      </w:pPr>
    </w:p>
    <w:p>
      <w:pPr>
        <w:pStyle w:val="Heading2"/>
      </w:pPr>
      <w:r>
        <w:t>20 a 24 de abril de 2026 — Modelagem fenológica e entrega da 1ª versão do plano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Modelagem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Implementamos o primeiro motor: a fenologia por graus-dia (GDD), que estima as datas de cada estádio da soja (da emergência aos estádios reprodutivos) a partir do clima. Entregamos a 1ª versão do Plano de Pesquisa (valendo 0,5) no prazo, em 24 de abril.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Adotamos a temperatura-base de 10 °C e o teto de 30 °C, conforme a literatura para a soja, e a tabela de frações de ciclo por estádio.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Sincronizar o cálculo dia a dia do clima com os alvos de cada estádio deu trabalho de depuração.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Vimos o modelo 'ganhar vida': mudar a data de plantio reposicionava automaticamente todas as fases da cultura.</w:t>
      </w:r>
    </w:p>
    <w:p>
      <w:pPr>
        <w:spacing w:after="40"/>
      </w:pPr>
    </w:p>
    <w:p>
      <w:pPr>
        <w:pStyle w:val="Heading2"/>
      </w:pPr>
      <w:r>
        <w:t>25 a 30 de abril de 2026 — Balanço hídrico (FAO-56) e o IPPD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Modelagem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Implementamos o balanço hídrico diário pelo método FAO-56, que calcula o estresse hídrico por estádio — o fator que mais determina a quebra de produtividade. Em seguida, construímos o coração do sistema: o Índice de Potencial Produtivo Dinâmico (IPPD), a cascata que parte do potencial da cultivar e aplica fatores transparentes (solo, água, nutrição, sanidade, população, rotação, janela).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Optamos por uma decomposição aditiva (cada fator em sacas por hectare) para que o resultado fosse totalmente explicável — a base do gráfico em cascata.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Garantir que a soma das contribuições batesse exatamente com a produtividade final exigiu cuidado matemático.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Confirmamos, na prática, o valor da explicabilidade: o sistema não só previa, como mostrava DE ONDE vinha cada saca.</w:t>
      </w:r>
    </w:p>
    <w:p>
      <w:pPr>
        <w:spacing w:after="40"/>
      </w:pPr>
    </w:p>
    <w:p>
      <w:pPr>
        <w:pStyle w:val="Heading2"/>
      </w:pPr>
      <w:r>
        <w:t>05 a 11 de maio de 2026 — Economia, ZARC, Monte Carlo e devolução do plano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Modelagem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Acrescentamos o modelo econômico (lucro, ROI, ponto de equilíbrio), a integração da janela de semeadura oficial (ZARC) e a análise de risco por simulação de Monte Carlo, sensível ao fenômeno ENSO (El Niño/La Niña). Recebemos, em 11 de maio, a devolução do Plano de Pesquisa pelo CRC e pela orientadora, e incorporamos os ajustes.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Decidimos rodar 3.000 safras simuladas para expressar o risco como distribuição e probabilidade de prejuízo, em vez de um número único.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Modelar o efeito do ENSO de forma coerente com a literatura regional exigiu calibrar os fatores de chuva e variância.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Aprendemos a transformar incerteza em informação útil: a fase La Niña reduzia a produtividade mediana e elevava o risco, exatamente como esperado.</w:t>
      </w:r>
    </w:p>
    <w:p>
      <w:pPr>
        <w:spacing w:after="40"/>
      </w:pPr>
    </w:p>
    <w:p>
      <w:pPr>
        <w:pStyle w:val="Heading2"/>
      </w:pPr>
      <w:r>
        <w:t>15 a 25 de maio de 2026 — Motores de decisão e entrega do plano final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Modelagem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Desenvolvemos os motores que transformam a estimativa em decisão: o motor de decisão (avalia intervenções e mede seu retorno), o de priorização (ordena por urgência) e o de raciocínio (diagnostica por que o talhão está abaixo do potencial). Entregamos a versão final do Plano de Pesquisa em 25 de maio.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Adotamos uma simulação de Monte Carlo 'pareada' para estimar a probabilidade de uma ação dar certo, isolando o efeito da decisão do ruído do clima.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Equilibrar quantidade de recomendações e relevância foi um desafio — o sistema não podia 'poluir' a tela com ações de baixo retorno.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Compreendemos que apoiar a decisão é mais do que prever: é priorizar o que fazer primeiro e por quê.</w:t>
      </w:r>
    </w:p>
    <w:p>
      <w:pPr>
        <w:spacing w:after="40"/>
      </w:pPr>
    </w:p>
    <w:p>
      <w:pPr>
        <w:pStyle w:val="Heading2"/>
      </w:pPr>
      <w:r>
        <w:t>26 de maio a 01 de junho de 2026 — Acurácia, aprendizado, API e 1ª versão do relatório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Integração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Construímos a camada de acurácia/proveniência (que mede a confiança da estimativa por talhão) e o Knowledge Engine — a calibração estatística bayesiana que será a ponte para o aprendizado de máquina futuro. Implementamos a API em FastAPI e o banco geoespacial PostGIS, integrando o clima real via Open-Meteo. Entregamos a 1ª versão do Relatório de Pesquisa em 01 de junho.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Decidimos que o sistema assumiria explicitamente sua incerteza (índice de precisão) em vez de aparentar certeza.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Configurar o ambiente de execução na nuvem gerou erros técnicos (dependências e banco de dados) que precisamos diagnosticar e corrigir.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Aprendemos, na prática, sobre arquitetura de software: separar cálculo, serviço e dados tornou tudo mais testável.</w:t>
      </w:r>
    </w:p>
    <w:p>
      <w:pPr>
        <w:spacing w:after="40"/>
      </w:pPr>
    </w:p>
    <w:p>
      <w:pPr>
        <w:pStyle w:val="Heading2"/>
      </w:pPr>
      <w:r>
        <w:t>05 a 10 de junho de 2026 — Primeira interface e crítica de usabilidade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Integração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Desenvolvemos a primeira versão da interface web (Next.js/React). Ao testá-la sob a ótica de um produtor rural, percebemos um problema: excesso de painéis e informação simultânea, o que gerava sobrecarga e afastava o usuário leigo.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Decidimos repaginar completamente a experiência, guiando-a pela jornada do agricultor em vez de pelos módulos internos do sistema.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Reconhecer que a primeira interface, embora tecnicamente rica, não servia ao usuário foi difícil — mas necessário.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Aprendemos que um bom backend não basta: a experiência do usuário é parte do produto.</w:t>
      </w:r>
    </w:p>
    <w:p>
      <w:pPr>
        <w:spacing w:after="40"/>
      </w:pPr>
    </w:p>
    <w:p>
      <w:pPr>
        <w:pStyle w:val="Heading2"/>
      </w:pPr>
      <w:r>
        <w:t>11 a 16 de junho de 2026 — Reestruturação da experiência e devolutiva do orientador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Integração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Reestruturamos a interface em páginas separadas por assunto (Minha safra, Meu talhão, Calendário, Registrar, Simular, Resultados), com uma tela inicial no formato de copiloto que responde, em segundos, 'como está a safra e o que fazer hoje'. Em 16 de junho recebemos a devolutiva da orientadora com sugestões de melhoria, que passamos a incorporar.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Adotamos o princípio de 'progressive disclosure': mostrar pouco de entrada e revelar o detalhamento sob demanda.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Migrar de uma página única para várias páginas com estado compartilhado exigiu reorganizar a arquitetura do frontend.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Percebemos o impacto de organizar a navegação em torno da jornada do usuário, e não da estrutura técnica.</w:t>
      </w:r>
    </w:p>
    <w:p>
      <w:pPr>
        <w:spacing w:after="40"/>
      </w:pPr>
    </w:p>
    <w:p>
      <w:pPr>
        <w:pStyle w:val="Heading2"/>
      </w:pPr>
      <w:r>
        <w:t>17 a 22 de junho de 2026 — Refinamentos finais e pitch de 3 minutos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Integração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Adicionamos a visão 'Saúde do Talhão' (com detalhamento ao toque) e o modo de simulação guiada ('o que você deseja testar?'), e harmonizamos o visual de todas as telas. Corrigimos um problema no cenário-demonstração (a safra padrão estava fora de época) para o sistema abrir sempre com uma safra vigente. Em 22 de junho, postamos o pitch de 3 minutos no Classroom.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Definimos que a demonstração usaria a safra vigente (2026/27), para que o sistema abrisse 'vivo', com fase atual e decisões acionáveis.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Roteirizar em 3 minutos a essência de um sistema complexo exigiu escolher muito bem o que mostrar.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Aprendemos a comunicar valor com clareza e concisão — habilidade essencial para a feira.</w:t>
      </w:r>
    </w:p>
    <w:p>
      <w:pPr>
        <w:spacing w:after="40"/>
      </w:pPr>
    </w:p>
    <w:p>
      <w:pPr>
        <w:pStyle w:val="Heading2"/>
      </w:pPr>
      <w:r>
        <w:t>23 de junho a 01 de julho de 2026 — Documentação técnica e relatório final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Documentação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Consolidamos a documentação técnica do projeto (manual detalhado do sistema e registros de arquitetura) e produzimos as figuras e tabelas de resultados executando o próprio motor sobre um talhão-referência. Revisamos e entregamos a versão final do Relatório de Pesquisa em 01 de julho, incorporando as devolutivas.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Optamos por gerar os resultados do relatório a partir de execuções reais do sistema, garantindo que nenhum número fosse hipotético.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Assegurar a coerência entre o relatório, o código e a documentação demandou revisão cruzada.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Consolidamos a compreensão de que documentar bem é parte de fazer ciência: garante reprodutibilidade.</w:t>
      </w:r>
    </w:p>
    <w:p>
      <w:pPr>
        <w:spacing w:after="40"/>
      </w:pPr>
    </w:p>
    <w:p>
      <w:pPr>
        <w:pStyle w:val="Heading2"/>
      </w:pPr>
      <w:r>
        <w:t>03 e 04 de julho de 2026 — Apresentação na Escola Aberta</w:t>
      </w:r>
    </w:p>
    <w:p>
      <w:pPr>
        <w:spacing w:after="60"/>
      </w:pPr>
      <w:r>
        <w:rPr>
          <w:b/>
          <w:color w:val="2F7D32"/>
        </w:rPr>
        <w:t xml:space="preserve">Fase: </w:t>
      </w:r>
      <w:r>
        <w:t>Feira</w:t>
      </w:r>
    </w:p>
    <w:p>
      <w:pPr>
        <w:spacing w:after="60"/>
      </w:pPr>
      <w:r>
        <w:rPr>
          <w:b/>
          <w:color w:val="2F7D32"/>
        </w:rPr>
        <w:t xml:space="preserve">Atividades: </w:t>
      </w:r>
      <w:r>
        <w:t>Apresentamos o FADA na feira Escola Aberta, demonstrando o sistema em funcionamento: a estimativa explicável de produtividade, a análise de risco climático e as recomendações de manejo. Respondemos às perguntas da banca e do público, defendendo as escolhas técnicas do projeto.</w:t>
      </w:r>
    </w:p>
    <w:p>
      <w:pPr>
        <w:spacing w:after="60"/>
      </w:pPr>
      <w:r>
        <w:rPr>
          <w:b/>
          <w:color w:val="2F7D32"/>
        </w:rPr>
        <w:t xml:space="preserve">Decisões: </w:t>
      </w:r>
      <w:r>
        <w:t>Estruturamos a apresentação em torno das três perguntas do produtor (como está / o que fazer / por quê), a mesma lógica do sistema.</w:t>
      </w:r>
    </w:p>
    <w:p>
      <w:pPr>
        <w:spacing w:after="60"/>
      </w:pPr>
      <w:r>
        <w:rPr>
          <w:b/>
          <w:color w:val="2F7D32"/>
        </w:rPr>
        <w:t xml:space="preserve">Dificuldades: </w:t>
      </w:r>
      <w:r>
        <w:t>Explicar um sistema técnico para públicos variados (banca, colegas, visitantes) exigiu adaptar a linguagem em tempo real.</w:t>
      </w:r>
    </w:p>
    <w:p>
      <w:pPr>
        <w:spacing w:after="60"/>
      </w:pPr>
      <w:r>
        <w:rPr>
          <w:b/>
          <w:color w:val="2F7D32"/>
        </w:rPr>
        <w:t xml:space="preserve">Aprendizados: </w:t>
      </w:r>
      <w:r>
        <w:t>Encerramos o ciclo compreendendo que a comunicação do projeto é tão importante quanto o seu desenvolvimento.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t>3 ANÁLISES DO PROCESSO</w:t>
      </w:r>
    </w:p>
    <w:p>
      <w:pPr>
        <w:pStyle w:val="Heading2"/>
      </w:pPr>
      <w:r>
        <w:t>3.1 Marcos e entregas do projeto</w:t>
      </w:r>
    </w:p>
    <w:p>
      <w:pPr>
        <w:spacing w:after="120"/>
        <w:ind w:firstLine="720"/>
      </w:pPr>
      <w:r>
        <w:t>O Quadro 2 sintetiza os principais marcos técnicos e as entregas formais exigidas pela feira, todos cumpridos dentro do prazo.</w:t>
      </w:r>
    </w:p>
    <w:p>
      <w:pPr>
        <w:spacing w:after="40"/>
        <w:jc w:val="center"/>
      </w:pPr>
      <w:r>
        <w:rPr>
          <w:b w:val="0"/>
          <w:color w:val="444444"/>
          <w:sz w:val="20"/>
        </w:rPr>
        <w:t>Quadro 2 — Marcos técnicos e entregas formais do projeto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20"/>
              </w:rPr>
              <w:t>Marco / entrega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20"/>
              </w:rPr>
              <w:t>Situação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24 abr 2026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1ª versão do Plano de Pesquisa (0,5)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Entregue no prazo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25 mai 2026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Versão final do Plano de Pesquisa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Entregue no prazo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01 jun 2026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Relatório de Pesquisa — 1ª versão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Entregue no prazo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22 jun 2026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Pitch de 3 minutos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Postado no prazo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01 jul 2026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Relatório de Pesquisa — versão final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Entregue no prazo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03–04 jul 2026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Apresentação na Escola Aberta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Realizada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Motor validado por 124 testes automatizados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Concluído</w:t>
            </w:r>
          </w:p>
        </w:tc>
      </w:tr>
    </w:tbl>
    <w:p>
      <w:pPr>
        <w:spacing w:after="120"/>
      </w:pPr>
    </w:p>
    <w:p>
      <w:pPr>
        <w:pStyle w:val="Heading2"/>
      </w:pPr>
      <w:r>
        <w:t>3.2 Desafios enfrentados e soluções adotadas</w:t>
      </w:r>
    </w:p>
    <w:p>
      <w:pPr>
        <w:spacing w:after="120"/>
        <w:ind w:firstLine="720"/>
      </w:pPr>
      <w:r>
        <w:t>O Quadro 3 reúne os principais desafios técnicos e metodológicos e como foram superados — registro que evidencia o caráter investigativo e iterativo do trabalho.</w:t>
      </w:r>
    </w:p>
    <w:p>
      <w:pPr>
        <w:spacing w:after="40"/>
        <w:jc w:val="center"/>
      </w:pPr>
      <w:r>
        <w:rPr>
          <w:b w:val="0"/>
          <w:color w:val="444444"/>
          <w:sz w:val="20"/>
        </w:rPr>
        <w:t>Quadro 3 — Desafios do projeto e soluções adotadas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20"/>
              </w:rPr>
              <w:t>Desafio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20"/>
              </w:rPr>
              <w:t>Solução adotada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Ausência de grandes históricos de dados para treinar IA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Adoção de um modelo determinístico baseado em processos, funcional desde a primeira safra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Risco de o sistema virar uma 'caixa-preta'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Decomposição explicável (IPPD) e camada de proveniência dos dados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Representar a incerteza climática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Simulação de Monte Carlo (3.000 safras) sensível ao ENSO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Recomendações sem retorno real 'poluindo' a tela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Critério de valor mínimo e priorização por urgência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Erros de configuração do ambiente na nuvem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Diagnóstico das dependências e do banco; ambiente reproduzível com Docker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Interface sobrecarregada para o usuário leigo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Repaginação por jornada + progressive disclosure (páginas separadas)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Cenário-demonstração fora de época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Ajuste para a safra vigente, abrindo o sistema 'vivo'</w:t>
            </w:r>
          </w:p>
        </w:tc>
      </w:tr>
      <w:tr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Garantir reprodutibilidade dos resultados</w:t>
            </w:r>
          </w:p>
        </w:tc>
        <w:tc>
          <w:tcPr>
            <w:tcW w:type="dxa" w:w="432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20"/>
              </w:rPr>
              <w:t>124 testes automatizados e geração de resultados a partir do próprio motor</w:t>
            </w:r>
          </w:p>
        </w:tc>
      </w:tr>
    </w:tbl>
    <w:p>
      <w:pPr>
        <w:spacing w:after="120"/>
      </w:pPr>
    </w:p>
    <w:p>
      <w:pPr>
        <w:pStyle w:val="Heading2"/>
      </w:pPr>
      <w:r>
        <w:t>3.3 Reflexão geral sobre o percurso</w:t>
      </w:r>
    </w:p>
    <w:p>
      <w:pPr>
        <w:spacing w:after="120"/>
        <w:ind w:firstLine="720"/>
      </w:pPr>
      <w:r>
        <w:t>O desenvolvimento do FADA seguiu um ciclo iterativo: pesquisar, modelar, testar, criticar e refinar. A decisão tomada logo no início — priorizar um núcleo científico explicável em vez de um modelo de aprendizado de máquina prematuro — mostrou-se acertada e sustentou todas as etapas seguintes. A crítica de usabilidade, no meio do projeto, ensinou que a experiência do usuário é parte inseparável de uma solução tecnológica. E o rigor de validar cada componente com testes automatizados deu ao trabalho a solidez necessária para ser defendido cientificamente.</w:t>
      </w:r>
    </w:p>
    <w:p>
      <w:pPr>
        <w:spacing w:after="120"/>
        <w:ind w:firstLine="720"/>
      </w:pPr>
      <w:r>
        <w:t>Mais do que um produto de software, o projeto proporcionou aprendizados sobre método científico, organização, trabalho em equipe, cumprimento de prazos e comunicação — competências que extrapolam o tema agrícola e permanecerão para além da feira.</w:t>
      </w:r>
    </w:p>
    <w:p>
      <w:r>
        <w:br w:type="page"/>
      </w:r>
    </w:p>
    <w:p/>
    <w:p/>
    <w:p/>
    <w:p/>
    <w:p>
      <w:pPr>
        <w:spacing w:after="0"/>
        <w:jc w:val="center"/>
      </w:pPr>
      <w:r>
        <w:rPr>
          <w:b w:val="0"/>
          <w:sz w:val="52"/>
        </w:rPr>
        <w:t>🌱</w:t>
      </w:r>
    </w:p>
    <w:p>
      <w:pPr>
        <w:spacing w:after="0"/>
        <w:jc w:val="center"/>
      </w:pPr>
      <w:r>
        <w:rPr>
          <w:b/>
          <w:color w:val="1B5E20"/>
          <w:sz w:val="26"/>
        </w:rPr>
        <w:t>Diário de bordo — projeto FADA</w:t>
      </w:r>
    </w:p>
    <w:p>
      <w:pPr>
        <w:spacing w:after="0"/>
        <w:jc w:val="center"/>
      </w:pPr>
      <w:r>
        <w:rPr>
          <w:b w:val="0"/>
          <w:color w:val="444444"/>
          <w:sz w:val="20"/>
        </w:rPr>
        <w:t>Centro Tecnológico Frederico Jorge Logemann — Escola Aberta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