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4"/>
        </w:rPr>
        <w:t>CENTRO TECNOLÓGICO FREDERICO JORGE LOGEMANN</w:t>
      </w:r>
    </w:p>
    <w:p>
      <w:pPr>
        <w:spacing w:after="0"/>
        <w:jc w:val="center"/>
      </w:pPr>
      <w:r>
        <w:rPr>
          <w:b/>
          <w:sz w:val="24"/>
        </w:rPr>
        <w:t>ENSINO MÉDIO</w:t>
      </w:r>
    </w:p>
    <w:p/>
    <w:p/>
    <w:p/>
    <w:p/>
    <w:p/>
    <w:p/>
    <w:p>
      <w:pPr>
        <w:spacing w:after="0"/>
        <w:jc w:val="center"/>
      </w:pPr>
      <w:r>
        <w:rPr>
          <w:b/>
          <w:sz w:val="28"/>
        </w:rPr>
        <w:t>FADA — Farm AI Decision Agent</w:t>
      </w:r>
    </w:p>
    <w:p>
      <w:pPr>
        <w:spacing w:after="0"/>
        <w:jc w:val="center"/>
      </w:pPr>
      <w:r>
        <w:rPr>
          <w:b w:val="0"/>
          <w:sz w:val="24"/>
        </w:rPr>
        <w:t>Gêmeo digital determinístico de apoio à decisão na cultura da soja</w:t>
      </w:r>
    </w:p>
    <w:p/>
    <w:p>
      <w:pPr>
        <w:spacing w:after="0"/>
        <w:jc w:val="center"/>
      </w:pPr>
      <w:r>
        <w:rPr>
          <w:b/>
          <w:sz w:val="24"/>
        </w:rPr>
        <w:t>DIÁRIO DE BORDO</w:t>
      </w:r>
    </w:p>
    <w:p/>
    <w:p/>
    <w:p/>
    <w:p/>
    <w:p/>
    <w:p/>
    <w:p>
      <w:pPr>
        <w:spacing w:after="0"/>
        <w:jc w:val="center"/>
      </w:pPr>
      <w:r>
        <w:rPr>
          <w:b w:val="0"/>
          <w:sz w:val="24"/>
        </w:rPr>
        <w:t>Cauã Eduardo Kempf Hammes</w:t>
      </w:r>
    </w:p>
    <w:p>
      <w:pPr>
        <w:spacing w:after="0"/>
        <w:jc w:val="center"/>
      </w:pPr>
      <w:r>
        <w:rPr>
          <w:b w:val="0"/>
          <w:sz w:val="24"/>
        </w:rPr>
        <w:t>Gustavo Rafael Wiskow</w:t>
      </w:r>
    </w:p>
    <w:p>
      <w:pPr>
        <w:spacing w:after="0"/>
        <w:jc w:val="center"/>
      </w:pPr>
      <w:r>
        <w:rPr>
          <w:b w:val="0"/>
          <w:sz w:val="24"/>
        </w:rPr>
        <w:t>Professora orientadora: Diane Raquel Zientarski</w:t>
      </w:r>
    </w:p>
    <w:p/>
    <w:p/>
    <w:p/>
    <w:p/>
    <w:p/>
    <w:p/>
    <w:p>
      <w:pPr>
        <w:spacing w:after="0"/>
        <w:jc w:val="center"/>
      </w:pPr>
      <w:r>
        <w:rPr>
          <w:b w:val="0"/>
          <w:sz w:val="24"/>
        </w:rPr>
        <w:t>Horizontina — RS</w:t>
      </w:r>
    </w:p>
    <w:p>
      <w:pPr>
        <w:spacing w:after="0"/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t>APRESENTAÇÃO</w:t>
      </w:r>
    </w:p>
    <w:p>
      <w:pPr>
        <w:spacing w:after="120"/>
        <w:ind w:firstLine="720"/>
      </w:pPr>
      <w:r>
        <w:t>Este diário de bordo registra, de forma cronológica, técnica e reflexiva, o percurso de desenvolvimento do projeto FADA (Farm AI Decision Agent), conduzido pelos estudantes do terceiro ano do Ensino Médio Técnico do Centro Tecnológico Frederico Jorge Logemann, para a feira Escola Aberta de 2026. O documento tem quatro finalidades: (i) documentar as atividades de cada etapa, com suas datas; (ii) registrar as decisões técnicas e metodológicas, as alternativas consideradas e suas justificativas; (iii) documentar os testes realizados e os resultados obtidos; e (iv) preservar as reflexões e os aprendizados do processo.</w:t>
      </w:r>
    </w:p>
    <w:p>
      <w:pPr>
        <w:spacing w:after="120"/>
        <w:ind w:firstLine="720"/>
      </w:pPr>
      <w:r>
        <w:t>Os registros diários (Seção 2) estão organizados em campos padronizados. As Seções 3 a 5 aprofundam, respectivamente, o registro de testes e validação, o registro de resultados obtidos e as decisões de projeto documentadas. Todo o código-fonte, a documentação e as versões dos documentos estão versionados na plataforma GitHub, conferindo rastreabilidade a cada avanço.</w:t>
      </w:r>
    </w:p>
    <w:p>
      <w:pPr>
        <w:spacing w:after="60"/>
      </w:pPr>
      <w:r>
        <w:rPr>
          <w:b/>
          <w:color w:val="2F7D32"/>
        </w:rPr>
        <w:t xml:space="preserve">Observação metodológica: </w:t>
      </w:r>
      <w:r>
        <w:t>o desenvolvimento adotou práticas modernas de engenharia de software — controle de versão (Git/GitHub), testes automatizados (124 casos) e ferramentas de produtividade assistida. Todas as decisões de arquitetura, os parâmetros agronômicos e as análises registradas foram compreendidos, revisados e validados pela equipe.</w:t>
      </w:r>
    </w:p>
    <w:p>
      <w:r>
        <w:br w:type="page"/>
      </w:r>
    </w:p>
    <w:p>
      <w:pPr>
        <w:pStyle w:val="Heading1"/>
      </w:pPr>
      <w:r>
        <w:t>1 CRONOGRAMA OFICIAL — ESCOLA ABERTA 2026</w:t>
      </w:r>
    </w:p>
    <w:p>
      <w:pPr>
        <w:spacing w:after="120"/>
        <w:ind w:firstLine="720"/>
      </w:pPr>
      <w:r>
        <w:t>O Quadro 1 reproduz o calendário oficial da feira, ao qual o desenvolvimento foi alinhado. Por se tratar de turma do terceiro ano do Ensino Médio Técnico, aplica-se a exigência de entrega do Relatório de Pesquisa.</w:t>
      </w:r>
    </w:p>
    <w:p>
      <w:pPr>
        <w:spacing w:after="40"/>
        <w:jc w:val="center"/>
      </w:pPr>
      <w:r>
        <w:rPr>
          <w:b w:val="0"/>
          <w:color w:val="444444"/>
          <w:sz w:val="20"/>
        </w:rPr>
        <w:t>Quadro 1 — Cronograma oficial da Escola Aberta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Atividade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Data-limite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Lançamento do Projeto Escola Aberta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25 de fevereiro de 2026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Inscrição do resumo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02 a 16 de março de 2026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Divulgação dos professores orientadores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até 30 de março de 2026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Orientações para o Plano de Pesquisa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13 a 17 de abril de 2026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Entrega da 1ª versão do Plano de Pesquisa (0,5)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24 de abril de 2026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Devolução do Plano pelo CRC e orientadores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11 de maio de 2026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Entrega da versão final do Plano de Pesquisa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25 de maio de 2026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Orientações do Plano e do Relatório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18 de maio a 02 de junho de 2026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Entrega do Relatório de Pesquisa — 1ª versão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01 de junho de 2026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Devolutiva do orientador quanto a melhorias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16 de junho de 2026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Postagem do pitch de 3 minutos no Classroom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22 de junho de 2026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Entrega da versão final do Relatório de Pesquisa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01 de julho de 2026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Apresentação na Escola Aberta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03 e 04 de julho de 2026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444444"/>
          <w:sz w:val="20"/>
        </w:rPr>
        <w:t>Figura 1 — Linha do tempo do projeto: fases de desenvolvimento e marcos da feira</w:t>
      </w:r>
    </w:p>
    <w:p>
      <w:r>
        <w:br w:type="page"/>
      </w:r>
    </w:p>
    <w:p>
      <w:pPr>
        <w:pStyle w:val="Heading1"/>
      </w:pPr>
      <w:r>
        <w:t>2 REGISTROS DO DESENVOLVIMENTO</w:t>
      </w:r>
    </w:p>
    <w:p>
      <w:pPr>
        <w:spacing w:after="120"/>
        <w:ind w:firstLine="720"/>
      </w:pPr>
      <w:r>
        <w:t>Cada entrada traz a data (ou período), a fase, e campos padronizados: Atividades, Decisões (com a alternativa considerada e a justificativa), Testes/verificações, Resultados, Dificuldades e Aprendizados. Nem todos os campos se aplicam a todas as etapas.</w:t>
      </w:r>
    </w:p>
    <w:p>
      <w:pPr>
        <w:pStyle w:val="Heading2"/>
      </w:pPr>
      <w:r>
        <w:t>25 de fevereiro de 2026 — Lançamento e definição do tema</w:t>
      </w:r>
    </w:p>
    <w:p>
      <w:pPr>
        <w:spacing w:after="60"/>
      </w:pPr>
      <w:r>
        <w:rPr>
          <w:b/>
          <w:color w:val="2F7D32"/>
        </w:rPr>
        <w:t xml:space="preserve">Fase: </w:t>
      </w:r>
      <w:r>
        <w:t>Concepção</w:t>
      </w:r>
    </w:p>
    <w:p>
      <w:pPr>
        <w:spacing w:after="60"/>
      </w:pPr>
      <w:r>
        <w:rPr>
          <w:b/>
          <w:color w:val="2F7D32"/>
        </w:rPr>
        <w:t xml:space="preserve">Atividades: </w:t>
      </w:r>
      <w:r>
        <w:t>Participação no lançamento do Projeto Escola Aberta; sessões de brainstorming para escolha do tema, partindo do interesse por tecnologia e pela realidade agrícola de Horizontina.</w:t>
      </w:r>
    </w:p>
    <w:p>
      <w:pPr>
        <w:spacing w:after="60"/>
      </w:pPr>
      <w:r>
        <w:rPr>
          <w:b/>
          <w:color w:val="2F7D32"/>
        </w:rPr>
        <w:t xml:space="preserve">Decisões: </w:t>
      </w:r>
      <w:r>
        <w:t>Delimitar o foco na cultura da soja e no problema da decisão sob incerteza climática, em vez de um tema genérico de 'IA na agricultura'. Alternativa considerada: um app de monitoramento por sensores (IoT) — descartada pelo custo de hardware e por fugir do nosso ponto forte (software/dados).</w:t>
      </w:r>
    </w:p>
    <w:p>
      <w:pPr>
        <w:spacing w:after="60"/>
      </w:pPr>
      <w:r>
        <w:rPr>
          <w:b/>
          <w:color w:val="C2410C"/>
        </w:rPr>
        <w:t xml:space="preserve">Dificuldades: </w:t>
      </w:r>
      <w:r>
        <w:t>Risco de escopo grande demais para o tempo disponível.</w:t>
      </w:r>
    </w:p>
    <w:p>
      <w:pPr>
        <w:spacing w:after="60"/>
      </w:pPr>
      <w:r>
        <w:rPr>
          <w:b/>
          <w:color w:val="2F7D32"/>
        </w:rPr>
        <w:t xml:space="preserve">Aprendizados: </w:t>
      </w:r>
      <w:r>
        <w:t>Delimitar bem o problema antes de pensar na solução é o primeiro passo do método científico.</w:t>
      </w:r>
    </w:p>
    <w:p>
      <w:pPr>
        <w:spacing w:after="40"/>
      </w:pPr>
    </w:p>
    <w:p>
      <w:pPr>
        <w:pStyle w:val="Heading2"/>
      </w:pPr>
      <w:r>
        <w:t>02 a 16 de março de 2026 — Inscrição do resumo e definição da identidade</w:t>
      </w:r>
    </w:p>
    <w:p>
      <w:pPr>
        <w:spacing w:after="60"/>
      </w:pPr>
      <w:r>
        <w:rPr>
          <w:b/>
          <w:color w:val="2F7D32"/>
        </w:rPr>
        <w:t xml:space="preserve">Fase: </w:t>
      </w:r>
      <w:r>
        <w:t>Concepção</w:t>
      </w:r>
    </w:p>
    <w:p>
      <w:pPr>
        <w:spacing w:after="60"/>
      </w:pPr>
      <w:r>
        <w:rPr>
          <w:b/>
          <w:color w:val="2F7D32"/>
        </w:rPr>
        <w:t xml:space="preserve">Atividades: </w:t>
      </w:r>
      <w:r>
        <w:t>Elaboração e inscrição do resumo; definição do nome FADA (Farm AI Decision Agent) e da proposta central.</w:t>
      </w:r>
    </w:p>
    <w:p>
      <w:pPr>
        <w:spacing w:after="60"/>
      </w:pPr>
      <w:r>
        <w:rPr>
          <w:b/>
          <w:color w:val="2F7D32"/>
        </w:rPr>
        <w:t xml:space="preserve">Decisões: </w:t>
      </w:r>
      <w:r>
        <w:t>Formular a hipótese de forma testável: um modelo determinístico personalizado por talhão pode gerar recomendações confiáveis desde a primeira safra. Alternativa considerada: prometer 'previsão por IA' genérica — descartada por não ser verificável nem honesta.</w:t>
      </w:r>
    </w:p>
    <w:p>
      <w:pPr>
        <w:spacing w:after="60"/>
      </w:pPr>
      <w:r>
        <w:rPr>
          <w:b/>
          <w:color w:val="C2410C"/>
        </w:rPr>
        <w:t xml:space="preserve">Dificuldades: </w:t>
      </w:r>
      <w:r>
        <w:t>Sintetizar uma proposta ampla em um resumo curto exigiu várias revisões.</w:t>
      </w:r>
    </w:p>
    <w:p>
      <w:pPr>
        <w:spacing w:after="60"/>
      </w:pPr>
      <w:r>
        <w:rPr>
          <w:b/>
          <w:color w:val="2F7D32"/>
        </w:rPr>
        <w:t xml:space="preserve">Aprendizados: </w:t>
      </w:r>
      <w:r>
        <w:t>Escrever o resumo obrigou a esclarecer, para nós mesmos, o que o projeto realmente entregaria.</w:t>
      </w:r>
    </w:p>
    <w:p>
      <w:pPr>
        <w:spacing w:after="40"/>
      </w:pPr>
    </w:p>
    <w:p>
      <w:pPr>
        <w:pStyle w:val="Heading2"/>
      </w:pPr>
      <w:r>
        <w:t>17 a 30 de março de 2026 — Pesquisa bibliográfica e definição da orientadora</w:t>
      </w:r>
    </w:p>
    <w:p>
      <w:pPr>
        <w:spacing w:after="60"/>
      </w:pPr>
      <w:r>
        <w:rPr>
          <w:b/>
          <w:color w:val="2F7D32"/>
        </w:rPr>
        <w:t xml:space="preserve">Fase: </w:t>
      </w:r>
      <w:r>
        <w:t>Concepção</w:t>
      </w:r>
    </w:p>
    <w:p>
      <w:pPr>
        <w:spacing w:after="60"/>
      </w:pPr>
      <w:r>
        <w:rPr>
          <w:b/>
          <w:color w:val="2F7D32"/>
        </w:rPr>
        <w:t xml:space="preserve">Atividades: </w:t>
      </w:r>
      <w:r>
        <w:t>Revisão bibliográfica (Embrapa, CONAB, IBGE, Emater/RS; Lisbinski, 2024; literatura de IA no agro; ZARC). Confirmação da orientação da professora Diane Raquel Zientarski.</w:t>
      </w:r>
    </w:p>
    <w:p>
      <w:pPr>
        <w:spacing w:after="60"/>
      </w:pPr>
      <w:r>
        <w:rPr>
          <w:b/>
          <w:color w:val="2F7D32"/>
        </w:rPr>
        <w:t xml:space="preserve">Decisões: </w:t>
      </w:r>
      <w:r>
        <w:t>Adotar o município de Horizontina/RS como referência e as fontes técnicas FAO-56 (água) e Embrapa (fenologia). Constatamos que a literatura de IA no agro depende de grandes históricos que não teríamos.</w:t>
      </w:r>
    </w:p>
    <w:p>
      <w:pPr>
        <w:spacing w:after="60"/>
      </w:pPr>
      <w:r>
        <w:rPr>
          <w:b/>
          <w:color w:val="2F7D32"/>
        </w:rPr>
        <w:t xml:space="preserve">Considerações: </w:t>
      </w:r>
      <w:r>
        <w:t>Surgiu aqui a tensão central do projeto — 'IA que aprende de dados' × 'modelo que usa a ciência já conhecida' — que definiria toda a arquitetura.</w:t>
      </w:r>
    </w:p>
    <w:p>
      <w:pPr>
        <w:spacing w:after="60"/>
      </w:pPr>
      <w:r>
        <w:rPr>
          <w:b/>
          <w:color w:val="2F7D32"/>
        </w:rPr>
        <w:t xml:space="preserve">Aprendizados: </w:t>
      </w:r>
      <w:r>
        <w:t>A escolha das fontes e do referencial é uma decisão de projeto, não apenas uma formalidade.</w:t>
      </w:r>
    </w:p>
    <w:p>
      <w:pPr>
        <w:spacing w:after="40"/>
      </w:pPr>
    </w:p>
    <w:p>
      <w:pPr>
        <w:pStyle w:val="Heading2"/>
      </w:pPr>
      <w:r>
        <w:t>13 a 17 de abril de 2026 — Orientações e a decisão de arquitetura</w:t>
      </w:r>
    </w:p>
    <w:p>
      <w:pPr>
        <w:spacing w:after="60"/>
      </w:pPr>
      <w:r>
        <w:rPr>
          <w:b/>
          <w:color w:val="2F7D32"/>
        </w:rPr>
        <w:t xml:space="preserve">Fase: </w:t>
      </w:r>
      <w:r>
        <w:t>Modelagem</w:t>
      </w:r>
    </w:p>
    <w:p>
      <w:pPr>
        <w:spacing w:after="60"/>
      </w:pPr>
      <w:r>
        <w:rPr>
          <w:b/>
          <w:color w:val="2F7D32"/>
        </w:rPr>
        <w:t xml:space="preserve">Atividades: </w:t>
      </w:r>
      <w:r>
        <w:t>Nas orientações do Plano de Pesquisa, estruturação da metodologia e da arquitetura do sistema.</w:t>
      </w:r>
    </w:p>
    <w:p>
      <w:pPr>
        <w:spacing w:after="60"/>
      </w:pPr>
      <w:r>
        <w:rPr>
          <w:b/>
          <w:color w:val="2F7D32"/>
        </w:rPr>
        <w:t xml:space="preserve">Decisões: </w:t>
      </w:r>
      <w:r>
        <w:t>Adotar um NÚCLEO DETERMINÍSTICO baseado em processos como base, reservando a IA de aprendizado para uma camada posterior de calibração. Definir a arquitetura em três camadas (motor, API, interface) com baixo acoplamento. Alternativa considerada: treinar de imediato um modelo de machine learning (ex.: regressão/árvores) — descartada por sobreajuste com poucos dados e por virar 'caixa-preta'.</w:t>
      </w:r>
    </w:p>
    <w:p>
      <w:pPr>
        <w:spacing w:after="60"/>
      </w:pPr>
      <w:r>
        <w:rPr>
          <w:b/>
          <w:color w:val="2F7D32"/>
        </w:rPr>
        <w:t xml:space="preserve">Considerações: </w:t>
      </w:r>
      <w:r>
        <w:t>Essa foi a decisão mais importante do projeto; todas as etapas seguintes derivam dela.</w:t>
      </w:r>
    </w:p>
    <w:p>
      <w:pPr>
        <w:spacing w:after="60"/>
      </w:pPr>
      <w:r>
        <w:rPr>
          <w:b/>
          <w:color w:val="2F7D32"/>
        </w:rPr>
        <w:t xml:space="preserve">Aprendizados: </w:t>
      </w:r>
      <w:r>
        <w:t>Uma boa decisão de arquitetura vale mais que qualquer linha de código escrita depois.</w:t>
      </w:r>
    </w:p>
    <w:p>
      <w:pPr>
        <w:spacing w:after="40"/>
      </w:pPr>
    </w:p>
    <w:p>
      <w:pPr>
        <w:pStyle w:val="Heading2"/>
      </w:pPr>
      <w:r>
        <w:t>20 a 24 de abril de 2026 — Fenologia (graus-dia) e 1ª versão do plano</w:t>
      </w:r>
    </w:p>
    <w:p>
      <w:pPr>
        <w:spacing w:after="60"/>
      </w:pPr>
      <w:r>
        <w:rPr>
          <w:b/>
          <w:color w:val="2F7D32"/>
        </w:rPr>
        <w:t xml:space="preserve">Fase: </w:t>
      </w:r>
      <w:r>
        <w:t>Modelagem</w:t>
      </w:r>
    </w:p>
    <w:p>
      <w:pPr>
        <w:spacing w:after="60"/>
      </w:pPr>
      <w:r>
        <w:rPr>
          <w:b/>
          <w:color w:val="2F7D32"/>
        </w:rPr>
        <w:t xml:space="preserve">Atividades: </w:t>
      </w:r>
      <w:r>
        <w:t>Implementação do motor de fenologia por graus-dia (GDD). Entrega da 1ª versão do Plano de Pesquisa (0,5) em 24 de abril.</w:t>
      </w:r>
    </w:p>
    <w:p>
      <w:pPr>
        <w:spacing w:after="60"/>
      </w:pPr>
      <w:r>
        <w:rPr>
          <w:b/>
          <w:color w:val="2F7D32"/>
        </w:rPr>
        <w:t xml:space="preserve">Decisões: </w:t>
      </w:r>
      <w:r>
        <w:t>Temperatura-base de 10 °C e teto fisiológico de 30 °C, conforme a literatura para a soja; tabela de frações do ciclo por estádio (R1 aos 35%, R5 aos 66%, R8 aos 100%).</w:t>
      </w:r>
    </w:p>
    <w:p>
      <w:pPr>
        <w:spacing w:after="60"/>
      </w:pPr>
      <w:r>
        <w:rPr>
          <w:b/>
          <w:color w:val="2F7D32"/>
        </w:rPr>
        <w:t xml:space="preserve">Testes/verificações: </w:t>
      </w:r>
      <w:r>
        <w:t>4 testes automatizados (test_phenology.py): emergência após acúmulo de calor, ordenação correta dos estádios e coerência das datas.</w:t>
      </w:r>
    </w:p>
    <w:p>
      <w:pPr>
        <w:spacing w:after="60"/>
      </w:pPr>
      <w:r>
        <w:rPr>
          <w:b/>
          <w:color w:val="2F7D32"/>
        </w:rPr>
        <w:t xml:space="preserve">Resultados: </w:t>
      </w:r>
      <w:r>
        <w:t>O modelo reposiciona automaticamente todas as fases ao mudar a data de plantio ou a cultivar.</w:t>
      </w:r>
    </w:p>
    <w:p>
      <w:pPr>
        <w:spacing w:after="60"/>
      </w:pPr>
      <w:r>
        <w:rPr>
          <w:b/>
          <w:color w:val="C2410C"/>
        </w:rPr>
        <w:t xml:space="preserve">Dificuldades: </w:t>
      </w:r>
      <w:r>
        <w:t>Sincronizar o cálculo dia a dia com os alvos de cada estádio exigiu depuração.</w:t>
      </w:r>
    </w:p>
    <w:p>
      <w:pPr>
        <w:spacing w:after="60"/>
      </w:pPr>
      <w:r>
        <w:rPr>
          <w:b/>
          <w:color w:val="2F7D32"/>
        </w:rPr>
        <w:t xml:space="preserve">Aprendizados: </w:t>
      </w:r>
      <w:r>
        <w:t>Vimos o modelo 'ganhar vida' — a fenologia é a espinha temporal de todo o resto.</w:t>
      </w:r>
    </w:p>
    <w:p>
      <w:pPr>
        <w:spacing w:after="40"/>
      </w:pPr>
    </w:p>
    <w:p>
      <w:pPr>
        <w:pStyle w:val="Heading2"/>
      </w:pPr>
      <w:r>
        <w:t>25 a 30 de abril de 2026 — Balanço hídrico (FAO-56) e o IPPD</w:t>
      </w:r>
    </w:p>
    <w:p>
      <w:pPr>
        <w:spacing w:after="60"/>
      </w:pPr>
      <w:r>
        <w:rPr>
          <w:b/>
          <w:color w:val="2F7D32"/>
        </w:rPr>
        <w:t xml:space="preserve">Fase: </w:t>
      </w:r>
      <w:r>
        <w:t>Modelagem</w:t>
      </w:r>
    </w:p>
    <w:p>
      <w:pPr>
        <w:spacing w:after="60"/>
      </w:pPr>
      <w:r>
        <w:rPr>
          <w:b/>
          <w:color w:val="2F7D32"/>
        </w:rPr>
        <w:t xml:space="preserve">Atividades: </w:t>
      </w:r>
      <w:r>
        <w:t>Implementação do balanço hídrico diário FAO-56 (estresse por estádio) e do Índice de Potencial Produtivo Dinâmico (IPPD) — a cascata que decompõe a produtividade.</w:t>
      </w:r>
    </w:p>
    <w:p>
      <w:pPr>
        <w:spacing w:after="60"/>
      </w:pPr>
      <w:r>
        <w:rPr>
          <w:b/>
          <w:color w:val="2F7D32"/>
        </w:rPr>
        <w:t xml:space="preserve">Decisões: </w:t>
      </w:r>
      <w:r>
        <w:t>Decomposição aditiva (cada fator em sc/ha) para explicabilidade total. Ponderar o estresse hídrico pela sensibilidade de cada estádio (máxima em R4–R5).</w:t>
      </w:r>
    </w:p>
    <w:p>
      <w:pPr>
        <w:spacing w:after="60"/>
      </w:pPr>
      <w:r>
        <w:rPr>
          <w:b/>
          <w:color w:val="2F7D32"/>
        </w:rPr>
        <w:t xml:space="preserve">Testes/verificações: </w:t>
      </w:r>
      <w:r>
        <w:t>3 testes de balanço hídrico (test_water_balance.py) e 6 de produtividade (test_yield_model.py), incluindo a verificação de que a soma das contribuições bate exatamente com o resultado final.</w:t>
      </w:r>
    </w:p>
    <w:p>
      <w:pPr>
        <w:spacing w:after="60"/>
      </w:pPr>
      <w:r>
        <w:rPr>
          <w:b/>
          <w:color w:val="2F7D32"/>
        </w:rPr>
        <w:t xml:space="preserve">Resultados: </w:t>
      </w:r>
      <w:r>
        <w:t>A cascata do talhão-referência parte de 95 sc/ha e chega ao esperado, apontando a água na fase reprodutiva como maior limitação (ver Seção 4).</w:t>
      </w:r>
    </w:p>
    <w:p>
      <w:pPr>
        <w:spacing w:after="60"/>
      </w:pPr>
      <w:r>
        <w:rPr>
          <w:b/>
          <w:color w:val="C2410C"/>
        </w:rPr>
        <w:t xml:space="preserve">Dificuldades: </w:t>
      </w:r>
      <w:r>
        <w:t>Garantir a identidade matemática 'soma das fatias = resultado' exigiu cuidado na reconstrução dos multiplicadores.</w:t>
      </w:r>
    </w:p>
    <w:p>
      <w:pPr>
        <w:spacing w:after="60"/>
      </w:pPr>
      <w:r>
        <w:rPr>
          <w:b/>
          <w:color w:val="2F7D32"/>
        </w:rPr>
        <w:t xml:space="preserve">Aprendizados: </w:t>
      </w:r>
      <w:r>
        <w:t>A explicabilidade não é um enfeite: é o que torna a recomendação confiável para um agrônomo.</w:t>
      </w:r>
    </w:p>
    <w:p>
      <w:pPr>
        <w:spacing w:after="40"/>
      </w:pPr>
    </w:p>
    <w:p>
      <w:pPr>
        <w:pStyle w:val="Heading2"/>
      </w:pPr>
      <w:r>
        <w:t>05 a 11 de maio de 2026 — Economia, ZARC, Monte Carlo e devolução do plano</w:t>
      </w:r>
    </w:p>
    <w:p>
      <w:pPr>
        <w:spacing w:after="60"/>
      </w:pPr>
      <w:r>
        <w:rPr>
          <w:b/>
          <w:color w:val="2F7D32"/>
        </w:rPr>
        <w:t xml:space="preserve">Fase: </w:t>
      </w:r>
      <w:r>
        <w:t>Modelagem</w:t>
      </w:r>
    </w:p>
    <w:p>
      <w:pPr>
        <w:spacing w:after="60"/>
      </w:pPr>
      <w:r>
        <w:rPr>
          <w:b/>
          <w:color w:val="2F7D32"/>
        </w:rPr>
        <w:t xml:space="preserve">Atividades: </w:t>
      </w:r>
      <w:r>
        <w:t>Modelo econômico (lucro, ROI, equilíbrio), integração da janela ZARC e análise de risco por Monte Carlo sensível ao ENSO. Recebimento da devolução do plano (11/05) e incorporação dos ajustes.</w:t>
      </w:r>
    </w:p>
    <w:p>
      <w:pPr>
        <w:spacing w:after="60"/>
      </w:pPr>
      <w:r>
        <w:rPr>
          <w:b/>
          <w:color w:val="2F7D32"/>
        </w:rPr>
        <w:t xml:space="preserve">Decisões: </w:t>
      </w:r>
      <w:r>
        <w:t>Rodar 3.000 safras simuladas para expressar o risco como distribuição e probabilidade de prejuízo. Modelar o ENSO com fatores de chuva e variância (La Niña: menos chuva e maior variância). Alternativa considerada: uma faixa fixa de ±10% — descartada por não refletir a assimetria real do risco.</w:t>
      </w:r>
    </w:p>
    <w:p>
      <w:pPr>
        <w:spacing w:after="60"/>
      </w:pPr>
      <w:r>
        <w:rPr>
          <w:b/>
          <w:color w:val="2F7D32"/>
        </w:rPr>
        <w:t xml:space="preserve">Testes/verificações: </w:t>
      </w:r>
      <w:r>
        <w:t>5 testes de Monte Carlo (test_montecarlo.py), 2 de ENSO (test_enso.py) e 3 de economia (test_economics.py). Verificação-chave: La Niña deve elevar a probabilidade de quebra frente ao Neutro.</w:t>
      </w:r>
    </w:p>
    <w:p>
      <w:pPr>
        <w:spacing w:after="60"/>
      </w:pPr>
      <w:r>
        <w:rPr>
          <w:b/>
          <w:color w:val="2F7D32"/>
        </w:rPr>
        <w:t xml:space="preserve">Resultados: </w:t>
      </w:r>
      <w:r>
        <w:t>La Niña reduziu a produtividade mediana e aumentou o risco frente ao Neutro/El Niño (ver Quadro 5).</w:t>
      </w:r>
    </w:p>
    <w:p>
      <w:pPr>
        <w:spacing w:after="60"/>
      </w:pPr>
      <w:r>
        <w:rPr>
          <w:b/>
          <w:color w:val="2F7D32"/>
        </w:rPr>
        <w:t xml:space="preserve">Aprendizados: </w:t>
      </w:r>
      <w:r>
        <w:t>Aprendemos a transformar incerteza em informação de decisão, não em obstáculo.</w:t>
      </w:r>
    </w:p>
    <w:p>
      <w:pPr>
        <w:spacing w:after="40"/>
      </w:pPr>
    </w:p>
    <w:p>
      <w:pPr>
        <w:pStyle w:val="Heading2"/>
      </w:pPr>
      <w:r>
        <w:t>15 a 25 de maio de 2026 — Decisão, priorização, raciocínio e plano final</w:t>
      </w:r>
    </w:p>
    <w:p>
      <w:pPr>
        <w:spacing w:after="60"/>
      </w:pPr>
      <w:r>
        <w:rPr>
          <w:b/>
          <w:color w:val="2F7D32"/>
        </w:rPr>
        <w:t xml:space="preserve">Fase: </w:t>
      </w:r>
      <w:r>
        <w:t>Modelagem</w:t>
      </w:r>
    </w:p>
    <w:p>
      <w:pPr>
        <w:spacing w:after="60"/>
      </w:pPr>
      <w:r>
        <w:rPr>
          <w:b/>
          <w:color w:val="2F7D32"/>
        </w:rPr>
        <w:t xml:space="preserve">Atividades: </w:t>
      </w:r>
      <w:r>
        <w:t>Motores de decisão (avalia intervenções), priorização (ordena por urgência) e raciocínio (diagnóstico das causas). Entrega da versão final do Plano de Pesquisa em 25/05.</w:t>
      </w:r>
    </w:p>
    <w:p>
      <w:pPr>
        <w:spacing w:after="60"/>
      </w:pPr>
      <w:r>
        <w:rPr>
          <w:b/>
          <w:color w:val="2F7D32"/>
        </w:rPr>
        <w:t xml:space="preserve">Decisões: </w:t>
      </w:r>
      <w:r>
        <w:t>Estimar a probabilidade de uma ação dar certo por Monte Carlo PAREADO (mesmo clima/preço nos cenários com e sem a ação), isolando o efeito da decisão. Filtrar ações de baixo retorno por um critério de valor mínimo.</w:t>
      </w:r>
    </w:p>
    <w:p>
      <w:pPr>
        <w:spacing w:after="60"/>
      </w:pPr>
      <w:r>
        <w:rPr>
          <w:b/>
          <w:color w:val="2F7D32"/>
        </w:rPr>
        <w:t xml:space="preserve">Testes/verificações: </w:t>
      </w:r>
      <w:r>
        <w:t>5 testes de decisão (test_decision.py), 8 de radar/priorização (test_radar_priorities.py) e 9 de raciocínio (test_reasoning.py).</w:t>
      </w:r>
    </w:p>
    <w:p>
      <w:pPr>
        <w:spacing w:after="60"/>
      </w:pPr>
      <w:r>
        <w:rPr>
          <w:b/>
          <w:color w:val="2F7D32"/>
        </w:rPr>
        <w:t xml:space="preserve">Resultados: </w:t>
      </w:r>
      <w:r>
        <w:t>Para o talhão-referência, a intervenção de maior retorno foi antecipar a semeadura ao núcleo ótimo do ZARC (ver Quadro 6).</w:t>
      </w:r>
    </w:p>
    <w:p>
      <w:pPr>
        <w:spacing w:after="60"/>
      </w:pPr>
      <w:r>
        <w:rPr>
          <w:b/>
          <w:color w:val="C2410C"/>
        </w:rPr>
        <w:t xml:space="preserve">Dificuldades: </w:t>
      </w:r>
      <w:r>
        <w:t>Equilibrar quantidade e relevância das recomendações.</w:t>
      </w:r>
    </w:p>
    <w:p>
      <w:pPr>
        <w:spacing w:after="60"/>
      </w:pPr>
      <w:r>
        <w:rPr>
          <w:b/>
          <w:color w:val="2F7D32"/>
        </w:rPr>
        <w:t xml:space="preserve">Aprendizados: </w:t>
      </w:r>
      <w:r>
        <w:t>Apoiar a decisão é priorizar o que fazer primeiro e por quê — não apenas prever.</w:t>
      </w:r>
    </w:p>
    <w:p>
      <w:pPr>
        <w:spacing w:after="40"/>
      </w:pPr>
    </w:p>
    <w:p>
      <w:pPr>
        <w:pStyle w:val="Heading2"/>
      </w:pPr>
      <w:r>
        <w:t>26 de maio a 01 de junho de 2026 — Acurácia, aprendizado, API e 1ª versão do relatório</w:t>
      </w:r>
    </w:p>
    <w:p>
      <w:pPr>
        <w:spacing w:after="60"/>
      </w:pPr>
      <w:r>
        <w:rPr>
          <w:b/>
          <w:color w:val="2F7D32"/>
        </w:rPr>
        <w:t xml:space="preserve">Fase: </w:t>
      </w:r>
      <w:r>
        <w:t>Integração</w:t>
      </w:r>
    </w:p>
    <w:p>
      <w:pPr>
        <w:spacing w:after="60"/>
      </w:pPr>
      <w:r>
        <w:rPr>
          <w:b/>
          <w:color w:val="2F7D32"/>
        </w:rPr>
        <w:t xml:space="preserve">Atividades: </w:t>
      </w:r>
      <w:r>
        <w:t>Camada de acurácia/proveniência (confiança por talhão) e o Knowledge Engine (calibração bayesiana — ponte para o ML). Implementação da API (FastAPI) e do banco geoespacial PostGIS, com clima real via Open-Meteo. Entrega da 1ª versão do Relatório (01/06).</w:t>
      </w:r>
    </w:p>
    <w:p>
      <w:pPr>
        <w:spacing w:after="60"/>
      </w:pPr>
      <w:r>
        <w:rPr>
          <w:b/>
          <w:color w:val="2F7D32"/>
        </w:rPr>
        <w:t xml:space="preserve">Decisões: </w:t>
      </w:r>
      <w:r>
        <w:t>O sistema assume explicitamente sua incerteza (índice de precisão) em vez de aparentar certeza. A calibração usa encolhimento bayesiano (shrinkage) para não sobreajustar com poucas safras. Alternativa considerada: aplicar a correção integral do erro — descartada por instabilidade com n pequeno.</w:t>
      </w:r>
    </w:p>
    <w:p>
      <w:pPr>
        <w:spacing w:after="60"/>
      </w:pPr>
      <w:r>
        <w:rPr>
          <w:b/>
          <w:color w:val="2F7D32"/>
        </w:rPr>
        <w:t xml:space="preserve">Testes/verificações: </w:t>
      </w:r>
      <w:r>
        <w:t>6 testes de acurácia (test_data_sources.py), 5 de calibração (test_knowledge.py), 5 de calibração na cascata (test_calibration_factor.py) e 4 de consistência da base de conhecimento (test_knowledge_consistency.py).</w:t>
      </w:r>
    </w:p>
    <w:p>
      <w:pPr>
        <w:spacing w:after="60"/>
      </w:pPr>
      <w:r>
        <w:rPr>
          <w:b/>
          <w:color w:val="C2410C"/>
        </w:rPr>
        <w:t xml:space="preserve">Dificuldades: </w:t>
      </w:r>
      <w:r>
        <w:t>Configurar o ambiente de execução na nuvem gerou erros de dependências e de banco (por exemplo, condição de corrida na inicialização do banco e colunas já existentes em migrações), diagnosticados e corrigidos.</w:t>
      </w:r>
    </w:p>
    <w:p>
      <w:pPr>
        <w:spacing w:after="60"/>
      </w:pPr>
      <w:r>
        <w:rPr>
          <w:b/>
          <w:color w:val="2F7D32"/>
        </w:rPr>
        <w:t xml:space="preserve">Aprendizados: </w:t>
      </w:r>
      <w:r>
        <w:t>Separar cálculo, serviço e dados tornou o sistema testável e robusto; a honestidade estatística virou um diferencial do projeto.</w:t>
      </w:r>
    </w:p>
    <w:p>
      <w:pPr>
        <w:spacing w:after="40"/>
      </w:pPr>
    </w:p>
    <w:p>
      <w:pPr>
        <w:pStyle w:val="Heading2"/>
      </w:pPr>
      <w:r>
        <w:t>05 a 10 de junho de 2026 — Primeira interface e crítica de usabilidade</w:t>
      </w:r>
    </w:p>
    <w:p>
      <w:pPr>
        <w:spacing w:after="60"/>
      </w:pPr>
      <w:r>
        <w:rPr>
          <w:b/>
          <w:color w:val="2F7D32"/>
        </w:rPr>
        <w:t xml:space="preserve">Fase: </w:t>
      </w:r>
      <w:r>
        <w:t>Integração</w:t>
      </w:r>
    </w:p>
    <w:p>
      <w:pPr>
        <w:spacing w:after="60"/>
      </w:pPr>
      <w:r>
        <w:rPr>
          <w:b/>
          <w:color w:val="2F7D32"/>
        </w:rPr>
        <w:t xml:space="preserve">Atividades: </w:t>
      </w:r>
      <w:r>
        <w:t>Desenvolvimento da primeira versão da interface web (Next.js/React) e teste sob a ótica de um produtor rural.</w:t>
      </w:r>
    </w:p>
    <w:p>
      <w:pPr>
        <w:spacing w:after="60"/>
      </w:pPr>
      <w:r>
        <w:rPr>
          <w:b/>
          <w:color w:val="2F7D32"/>
        </w:rPr>
        <w:t xml:space="preserve">Decisões: </w:t>
      </w:r>
      <w:r>
        <w:t>Repaginar completamente a experiência, guiando-a pela JORNADA do agricultor, não pelos módulos internos do sistema. Alternativa considerada: apenas reorganizar os painéis existentes — descartada por não resolver a sobrecarga de raiz.</w:t>
      </w:r>
    </w:p>
    <w:p>
      <w:pPr>
        <w:spacing w:after="60"/>
      </w:pPr>
      <w:r>
        <w:rPr>
          <w:b/>
          <w:color w:val="2F7D32"/>
        </w:rPr>
        <w:t xml:space="preserve">Considerações: </w:t>
      </w:r>
      <w:r>
        <w:t>Constatamos que a primeira interface, embora tecnicamente rica, provocava sobrecarga cognitiva no usuário leigo — muitos painéis e números simultâneos.</w:t>
      </w:r>
    </w:p>
    <w:p>
      <w:pPr>
        <w:spacing w:after="60"/>
      </w:pPr>
      <w:r>
        <w:rPr>
          <w:b/>
          <w:color w:val="2F7D32"/>
        </w:rPr>
        <w:t xml:space="preserve">Aprendizados: </w:t>
      </w:r>
      <w:r>
        <w:t>Um bom backend não basta: a experiência do usuário é parte inseparável do produto.</w:t>
      </w:r>
    </w:p>
    <w:p>
      <w:pPr>
        <w:spacing w:after="40"/>
      </w:pPr>
    </w:p>
    <w:p>
      <w:pPr>
        <w:pStyle w:val="Heading2"/>
      </w:pPr>
      <w:r>
        <w:t>11 a 16 de junho de 2026 — Reestruturação por jornada e devolutiva</w:t>
      </w:r>
    </w:p>
    <w:p>
      <w:pPr>
        <w:spacing w:after="60"/>
      </w:pPr>
      <w:r>
        <w:rPr>
          <w:b/>
          <w:color w:val="2F7D32"/>
        </w:rPr>
        <w:t xml:space="preserve">Fase: </w:t>
      </w:r>
      <w:r>
        <w:t>Integração</w:t>
      </w:r>
    </w:p>
    <w:p>
      <w:pPr>
        <w:spacing w:after="60"/>
      </w:pPr>
      <w:r>
        <w:rPr>
          <w:b/>
          <w:color w:val="2F7D32"/>
        </w:rPr>
        <w:t xml:space="preserve">Atividades: </w:t>
      </w:r>
      <w:r>
        <w:t>Reestruturação da interface em páginas separadas (Minha safra, Meu talhão, Calendário, Registrar, Simular, Resultados), com uma tela inicial em formato de copiloto. Recebimento da devolutiva da orientadora (16/06) e incorporação das melhorias.</w:t>
      </w:r>
    </w:p>
    <w:p>
      <w:pPr>
        <w:spacing w:after="60"/>
      </w:pPr>
      <w:r>
        <w:rPr>
          <w:b/>
          <w:color w:val="2F7D32"/>
        </w:rPr>
        <w:t xml:space="preserve">Decisões: </w:t>
      </w:r>
      <w:r>
        <w:t>Adotar o princípio de progressive disclosure — mostrar pouco de entrada e revelar o detalhe sob demanda — e um estado compartilhado entre as páginas, persistido no navegador.</w:t>
      </w:r>
    </w:p>
    <w:p>
      <w:pPr>
        <w:spacing w:after="60"/>
      </w:pPr>
      <w:r>
        <w:rPr>
          <w:b/>
          <w:color w:val="C2410C"/>
        </w:rPr>
        <w:t xml:space="preserve">Dificuldades: </w:t>
      </w:r>
      <w:r>
        <w:t>Migrar de uma página única para várias páginas com estado compartilhado exigiu reorganizar a arquitetura do frontend.</w:t>
      </w:r>
    </w:p>
    <w:p>
      <w:pPr>
        <w:spacing w:after="60"/>
      </w:pPr>
      <w:r>
        <w:rPr>
          <w:b/>
          <w:color w:val="2F7D32"/>
        </w:rPr>
        <w:t xml:space="preserve">Aprendizados: </w:t>
      </w:r>
      <w:r>
        <w:t>Organizar a navegação em torno da jornada do usuário aumenta muito a compreensão e a adoção.</w:t>
      </w:r>
    </w:p>
    <w:p>
      <w:pPr>
        <w:spacing w:after="40"/>
      </w:pPr>
    </w:p>
    <w:p>
      <w:pPr>
        <w:pStyle w:val="Heading2"/>
      </w:pPr>
      <w:r>
        <w:t>17 a 22 de junho de 2026 — Refinamentos, correções e pitch</w:t>
      </w:r>
    </w:p>
    <w:p>
      <w:pPr>
        <w:spacing w:after="60"/>
      </w:pPr>
      <w:r>
        <w:rPr>
          <w:b/>
          <w:color w:val="2F7D32"/>
        </w:rPr>
        <w:t xml:space="preserve">Fase: </w:t>
      </w:r>
      <w:r>
        <w:t>Integração</w:t>
      </w:r>
    </w:p>
    <w:p>
      <w:pPr>
        <w:spacing w:after="60"/>
      </w:pPr>
      <w:r>
        <w:rPr>
          <w:b/>
          <w:color w:val="2F7D32"/>
        </w:rPr>
        <w:t xml:space="preserve">Atividades: </w:t>
      </w:r>
      <w:r>
        <w:t>Adição da visão 'Saúde do Talhão' (com detalhamento ao toque) e do modo de simulação guiada; harmonização visual de todas as telas. Postagem do pitch de 3 minutos no Classroom (22/06).</w:t>
      </w:r>
    </w:p>
    <w:p>
      <w:pPr>
        <w:spacing w:after="60"/>
      </w:pPr>
      <w:r>
        <w:rPr>
          <w:b/>
          <w:color w:val="2F7D32"/>
        </w:rPr>
        <w:t xml:space="preserve">Decisões: </w:t>
      </w:r>
      <w:r>
        <w:t>Corrigir o cenário-demonstração para a safra vigente (2026/27), fazendo o sistema abrir 'vivo', com fase atual e decisões acionáveis. Alternativa considerada: manter a safra anterior como exemplo — descartada porque exibia uma safra já colhida, sem ações.</w:t>
      </w:r>
    </w:p>
    <w:p>
      <w:pPr>
        <w:spacing w:after="60"/>
      </w:pPr>
      <w:r>
        <w:rPr>
          <w:b/>
          <w:color w:val="2F7D32"/>
        </w:rPr>
        <w:t xml:space="preserve">Testes/verificações: </w:t>
      </w:r>
      <w:r>
        <w:t>Verificação de ponta a ponta (frontend + API) de que todas as telas carregavam sem erro e que os números batiam com o motor.</w:t>
      </w:r>
    </w:p>
    <w:p>
      <w:pPr>
        <w:spacing w:after="60"/>
      </w:pPr>
      <w:r>
        <w:rPr>
          <w:b/>
          <w:color w:val="C2410C"/>
        </w:rPr>
        <w:t xml:space="preserve">Dificuldades: </w:t>
      </w:r>
      <w:r>
        <w:t>Roteirizar em 3 minutos a essência de um sistema complexo exigiu escolher muito bem o que mostrar.</w:t>
      </w:r>
    </w:p>
    <w:p>
      <w:pPr>
        <w:spacing w:after="60"/>
      </w:pPr>
      <w:r>
        <w:rPr>
          <w:b/>
          <w:color w:val="2F7D32"/>
        </w:rPr>
        <w:t xml:space="preserve">Aprendizados: </w:t>
      </w:r>
      <w:r>
        <w:t>Comunicar valor com clareza e concisão é uma habilidade tão importante quanto desenvolver.</w:t>
      </w:r>
    </w:p>
    <w:p>
      <w:pPr>
        <w:spacing w:after="40"/>
      </w:pPr>
    </w:p>
    <w:p>
      <w:pPr>
        <w:pStyle w:val="Heading2"/>
      </w:pPr>
      <w:r>
        <w:t>23 de junho a 01 de julho de 2026 — Documentação técnica e relatório final</w:t>
      </w:r>
    </w:p>
    <w:p>
      <w:pPr>
        <w:spacing w:after="60"/>
      </w:pPr>
      <w:r>
        <w:rPr>
          <w:b/>
          <w:color w:val="2F7D32"/>
        </w:rPr>
        <w:t xml:space="preserve">Fase: </w:t>
      </w:r>
      <w:r>
        <w:t>Documentação</w:t>
      </w:r>
    </w:p>
    <w:p>
      <w:pPr>
        <w:spacing w:after="60"/>
      </w:pPr>
      <w:r>
        <w:rPr>
          <w:b/>
          <w:color w:val="2F7D32"/>
        </w:rPr>
        <w:t xml:space="preserve">Atividades: </w:t>
      </w:r>
      <w:r>
        <w:t>Consolidação da documentação técnica (manual detalhado do sistema) e geração das figuras e tabelas de resultados executando o próprio motor. Entrega da versão final do Relatório de Pesquisa (01/07).</w:t>
      </w:r>
    </w:p>
    <w:p>
      <w:pPr>
        <w:spacing w:after="60"/>
      </w:pPr>
      <w:r>
        <w:rPr>
          <w:b/>
          <w:color w:val="2F7D32"/>
        </w:rPr>
        <w:t xml:space="preserve">Decisões: </w:t>
      </w:r>
      <w:r>
        <w:t>Gerar os resultados do relatório a partir de execuções reais do sistema, garantindo que nenhum número fosse hipotético. Reescrever o relatório para descrever fielmente o sistema construído (gêmeo digital determinístico), e não uma descrição genérica.</w:t>
      </w:r>
    </w:p>
    <w:p>
      <w:pPr>
        <w:spacing w:after="60"/>
      </w:pPr>
      <w:r>
        <w:rPr>
          <w:b/>
          <w:color w:val="2F7D32"/>
        </w:rPr>
        <w:t xml:space="preserve">Testes/verificações: </w:t>
      </w:r>
      <w:r>
        <w:t>Execução completa da suíte: 124 testes automatizados, todos aprovados (ver Seção 3).</w:t>
      </w:r>
    </w:p>
    <w:p>
      <w:pPr>
        <w:spacing w:after="60"/>
      </w:pPr>
      <w:r>
        <w:rPr>
          <w:b/>
          <w:color w:val="2F7D32"/>
        </w:rPr>
        <w:t xml:space="preserve">Aprendizados: </w:t>
      </w:r>
      <w:r>
        <w:t>Documentar bem é parte de fazer ciência — garante reprodutibilidade e defesa perante a banca.</w:t>
      </w:r>
    </w:p>
    <w:p>
      <w:pPr>
        <w:spacing w:after="40"/>
      </w:pPr>
    </w:p>
    <w:p>
      <w:pPr>
        <w:pStyle w:val="Heading2"/>
      </w:pPr>
      <w:r>
        <w:t>03 e 04 de julho de 2026 — Apresentação na Escola Aberta</w:t>
      </w:r>
    </w:p>
    <w:p>
      <w:pPr>
        <w:spacing w:after="60"/>
      </w:pPr>
      <w:r>
        <w:rPr>
          <w:b/>
          <w:color w:val="2F7D32"/>
        </w:rPr>
        <w:t xml:space="preserve">Fase: </w:t>
      </w:r>
      <w:r>
        <w:t>Feira</w:t>
      </w:r>
    </w:p>
    <w:p>
      <w:pPr>
        <w:spacing w:after="60"/>
      </w:pPr>
      <w:r>
        <w:rPr>
          <w:b/>
          <w:color w:val="2F7D32"/>
        </w:rPr>
        <w:t xml:space="preserve">Atividades: </w:t>
      </w:r>
      <w:r>
        <w:t>Apresentação do FADA na feira, com demonstração ao vivo: estimativa explicável de produtividade, análise de risco climático e recomendações de manejo. Resposta às perguntas da banca e do público.</w:t>
      </w:r>
    </w:p>
    <w:p>
      <w:pPr>
        <w:spacing w:after="60"/>
      </w:pPr>
      <w:r>
        <w:rPr>
          <w:b/>
          <w:color w:val="2F7D32"/>
        </w:rPr>
        <w:t xml:space="preserve">Decisões: </w:t>
      </w:r>
      <w:r>
        <w:t>Estruturar a apresentação em torno das três perguntas do produtor (como está / o que fazer / por quê), a mesma lógica do sistema.</w:t>
      </w:r>
    </w:p>
    <w:p>
      <w:pPr>
        <w:spacing w:after="60"/>
      </w:pPr>
      <w:r>
        <w:rPr>
          <w:b/>
          <w:color w:val="C2410C"/>
        </w:rPr>
        <w:t xml:space="preserve">Dificuldades: </w:t>
      </w:r>
      <w:r>
        <w:t>Adaptar a linguagem em tempo real para públicos distintos (banca, colegas, visitantes).</w:t>
      </w:r>
    </w:p>
    <w:p>
      <w:pPr>
        <w:spacing w:after="60"/>
      </w:pPr>
      <w:r>
        <w:rPr>
          <w:b/>
          <w:color w:val="2F7D32"/>
        </w:rPr>
        <w:t xml:space="preserve">Aprendizados: </w:t>
      </w:r>
      <w:r>
        <w:t>A comunicação do projeto é tão importante quanto o seu desenvolvimento; encerramos o ciclo com o método científico completo, da hipótese à socialização.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3 REGISTRO DE TESTES E VALIDAÇÃO</w:t>
      </w:r>
    </w:p>
    <w:p>
      <w:pPr>
        <w:spacing w:after="120"/>
        <w:ind w:firstLine="720"/>
      </w:pPr>
      <w:r>
        <w:t>A validação da consistência interna do sistema foi feita por uma suíte de 124 testes automatizados, executados a cada alteração do código (comando 'make test'). Um teste é um pequeno programa que verifica se um componente produz a resposta correta em um caso conhecido; quando algo é quebrado inadvertidamente, o teste falha e aponta o problema. O Quadro 2 registra a distribuição dos testes por componente; a suíte completa está aprovada (124/124).</w:t>
      </w:r>
    </w:p>
    <w:p>
      <w:pPr>
        <w:spacing w:after="40"/>
        <w:jc w:val="center"/>
      </w:pPr>
      <w:r>
        <w:rPr>
          <w:b w:val="0"/>
          <w:color w:val="444444"/>
          <w:sz w:val="20"/>
        </w:rPr>
        <w:t>Quadro 2 — Distribuição da suíte de testes automatizados por componente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Componente / arquivo de teste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Nº de testes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O que verifica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test_interactions.py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Interações evento→consequência (ex.: chuva após aplicação)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test_reasoning.py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Diagnóstico e hipóteses de causa (grafo de impacto)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test_evidence_layer.py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Camada de evidências e corroboração de observações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test_radar_priorities.py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Radar da safra e priorização por urgência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test_yield_model.py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Cascata IPPD e identidade soma=resultado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test_fertility.py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Recomendação de calagem e adubação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test_data_sources.py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Índice de acurácia e proveniência dos dados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test_core_engines.py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Integração dos motores centrais (estado)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test_montecarlo.py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Distribuição de risco (percentis, prejuízo)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test_manejo_science.py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Evidência científica por manejo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test_knowledge.py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Calibração bayesiana (shrinkage)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test_decision.py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Motor de decisão (Δlucro, probabilidade)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test_crop_plan.py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Plano de safra por fases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test_calibration_factor.py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Calibração aplicada à cascata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test_briefing.py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Resumo executivo da safra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test_phenology.py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Fenologia por graus-dia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test_nematode_rotation.py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Fatores de nematoides e rotação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test_knowledge_consistency.py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Consistência entre código e base de conhecimento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test_budget.py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Orçamento e fluxo de caixa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test_water_balance.py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Balanço hídrico FAO-56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test_scenario_search.py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Busca do melhor plano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test_economics.py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Modelo econômico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test_simulate.py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Pipeline completo de simulação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test_enso.py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Efeito do ENSO no risco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TOTAL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124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Suíte aprovada integralmente</w:t>
            </w:r>
          </w:p>
        </w:tc>
      </w:tr>
    </w:tbl>
    <w:p>
      <w:pPr>
        <w:spacing w:after="120"/>
      </w:pPr>
    </w:p>
    <w:p>
      <w:pPr>
        <w:spacing w:after="120"/>
        <w:ind w:firstLine="720"/>
      </w:pPr>
      <w:r>
        <w:t>Exemplos de verificações agronômicas registradas: semear fora da janela ZARC reduz a produtividade estimada; a soma das contribuições da cascata IPPD é idêntica à produtividade final; a fase La Niña eleva a probabilidade de quebra frente à fase Neutra; a calibração bayesiana encolhe a correção quando há poucas safras. A execução final registrou:</w:t>
      </w:r>
    </w:p>
    <w:p>
      <w:pPr>
        <w:spacing w:line="240" w:lineRule="auto" w:after="120"/>
        <w:ind w:left="432"/>
        <w:shd w:val="clear" w:fill="F3F3F3"/>
      </w:pPr>
      <w:r>
        <w:rPr>
          <w:rFonts w:ascii="Consolas" w:hAnsi="Consolas"/>
          <w:sz w:val="18"/>
        </w:rPr>
        <w:t>$ make test</w:t>
        <w:br/>
        <w:t>........................................................................ [ 58%]</w:t>
        <w:br/>
        <w:t>....................................................                     [100%]</w:t>
        <w:br/>
        <w:t>124 passed</w:t>
      </w:r>
    </w:p>
    <w:p>
      <w:r>
        <w:br w:type="page"/>
      </w:r>
    </w:p>
    <w:p>
      <w:pPr>
        <w:pStyle w:val="Heading1"/>
      </w:pPr>
      <w:r>
        <w:t>4 REGISTRO DE RESULTADOS OBTIDOS</w:t>
      </w:r>
    </w:p>
    <w:p>
      <w:pPr>
        <w:spacing w:after="120"/>
        <w:ind w:firstLine="720"/>
      </w:pPr>
      <w:r>
        <w:t>Os resultados a seguir foram obtidos executando-se o próprio motor sobre um talhão-referência de Horizontina/RS (cultivar de grupo de maturação 5.5, potencial 95 sc/ha; solo argiloso pH 5,8, V 62%, P 12, K 140; população 300 mil/ha; semeadura em 15/11; preço R$ 120/saca; um herbicida e dois fungicidas). Registram-se como evidência do funcionamento do sistema.</w:t>
      </w:r>
    </w:p>
    <w:p>
      <w:pPr>
        <w:pStyle w:val="Heading2"/>
      </w:pPr>
      <w:r>
        <w:t>4.1 Estimativa e decomposição da produtividade (IPPD)</w:t>
      </w:r>
    </w:p>
    <w:p>
      <w:pPr>
        <w:spacing w:after="120"/>
        <w:ind w:firstLine="720"/>
      </w:pPr>
      <w:r>
        <w:t>O motor estimou 51.5 ± 8.8 sc/ha (confiança 74%), partindo do potencial de 95 sc/ha. A Figura 2 e o Quadro 3 detalham a cascata.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68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waterf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8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444444"/>
          <w:sz w:val="20"/>
        </w:rPr>
        <w:t>Figura 2 — Cascata IPPD do talhão-referência: do potencial à produtividade esperada</w:t>
      </w:r>
    </w:p>
    <w:p>
      <w:pPr>
        <w:spacing w:after="40"/>
        <w:jc w:val="center"/>
      </w:pPr>
      <w:r>
        <w:rPr>
          <w:b w:val="0"/>
          <w:color w:val="444444"/>
          <w:sz w:val="20"/>
        </w:rPr>
        <w:t>Quadro 3 — Decomposição IPPD do talhão-referência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Fator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Efeito (mult.)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Contrib. (sc/ha)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Acum. (sc/ha)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Potencial genético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95.0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Solo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1.000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+0.0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95.0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Nutrição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1.000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+0.0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95.0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Nematoides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1.000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+0.0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95.0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Compactação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0.980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-1.9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93.1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Rotação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0.980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-1.9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91.2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População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1.000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+0.0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91.2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Janela de semeadura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0.976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-2.2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89.1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Água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0.723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-24.6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64.4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Calor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1.000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+0.0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64.4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Daninhas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0.941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-3.8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60.6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Pragas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0.880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-7.3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53.4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Doenças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0.966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-1.8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51.5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Produtividade esperada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51.5</w:t>
            </w:r>
          </w:p>
        </w:tc>
      </w:tr>
    </w:tbl>
    <w:p>
      <w:pPr>
        <w:spacing w:after="120"/>
      </w:pPr>
    </w:p>
    <w:p>
      <w:pPr>
        <w:pStyle w:val="Heading2"/>
      </w:pPr>
      <w:r>
        <w:t>4.2 Resultado econômico</w:t>
      </w:r>
    </w:p>
    <w:p>
      <w:pPr>
        <w:spacing w:after="120"/>
        <w:ind w:firstLine="720"/>
      </w:pPr>
      <w:r>
        <w:t>Receita de R$ 6.180/ha, custo de R$ 3.490/ha, lucro de R$ 2.690/ha (ROI 0.77, margem 44%), com produtividade de equilíbrio de 29 sc/ha — bem abaixo da esperada, indicando robustez econômica no cenário de preço adotado.</w:t>
      </w:r>
    </w:p>
    <w:p>
      <w:pPr>
        <w:pStyle w:val="Heading2"/>
      </w:pPr>
      <w:r>
        <w:t>4.3 Análise de risco por fase ENSO</w:t>
      </w:r>
    </w:p>
    <w:p>
      <w:pPr>
        <w:spacing w:after="120"/>
        <w:ind w:firstLine="720"/>
      </w:pPr>
      <w:r>
        <w:t>A simulação de Monte Carlo (3.000 safras) por fase do fenômeno ENSO produziu o Quadro 5 e a Figura 3, coerentes com a literatura regional (Lisbinski, 2024).</w:t>
      </w:r>
    </w:p>
    <w:p>
      <w:pPr>
        <w:spacing w:after="40"/>
        <w:jc w:val="center"/>
      </w:pPr>
      <w:r>
        <w:rPr>
          <w:b w:val="0"/>
          <w:color w:val="444444"/>
          <w:sz w:val="20"/>
        </w:rPr>
        <w:t>Quadro 4 — Análise de risco por fase ENSO (Monte Carlo, 3.000 safras)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Fase ENSO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p10 (sc/ha)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p50 (sc/ha)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p90 (sc/ha)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Lucro mediano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Prob. prejuízo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El Niño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42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49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62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R$ 2.422/ha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0%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Neutro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41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46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57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R$ 2.092/ha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0%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La Niña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39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43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52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R$ 1.735/ha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1%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28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en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444444"/>
          <w:sz w:val="20"/>
        </w:rPr>
        <w:t>Figura 3 — Produtividade mediana e faixa p10–p90 por fase ENSO</w:t>
      </w:r>
    </w:p>
    <w:p>
      <w:pPr>
        <w:pStyle w:val="Heading2"/>
      </w:pPr>
      <w:r>
        <w:t>4.4 Intervenções recomendadas e diagnóstico</w:t>
      </w:r>
    </w:p>
    <w:p>
      <w:pPr>
        <w:spacing w:after="40"/>
        <w:jc w:val="center"/>
      </w:pPr>
      <w:r>
        <w:rPr>
          <w:b w:val="0"/>
          <w:color w:val="444444"/>
          <w:sz w:val="20"/>
        </w:rPr>
        <w:t>Quadro 5 — Intervenções avaliadas pelo motor de decisão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Intervenção avaliada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Δ produtiv. (sc/ha)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Δ lucro (R$/ha)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Prob. de melhorar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Antecipar semeadura para o núcleo ótimo (ZARC)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+1.3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+156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Remover 1 aplicação de fungicida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-1.8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-36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28%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Adicionar 1 aplicação de fungicida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+0.9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-72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0%</w:t>
            </w:r>
          </w:p>
        </w:tc>
      </w:tr>
    </w:tbl>
    <w:p>
      <w:pPr>
        <w:spacing w:after="120"/>
      </w:pPr>
    </w:p>
    <w:p>
      <w:pPr>
        <w:spacing w:after="120"/>
        <w:ind w:firstLine="720"/>
      </w:pPr>
      <w:r>
        <w:t>O diagnóstico automático concluiu: “O talhão está 44 sc/ha abaixo do potencial. A maior limitação provável é déficit hídrico (veranico) (explica ~25 sc/ha). Dado de baixa confiança — confirme: balanço hídrico do ciclo (déficit em R3–R5) e chuva medida no talhão.” O índice de acurácia dos dados foi de 37% (baixa), e a confiança foi expressa em quatro níveis (dados 37%, modelo 89%, recomendação 33%, resultado 27%) — evidenciando que a maior incerteza está nos dados, não na modelagem.</w:t>
      </w:r>
    </w:p>
    <w:p>
      <w:r>
        <w:br w:type="page"/>
      </w:r>
    </w:p>
    <w:p>
      <w:pPr>
        <w:pStyle w:val="Heading1"/>
      </w:pPr>
      <w:r>
        <w:t>5 DECISÕES DE PROJETO DOCUMENTADAS</w:t>
      </w:r>
    </w:p>
    <w:p>
      <w:pPr>
        <w:spacing w:after="120"/>
        <w:ind w:firstLine="720"/>
      </w:pPr>
      <w:r>
        <w:t>Registram-se aqui as principais decisões técnicas e metodológicas do projeto, cada uma com a alternativa considerada e a justificativa — um registro no estilo dos 'registros de decisão de arquitetura' (ADR), que documenta o porquê de cada escolha (Quadro 7).</w:t>
      </w:r>
    </w:p>
    <w:p>
      <w:pPr>
        <w:spacing w:after="40"/>
        <w:jc w:val="center"/>
      </w:pPr>
      <w:r>
        <w:rPr>
          <w:b w:val="0"/>
          <w:color w:val="444444"/>
          <w:sz w:val="20"/>
        </w:rPr>
        <w:t>Quadro 6 — Registro de decisões de projeto (ADR)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Decisão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Alternativa considerada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Justificativa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Núcleo determinístico baseado em processos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Machine learning no centro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Funciona desde a 1ª safra e é explicável; ML exige históricos inexistentes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Arquitetura em três camadas (baixo acoplamento)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Aplicação monolítica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Permite testar e evoluir cada parte isoladamente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Decomposição aditiva da produtividade (IPPD)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Regressão única (caixa-preta)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Mostra de onde vem cada saca — confiança do agrônomo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Risco por Monte Carlo (3.000 safras)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Faixa fixa ±10%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Reflete a assimetria real do risco climático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Monte Carlo pareado para as decisões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Simulações independentes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Isola o efeito da decisão do ruído do clima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Calibração com encolhimento bayesiano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Correção integral do erro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Evita sobreajuste com poucas safras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Assumir e comunicar a incerteza (proveniência)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Exibir um número único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Mais honesto e mais confiável para o produtor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LLM apenas narra, nunca calcula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LLM gerando números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Preserva a rastreabilidade de cada valor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Interface por jornada (progressive disclosure)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Painéis simultâneos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Reduz a sobrecarga do usuário leigo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Persistência geoespacial (PostGIS)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Banco relacional simples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Um talhão é uma geometria; PostGIS calcula área e localização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Dados públicos e gratuitos (Open-Meteo, ZARC)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APIs pagas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Custo mínimo e democratização do acesso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6 ANÁLISES E CONSIDERAÇÕES FINAIS</w:t>
      </w:r>
    </w:p>
    <w:p>
      <w:pPr>
        <w:pStyle w:val="Heading2"/>
      </w:pPr>
      <w:r>
        <w:t>6.1 Marcos e entregas</w:t>
      </w:r>
    </w:p>
    <w:p>
      <w:pPr>
        <w:spacing w:after="40"/>
        <w:jc w:val="center"/>
      </w:pPr>
      <w:r>
        <w:rPr>
          <w:b w:val="0"/>
          <w:color w:val="444444"/>
          <w:sz w:val="20"/>
        </w:rPr>
        <w:t>Quadro 7 — Marcos técnicos e entregas formais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Data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Marco / entrega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Situação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24 abr 2026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1ª versão do Plano de Pesquisa (0,5)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Entregue no prazo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25 mai 2026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Versão final do Plano de Pesquisa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Entregue no prazo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01 jun 2026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Relatório de Pesquisa — 1ª versão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Entregue no prazo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22 jun 2026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Pitch de 3 minutos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Postado no prazo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01 jul 2026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Relatório de Pesquisa — versão final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Entregue no prazo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03–04 jul 2026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Apresentação na Escola Aberta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Realizada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Motor validado por 124 testes automatizados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Concluído</w:t>
            </w:r>
          </w:p>
        </w:tc>
      </w:tr>
    </w:tbl>
    <w:p>
      <w:pPr>
        <w:spacing w:after="120"/>
      </w:pPr>
    </w:p>
    <w:p>
      <w:pPr>
        <w:pStyle w:val="Heading2"/>
      </w:pPr>
      <w:r>
        <w:t>6.2 Desafios e soluções</w:t>
      </w:r>
    </w:p>
    <w:p>
      <w:pPr>
        <w:spacing w:after="40"/>
        <w:jc w:val="center"/>
      </w:pPr>
      <w:r>
        <w:rPr>
          <w:b w:val="0"/>
          <w:color w:val="444444"/>
          <w:sz w:val="20"/>
        </w:rPr>
        <w:t>Quadro 8 — Desafios do projeto e soluções adotadas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Desafio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b/>
                <w:sz w:val="19"/>
              </w:rPr>
              <w:t>Solução adotada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Ausência de históricos para treinar IA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Modelo determinístico baseado em processos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Risco de virar 'caixa-preta'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Decomposição explicável (IPPD) + proveniência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Representar a incerteza climática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Monte Carlo (3.000 safras) sensível ao ENSO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Recomendações irrelevantes na tela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Critério de valor mínimo + priorização por urgência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Erros de ambiente na nuvem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Diagnóstico de dependências e banco; Docker reproduzível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Interface sobrecarregada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Repaginação por jornada + progressive disclosure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Cenário-demonstração fora de época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Ajuste para a safra vigente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Reprodutibilidade dos resultados</w:t>
            </w:r>
          </w:p>
        </w:tc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rFonts w:ascii="Times New Roman" w:hAnsi="Times New Roman"/>
                <w:sz w:val="19"/>
              </w:rPr>
              <w:t>124 testes + resultados gerados pelo próprio motor</w:t>
            </w:r>
          </w:p>
        </w:tc>
      </w:tr>
    </w:tbl>
    <w:p>
      <w:pPr>
        <w:spacing w:after="120"/>
      </w:pPr>
    </w:p>
    <w:p>
      <w:pPr>
        <w:pStyle w:val="Heading2"/>
      </w:pPr>
      <w:r>
        <w:t>6.3 Reflexão geral</w:t>
      </w:r>
    </w:p>
    <w:p>
      <w:pPr>
        <w:spacing w:after="120"/>
        <w:ind w:firstLine="720"/>
      </w:pPr>
      <w:r>
        <w:t>O desenvolvimento seguiu um ciclo iterativo — pesquisar, modelar, testar, criticar e refinar. A decisão inicial de priorizar um núcleo científico explicável, em vez de um modelo de aprendizado prematuro, sustentou todas as etapas seguintes e mostrou-se a escolha mais acertada do projeto. A crítica de usabilidade, no meio do percurso, ensinou que a experiência do usuário é parte inseparável de uma solução tecnológica. E o rigor de validar cada componente com testes automatizados deu ao trabalho a solidez necessária para ser defendido cientificamente. Mais do que um produto de software, o projeto proporcionou aprendizados sobre método científico, organização, trabalho em equipe, cumprimento de prazos e comunicação — competências que permanecerão para além da feira.</w:t>
      </w:r>
    </w:p>
    <w:p>
      <w:r>
        <w:br w:type="page"/>
      </w:r>
    </w:p>
    <w:p/>
    <w:p/>
    <w:p/>
    <w:p/>
    <w:p>
      <w:pPr>
        <w:spacing w:after="0"/>
        <w:jc w:val="center"/>
      </w:pPr>
      <w:r>
        <w:rPr>
          <w:b w:val="0"/>
          <w:sz w:val="52"/>
        </w:rPr>
        <w:t>🌱</w:t>
      </w:r>
    </w:p>
    <w:p>
      <w:pPr>
        <w:spacing w:after="0"/>
        <w:jc w:val="center"/>
      </w:pPr>
      <w:r>
        <w:rPr>
          <w:b/>
          <w:color w:val="1B5E20"/>
          <w:sz w:val="26"/>
        </w:rPr>
        <w:t>Diário de bordo — projeto FADA</w:t>
      </w:r>
    </w:p>
    <w:p>
      <w:pPr>
        <w:spacing w:after="0"/>
        <w:jc w:val="center"/>
      </w:pPr>
      <w:r>
        <w:rPr>
          <w:b w:val="0"/>
          <w:color w:val="444444"/>
          <w:sz w:val="20"/>
        </w:rPr>
        <w:t>Centro Tecnológico Frederico Jorge Logemann — Escola Aberta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