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Standard %</w:t>
            </w:r>
          </w:p>
        </w:tc>
        <w:tc>
          <w:tcPr>
            <w:tcBorders>
              <w:bottom w:val="single"/>
            </w:tcBorders>
            <w:vAlign w:val="bottom"/>
          </w:tcPr>
          <w:p>
            <w:pPr>
              <w:pStyle w:val="Compact"/>
              <w:jc w:val="right"/>
            </w:pPr>
            <w:r>
              <w:t xml:space="preserve">Alternate %</w:t>
            </w:r>
          </w:p>
        </w:tc>
      </w:tr>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1715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5135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2ca9d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