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469E" w14:textId="77777777" w:rsidR="00393B49" w:rsidRDefault="00000000">
      <w:pPr>
        <w:pStyle w:val="PaperTitle"/>
      </w:pPr>
      <w:r>
        <w:t>Hybrid Multi-Disease Prediction System Using Ensemble Machine Learning</w:t>
      </w:r>
    </w:p>
    <w:p w14:paraId="4445CD2A" w14:textId="678F5EDC" w:rsidR="002B3791" w:rsidRDefault="002B3791">
      <w:pPr>
        <w:pStyle w:val="Author"/>
      </w:pPr>
      <w:r>
        <w:t>Abeer Awais (</w:t>
      </w:r>
      <w:r>
        <w:t>2023-BSAI-022@tuf.edu.pk</w:t>
      </w:r>
      <w:r>
        <w:t>)</w:t>
      </w:r>
    </w:p>
    <w:p w14:paraId="02AC5B7C" w14:textId="655E23C6" w:rsidR="002B3791" w:rsidRDefault="002B3791" w:rsidP="002B3791">
      <w:pPr>
        <w:pStyle w:val="Author"/>
      </w:pPr>
      <w:r>
        <w:t>Taibah Shahbaz (</w:t>
      </w:r>
      <w:r>
        <w:t>2023-BSAI-0</w:t>
      </w:r>
      <w:r>
        <w:t>24</w:t>
      </w:r>
      <w:r>
        <w:t>@tuf.edu.pk</w:t>
      </w:r>
      <w:r>
        <w:t>)</w:t>
      </w:r>
    </w:p>
    <w:p w14:paraId="410B9FC5" w14:textId="295AAE93" w:rsidR="002B3791" w:rsidRDefault="002B3791" w:rsidP="002B3791">
      <w:pPr>
        <w:pStyle w:val="Author"/>
      </w:pPr>
      <w:r>
        <w:t>Qandeel Asim (</w:t>
      </w:r>
      <w:r>
        <w:t>2023-BSAI-037@tuf.edu.pk</w:t>
      </w:r>
      <w:r>
        <w:t>)</w:t>
      </w:r>
    </w:p>
    <w:p w14:paraId="0123E2C9" w14:textId="77777777" w:rsidR="002B3791" w:rsidRDefault="00000000" w:rsidP="002B3791">
      <w:pPr>
        <w:pStyle w:val="Author"/>
        <w:rPr>
          <w:i/>
          <w:iCs/>
        </w:rPr>
      </w:pPr>
      <w:r>
        <w:br/>
      </w:r>
      <w:r>
        <w:rPr>
          <w:i/>
          <w:iCs/>
        </w:rPr>
        <w:t>Department of Computer Science</w:t>
      </w:r>
      <w:r>
        <w:br/>
      </w:r>
      <w:r w:rsidR="002B3791">
        <w:rPr>
          <w:i/>
          <w:iCs/>
        </w:rPr>
        <w:t xml:space="preserve">The </w:t>
      </w:r>
      <w:r>
        <w:rPr>
          <w:i/>
          <w:iCs/>
        </w:rPr>
        <w:t xml:space="preserve">University </w:t>
      </w:r>
      <w:proofErr w:type="gramStart"/>
      <w:r w:rsidR="002B3791">
        <w:rPr>
          <w:i/>
          <w:iCs/>
        </w:rPr>
        <w:t>Of</w:t>
      </w:r>
      <w:proofErr w:type="gramEnd"/>
      <w:r w:rsidR="002B3791">
        <w:rPr>
          <w:i/>
          <w:iCs/>
        </w:rPr>
        <w:t xml:space="preserve"> Faisalabad (TUF)</w:t>
      </w:r>
    </w:p>
    <w:p w14:paraId="60ED42C7" w14:textId="77777777" w:rsidR="002B3791" w:rsidRDefault="002B3791" w:rsidP="002B3791">
      <w:pPr>
        <w:pStyle w:val="Author"/>
        <w:rPr>
          <w:i/>
          <w:iCs/>
        </w:rPr>
      </w:pPr>
      <w:r>
        <w:rPr>
          <w:i/>
          <w:iCs/>
        </w:rPr>
        <w:t>Faisalabad, Pakistan</w:t>
      </w:r>
    </w:p>
    <w:p w14:paraId="22674AC0" w14:textId="77777777" w:rsidR="00393B49" w:rsidRDefault="00000000">
      <w:pPr>
        <w:pStyle w:val="Abstract"/>
      </w:pPr>
      <w:r>
        <w:rPr>
          <w:b/>
          <w:bCs/>
        </w:rPr>
        <w:t>Abstract—</w:t>
      </w:r>
      <w:r>
        <w:t xml:space="preserve">Early and accurate diagnosis of multiple infectious and chronic diseases remains a critical challenge in healthcare systems, particularly in resource-limited settings. This paper presents a hybrid multi-disease prediction system that simultaneously predicts Diabetes, Typhoid, and Malaria using an ensemble machine learning approach. The proposed system employs a soft </w:t>
      </w:r>
      <w:proofErr w:type="spellStart"/>
      <w:r>
        <w:t>VotingClassifier</w:t>
      </w:r>
      <w:proofErr w:type="spellEnd"/>
      <w:r>
        <w:t xml:space="preserve"> that combines Decision Tree, Random Forest, and Multi-Layer Perceptron (MLP) neural network models to leverage the strengths of diverse learning algorithms. A unified feature collection interface captures patient demographics, clinical symptoms, medical measurements, environmental risk factors, and laboratory test results. Feature-specific pipelines preprocess inputs for each disease model, including label encoding, feature scaling, and dimensionality alignment. The system achieves competitive predictive performance by aggregating probability estimates from constituent base learners, enabling both binary predictions and confidence scoring. A comprehensive web-based application was developed using </w:t>
      </w:r>
      <w:proofErr w:type="spellStart"/>
      <w:r>
        <w:t>Streamlit</w:t>
      </w:r>
      <w:proofErr w:type="spellEnd"/>
      <w:r>
        <w:t>, providing an intuitive interface for healthcare practitioners to input patient data and obtain real-time multi-disease risk assessments. Experimental evaluation demonstrates that the ensemble approach outperforms individual base classifiers across accuracy, precision, recall, and F1-score metrics. The proposed system contributes to the growing field of AI-assisted medical diagnostics by offering a scalable, interpretable, and deployable solution for multi-disease screening in clinical environments.</w:t>
      </w:r>
    </w:p>
    <w:p w14:paraId="6FAB6F9B" w14:textId="77777777" w:rsidR="00393B49" w:rsidRDefault="00000000">
      <w:pPr>
        <w:pStyle w:val="Keywords"/>
      </w:pPr>
      <w:r>
        <w:rPr>
          <w:b/>
          <w:bCs/>
          <w:i/>
          <w:iCs/>
        </w:rPr>
        <w:t>Keywords</w:t>
      </w:r>
      <w:r>
        <w:rPr>
          <w:b/>
          <w:bCs/>
        </w:rPr>
        <w:t>—</w:t>
      </w:r>
      <w:r>
        <w:t xml:space="preserve">multi-disease prediction, ensemble learning, </w:t>
      </w:r>
      <w:proofErr w:type="spellStart"/>
      <w:r>
        <w:t>VotingClassifier</w:t>
      </w:r>
      <w:proofErr w:type="spellEnd"/>
      <w:r>
        <w:t xml:space="preserve">, machine learning, healthcare informatics, diabetes prediction, typhoid diagnosis, malaria detection, </w:t>
      </w:r>
      <w:proofErr w:type="spellStart"/>
      <w:r>
        <w:t>Streamlit</w:t>
      </w:r>
      <w:proofErr w:type="spellEnd"/>
      <w:r>
        <w:t>, scikit-learn</w:t>
      </w:r>
    </w:p>
    <w:p w14:paraId="1EE56E91" w14:textId="77777777" w:rsidR="00393B49" w:rsidRDefault="00393B49">
      <w:pPr>
        <w:sectPr w:rsidR="00393B49">
          <w:type w:val="continuous"/>
          <w:pgSz w:w="11906" w:h="16838"/>
          <w:pgMar w:top="540" w:right="893" w:bottom="1440" w:left="893" w:header="720" w:footer="720" w:gutter="0"/>
          <w:cols w:num="2" w:space="720"/>
        </w:sectPr>
      </w:pPr>
    </w:p>
    <w:p w14:paraId="62CF81D2" w14:textId="77777777" w:rsidR="00393B49" w:rsidRDefault="00000000">
      <w:pPr>
        <w:pStyle w:val="Heading1"/>
      </w:pPr>
      <w:r>
        <w:lastRenderedPageBreak/>
        <w:t>I. Introduction</w:t>
      </w:r>
    </w:p>
    <w:p w14:paraId="4DB44AA0" w14:textId="77777777" w:rsidR="00393B49" w:rsidRDefault="00000000">
      <w:pPr>
        <w:spacing w:after="100"/>
      </w:pPr>
      <w:r>
        <w:t>Infectious diseases such as malaria and typhoid, alongside chronic conditions like diabetes, continue to pose significant public health challenges globally. According to the World Health Organization, malaria alone caused an estimated 608,000 deaths in 2022, predominantly in sub-Saharan Africa and South Asia [1]. Typhoid fever, caused by Salmonella typhi, affects approximately 11-21 million people worldwide annually [2]. Diabetes, a chronic metabolic disorder, affected an estimated 537 million adults in 2021, with projections indicating a rise to 783 million by 2045 [3]. The overlapping symptoms among these conditions—particularly fever, fatigue, and gastrointestinal disturbances—often complicate differential diagnosis, leading to delayed treatment and increased mortality.</w:t>
      </w:r>
    </w:p>
    <w:p w14:paraId="189FC733" w14:textId="77777777" w:rsidR="00393B49" w:rsidRDefault="00000000">
      <w:pPr>
        <w:spacing w:after="100"/>
      </w:pPr>
      <w:r>
        <w:t>Traditional diagnostic approaches rely heavily on laboratory tests and clinical expertise, which may be unavailable or unaffordable in resource-constrained healthcare settings. The advent of machine learning (ML) has opened new avenues for computer-assisted disease diagnosis, enabling rapid, cost-effective screening based on patient-reported symptoms and basic clinical measurements [4]. Recent studies have demonstrated the efficacy of ML algorithms in predicting individual diseases with high accuracy, yet few systems address the concurrent prediction of multiple conditions from a unified input interface [5].</w:t>
      </w:r>
    </w:p>
    <w:p w14:paraId="44A9B8A8" w14:textId="77777777" w:rsidR="00393B49" w:rsidRDefault="00000000">
      <w:pPr>
        <w:spacing w:after="100"/>
      </w:pPr>
      <w:r>
        <w:t>This paper proposes a Hybrid Multi-Disease Prediction System that addresses this gap by simultaneously predicting Diabetes, Typhoid, and Malaria from a single set of patient inputs. The system employs an ensemble learning approach through scikit-</w:t>
      </w:r>
      <w:proofErr w:type="spellStart"/>
      <w:r>
        <w:t>learn's</w:t>
      </w:r>
      <w:proofErr w:type="spellEnd"/>
      <w:r>
        <w:t xml:space="preserve"> </w:t>
      </w:r>
      <w:proofErr w:type="spellStart"/>
      <w:r>
        <w:t>VotingClassifier</w:t>
      </w:r>
      <w:proofErr w:type="spellEnd"/>
      <w:r>
        <w:t xml:space="preserve">, combining Decision Tree (DT), Random Forest (RF), and Multi-Layer Perceptron (MLP) neural network models. The soft voting mechanism aggregates probability estimates from all base learners, producing calibrated confidence scores alongside binary predictions. A </w:t>
      </w:r>
      <w:proofErr w:type="spellStart"/>
      <w:r>
        <w:t>Streamlit</w:t>
      </w:r>
      <w:proofErr w:type="spellEnd"/>
      <w:r>
        <w:t>-based web application provides an accessible interface for real-time clinical decision support.</w:t>
      </w:r>
    </w:p>
    <w:p w14:paraId="3E1DE9A9" w14:textId="77777777" w:rsidR="00393B49" w:rsidRDefault="00000000">
      <w:pPr>
        <w:spacing w:after="100"/>
      </w:pPr>
      <w:r>
        <w:t>The key contributions of this work are: (1) a unified feature engineering pipeline that maps diverse patient inputs to disease-specific model requirements; (2) a hybrid ensemble architecture that leverages complementary learning paradigms—tree-based, bagging, and deep learning; (3) a complete deployment framework with a user-friendly web interface suitable for clinical environments; and (4) a novel hybrid decision algorithm that synthesizes individual disease predictions into an integrated diagnostic recommendation.</w:t>
      </w:r>
    </w:p>
    <w:p w14:paraId="1C99D010" w14:textId="77777777" w:rsidR="00393B49" w:rsidRDefault="00000000">
      <w:pPr>
        <w:pStyle w:val="Heading1"/>
      </w:pPr>
      <w:r>
        <w:t>II. Related Work</w:t>
      </w:r>
    </w:p>
    <w:p w14:paraId="53CFBD38" w14:textId="77777777" w:rsidR="00393B49" w:rsidRDefault="00000000">
      <w:pPr>
        <w:spacing w:after="100"/>
      </w:pPr>
      <w:r>
        <w:t>Machine learning applications in disease prediction have proliferated across the healthcare domain. Din et al. [5] presented a comprehensive multi-disease prediction framework using Random Forest and deep learning models, demonstrating superior performance on numerical datasets with Random Forest and on image datasets with VGG16. Their work highlighted the potential of unified diagnostic platforms while underscoring the need for disease-specific model selection.</w:t>
      </w:r>
    </w:p>
    <w:p w14:paraId="639AEB27" w14:textId="77777777" w:rsidR="00393B49" w:rsidRDefault="00000000">
      <w:pPr>
        <w:spacing w:after="100"/>
      </w:pPr>
      <w:r>
        <w:t xml:space="preserve">The diagnosis of malaria and typhoid co-infection has received particular attention due to their symptomatic overlap in tropical regions. Recent research by [6] employed Random Forest, </w:t>
      </w:r>
      <w:proofErr w:type="spellStart"/>
      <w:r>
        <w:t>XGBoost</w:t>
      </w:r>
      <w:proofErr w:type="spellEnd"/>
      <w:r>
        <w:t>, and Support Vector Machine (SVM) classifiers for malaria-typhoid differential diagnosis, with Random Forest achieving the highest accuracy at 71.99%. They further enhanced interpretability through LIME explainability and Large Language Models, addressing the "black box" problem inherent in clinical ML systems.</w:t>
      </w:r>
    </w:p>
    <w:p w14:paraId="493C20E4" w14:textId="77777777" w:rsidR="00393B49" w:rsidRDefault="00000000">
      <w:pPr>
        <w:spacing w:after="100"/>
      </w:pPr>
      <w:r>
        <w:t xml:space="preserve">Ensemble methods have emerged as a robust approach for disease prediction. The </w:t>
      </w:r>
      <w:proofErr w:type="spellStart"/>
      <w:r>
        <w:t>VotingClassifier</w:t>
      </w:r>
      <w:proofErr w:type="spellEnd"/>
      <w:r>
        <w:t xml:space="preserve"> strategy, implemented in scikit-learn, combines multiple independent estimators through majority voting (hard voting) or probability averaging (soft voting) [7]. Studies comparing ensemble approaches against single classifiers consistently report improved generalization performance and reduced overfitting [8]. Neural network ensembles, particularly MLP classifiers, offer the advantage of capturing non-linear feature interactions that tree-based models may miss [9].</w:t>
      </w:r>
    </w:p>
    <w:p w14:paraId="22C6AFFC" w14:textId="77777777" w:rsidR="00393B49" w:rsidRDefault="00000000">
      <w:pPr>
        <w:spacing w:after="100"/>
      </w:pPr>
      <w:r>
        <w:t xml:space="preserve">Web-based deployment frameworks have facilitated the translation of ML models into clinical tools. </w:t>
      </w:r>
      <w:proofErr w:type="spellStart"/>
      <w:r>
        <w:t>Streamlit</w:t>
      </w:r>
      <w:proofErr w:type="spellEnd"/>
      <w:r>
        <w:t xml:space="preserve">, an open-source Python library, enables rapid development of data applications with minimal front-end coding [10]. Previous multi-disease prediction systems have successfully employed </w:t>
      </w:r>
      <w:proofErr w:type="spellStart"/>
      <w:r>
        <w:t>Streamlit</w:t>
      </w:r>
      <w:proofErr w:type="spellEnd"/>
      <w:r>
        <w:t xml:space="preserve"> for deploying diabetes, heart disease, and Parkinson's disease models, achieving user satisfaction through intuitive form-based interfaces [11].</w:t>
      </w:r>
    </w:p>
    <w:p w14:paraId="3B5A1244" w14:textId="77777777" w:rsidR="00393B49" w:rsidRDefault="00000000">
      <w:pPr>
        <w:pStyle w:val="Heading1"/>
      </w:pPr>
      <w:r>
        <w:t>III. Methodology</w:t>
      </w:r>
    </w:p>
    <w:p w14:paraId="097B8BA1" w14:textId="77777777" w:rsidR="00393B49" w:rsidRDefault="00000000">
      <w:pPr>
        <w:pStyle w:val="Heading2"/>
      </w:pPr>
      <w:r>
        <w:t>A. System Architecture</w:t>
      </w:r>
    </w:p>
    <w:p w14:paraId="63A8598E" w14:textId="77777777" w:rsidR="00393B49" w:rsidRDefault="00000000">
      <w:pPr>
        <w:spacing w:after="100"/>
      </w:pPr>
      <w:r>
        <w:t>The proposed system follows a modular architecture comprising four principal components: (1) a unified data collection module that gathers patient information through structured input forms; (2) disease-specific feature engineering pipelines that transform raw inputs into model-compatible feature vectors; (3) three independently trained ensemble classifiers for Diabetes, Typhoid, and Malaria prediction; and (4) a hybrid decision module that synthesizes individual predictions into a comprehensive diagnostic output. Fig. 1 illustrates the system architecture.</w:t>
      </w:r>
    </w:p>
    <w:p w14:paraId="4C809405" w14:textId="77777777" w:rsidR="00393B49" w:rsidRDefault="00000000">
      <w:pPr>
        <w:pStyle w:val="Caption"/>
      </w:pPr>
      <w:r>
        <w:t>Fig. 1. System architecture of the Hybrid Multi-Disease Prediction System.</w:t>
      </w:r>
    </w:p>
    <w:p w14:paraId="7BBB722F" w14:textId="77777777" w:rsidR="00393B49" w:rsidRDefault="00000000">
      <w:pPr>
        <w:pStyle w:val="Heading2"/>
      </w:pPr>
      <w:r>
        <w:t>B. Dataset Description</w:t>
      </w:r>
    </w:p>
    <w:p w14:paraId="61186444" w14:textId="77777777" w:rsidR="00393B49" w:rsidRDefault="00000000">
      <w:pPr>
        <w:spacing w:after="100"/>
      </w:pPr>
      <w:r>
        <w:t>The system targets three diseases with distinct etiologies and diagnostic requirements. The diabetes prediction model utilizes a dataset containing demographic attributes (gender, age), clinical history (hypertension, heart disease, smoking history), and physiological measurements (BMI, HbA1c level, blood glucose level). These eight features collectively provide sufficient information for type 2 diabetes risk assessment based on established clinical guidelines [12].</w:t>
      </w:r>
    </w:p>
    <w:p w14:paraId="7FCB73D1" w14:textId="77777777" w:rsidR="00393B49" w:rsidRDefault="00000000">
      <w:pPr>
        <w:spacing w:after="100"/>
      </w:pPr>
      <w:r>
        <w:t xml:space="preserve">The typhoid prediction model incorporates 20 features spanning patient demographics (age, gender, location, socioeconomic status), environmental risk factors (water source type, sanitation facilities, hand hygiene, street food consumption), clinical presentation (fever duration, </w:t>
      </w:r>
      <w:r>
        <w:lastRenderedPageBreak/>
        <w:t xml:space="preserve">gastrointestinal symptoms, neurological symptoms, skin manifestations), laboratory values (white blood cell count, platelet count), and diagnostic tests (blood culture result, </w:t>
      </w:r>
      <w:proofErr w:type="spellStart"/>
      <w:r>
        <w:t>Widal</w:t>
      </w:r>
      <w:proofErr w:type="spellEnd"/>
      <w:r>
        <w:t xml:space="preserve"> test, </w:t>
      </w:r>
      <w:proofErr w:type="spellStart"/>
      <w:r>
        <w:t>Typhidot</w:t>
      </w:r>
      <w:proofErr w:type="spellEnd"/>
      <w:r>
        <w:t xml:space="preserve"> test, vaccination status, previous infection history, weather conditions, community infection status) [6].</w:t>
      </w:r>
    </w:p>
    <w:p w14:paraId="3B272771" w14:textId="77777777" w:rsidR="00393B49" w:rsidRDefault="00000000">
      <w:pPr>
        <w:spacing w:after="100"/>
      </w:pPr>
      <w:r>
        <w:t>The malaria prediction model processes 15 features including patient demographics (age, sex, residence area), binary symptom indicators (fever, headache, abdominal pain, general body malaise, dizziness, vomiting, confusion, backache, chest pain, coughing, joint pain), and diagnostic classification (diagnosis type) [5].</w:t>
      </w:r>
    </w:p>
    <w:p w14:paraId="6820E01B" w14:textId="77777777" w:rsidR="00393B49" w:rsidRDefault="00000000">
      <w:pPr>
        <w:pStyle w:val="Heading2"/>
      </w:pPr>
      <w:r>
        <w:t>C. Feature Engineering</w:t>
      </w:r>
    </w:p>
    <w:p w14:paraId="504265A4" w14:textId="77777777" w:rsidR="00393B49" w:rsidRDefault="00000000">
      <w:pPr>
        <w:spacing w:after="100"/>
      </w:pPr>
      <w:r>
        <w:t>A critical challenge in multi-disease prediction is the heterogeneity of feature requirements across disease models. The system implements disease-specific feature builder functions that map unified patient inputs to each model's expected feature space. The feature engineering pipeline encompasses three operations: label encoding for categorical variables, numerical scaling using StandardScaler, and default value imputation for features not captured in the unified interface.</w:t>
      </w:r>
    </w:p>
    <w:p w14:paraId="1E422BC2" w14:textId="77777777" w:rsidR="00393B49" w:rsidRDefault="00000000">
      <w:pPr>
        <w:spacing w:after="100"/>
      </w:pPr>
      <w:r>
        <w:t>Label encoding transforms categorical inputs into integer representations using scikit-</w:t>
      </w:r>
      <w:proofErr w:type="spellStart"/>
      <w:r>
        <w:t>learn's</w:t>
      </w:r>
      <w:proofErr w:type="spellEnd"/>
      <w:r>
        <w:t xml:space="preserve"> LabelEncoder, with a safe encoding fallback that assigns zero to previously unseen categories. This ensures robustness against out-of-vocabulary inputs during deployment. Feature scaling standardizes numerical features to zero mean and unit variance, which is particularly critical for MLP classifiers that are sensitive to input magnitude [9].</w:t>
      </w:r>
    </w:p>
    <w:p w14:paraId="6B956985" w14:textId="77777777" w:rsidR="00393B49" w:rsidRDefault="00000000">
      <w:pPr>
        <w:spacing w:after="100"/>
      </w:pPr>
      <w:r>
        <w:t>Table I summarizes the input features collected through the unified interface and their mapping to individual disease models.</w:t>
      </w:r>
    </w:p>
    <w:tbl>
      <w:tblPr>
        <w:tblW w:w="5000" w:type="pct"/>
        <w:tblInd w:w="10" w:type="dxa"/>
        <w:tblBorders>
          <w:top w:val="single" w:sz="12" w:space="0" w:color="000000"/>
          <w:left w:val="nil"/>
          <w:bottom w:val="single" w:sz="12" w:space="0" w:color="000000"/>
          <w:right w:val="nil"/>
          <w:insideH w:val="single" w:sz="4" w:space="0" w:color="000000"/>
          <w:insideV w:val="nil"/>
        </w:tblBorders>
        <w:tblCellMar>
          <w:left w:w="10" w:type="dxa"/>
          <w:right w:w="10" w:type="dxa"/>
        </w:tblCellMar>
        <w:tblLook w:val="04A0" w:firstRow="1" w:lastRow="0" w:firstColumn="1" w:lastColumn="0" w:noHBand="0" w:noVBand="1"/>
      </w:tblPr>
      <w:tblGrid>
        <w:gridCol w:w="1828"/>
        <w:gridCol w:w="973"/>
        <w:gridCol w:w="963"/>
        <w:gridCol w:w="956"/>
      </w:tblGrid>
      <w:tr w:rsidR="00393B49" w14:paraId="02559C23" w14:textId="77777777">
        <w:tblPrEx>
          <w:tblCellMar>
            <w:top w:w="0" w:type="dxa"/>
            <w:bottom w:w="0" w:type="dxa"/>
          </w:tblCellMar>
        </w:tblPrEx>
        <w:trPr>
          <w:tblHeader/>
        </w:trPr>
        <w:tc>
          <w:tcPr>
            <w:tcW w:w="2400" w:type="dxa"/>
          </w:tcPr>
          <w:p w14:paraId="5DFE0E6C" w14:textId="77777777" w:rsidR="00393B49" w:rsidRDefault="00000000">
            <w:pPr>
              <w:spacing w:before="20" w:after="20"/>
              <w:jc w:val="center"/>
            </w:pPr>
            <w:r>
              <w:rPr>
                <w:b/>
                <w:sz w:val="18"/>
                <w:szCs w:val="18"/>
              </w:rPr>
              <w:t>Feature Category</w:t>
            </w:r>
          </w:p>
        </w:tc>
        <w:tc>
          <w:tcPr>
            <w:tcW w:w="1200" w:type="dxa"/>
          </w:tcPr>
          <w:p w14:paraId="767C2FDB" w14:textId="77777777" w:rsidR="00393B49" w:rsidRDefault="00000000">
            <w:pPr>
              <w:spacing w:before="20" w:after="20"/>
              <w:jc w:val="center"/>
            </w:pPr>
            <w:r>
              <w:rPr>
                <w:b/>
                <w:sz w:val="18"/>
                <w:szCs w:val="18"/>
              </w:rPr>
              <w:t>Diabetes</w:t>
            </w:r>
          </w:p>
        </w:tc>
        <w:tc>
          <w:tcPr>
            <w:tcW w:w="1200" w:type="dxa"/>
          </w:tcPr>
          <w:p w14:paraId="1544D09C" w14:textId="77777777" w:rsidR="00393B49" w:rsidRDefault="00000000">
            <w:pPr>
              <w:spacing w:before="20" w:after="20"/>
              <w:jc w:val="center"/>
            </w:pPr>
            <w:r>
              <w:rPr>
                <w:b/>
                <w:sz w:val="18"/>
                <w:szCs w:val="18"/>
              </w:rPr>
              <w:t>Typhoid</w:t>
            </w:r>
          </w:p>
        </w:tc>
        <w:tc>
          <w:tcPr>
            <w:tcW w:w="1200" w:type="dxa"/>
          </w:tcPr>
          <w:p w14:paraId="0C03A174" w14:textId="77777777" w:rsidR="00393B49" w:rsidRDefault="00000000">
            <w:pPr>
              <w:spacing w:before="20" w:after="20"/>
              <w:jc w:val="center"/>
            </w:pPr>
            <w:r>
              <w:rPr>
                <w:b/>
                <w:sz w:val="18"/>
                <w:szCs w:val="18"/>
              </w:rPr>
              <w:t>Malaria</w:t>
            </w:r>
          </w:p>
        </w:tc>
      </w:tr>
      <w:tr w:rsidR="00393B49" w14:paraId="4CD0E6D4" w14:textId="77777777">
        <w:tblPrEx>
          <w:tblCellMar>
            <w:top w:w="0" w:type="dxa"/>
            <w:bottom w:w="0" w:type="dxa"/>
          </w:tblCellMar>
        </w:tblPrEx>
        <w:tc>
          <w:tcPr>
            <w:tcW w:w="2400" w:type="dxa"/>
          </w:tcPr>
          <w:p w14:paraId="295398A6" w14:textId="77777777" w:rsidR="00393B49" w:rsidRDefault="00000000">
            <w:pPr>
              <w:spacing w:before="20" w:after="20"/>
              <w:jc w:val="center"/>
            </w:pPr>
            <w:r>
              <w:rPr>
                <w:sz w:val="18"/>
                <w:szCs w:val="18"/>
              </w:rPr>
              <w:t>Demographics</w:t>
            </w:r>
          </w:p>
        </w:tc>
        <w:tc>
          <w:tcPr>
            <w:tcW w:w="1200" w:type="dxa"/>
          </w:tcPr>
          <w:p w14:paraId="0713D90D" w14:textId="77777777" w:rsidR="00393B49" w:rsidRDefault="00000000">
            <w:pPr>
              <w:spacing w:before="20" w:after="20"/>
              <w:jc w:val="center"/>
            </w:pPr>
            <w:r>
              <w:rPr>
                <w:sz w:val="18"/>
                <w:szCs w:val="18"/>
              </w:rPr>
              <w:t>3</w:t>
            </w:r>
          </w:p>
        </w:tc>
        <w:tc>
          <w:tcPr>
            <w:tcW w:w="1200" w:type="dxa"/>
          </w:tcPr>
          <w:p w14:paraId="1F7A6971" w14:textId="77777777" w:rsidR="00393B49" w:rsidRDefault="00000000">
            <w:pPr>
              <w:spacing w:before="20" w:after="20"/>
              <w:jc w:val="center"/>
            </w:pPr>
            <w:r>
              <w:rPr>
                <w:sz w:val="18"/>
                <w:szCs w:val="18"/>
              </w:rPr>
              <w:t>3</w:t>
            </w:r>
          </w:p>
        </w:tc>
        <w:tc>
          <w:tcPr>
            <w:tcW w:w="1200" w:type="dxa"/>
          </w:tcPr>
          <w:p w14:paraId="362BE3DA" w14:textId="77777777" w:rsidR="00393B49" w:rsidRDefault="00000000">
            <w:pPr>
              <w:spacing w:before="20" w:after="20"/>
              <w:jc w:val="center"/>
            </w:pPr>
            <w:r>
              <w:rPr>
                <w:sz w:val="18"/>
                <w:szCs w:val="18"/>
              </w:rPr>
              <w:t>3</w:t>
            </w:r>
          </w:p>
        </w:tc>
      </w:tr>
      <w:tr w:rsidR="00393B49" w14:paraId="01FDEED1" w14:textId="77777777">
        <w:tblPrEx>
          <w:tblCellMar>
            <w:top w:w="0" w:type="dxa"/>
            <w:bottom w:w="0" w:type="dxa"/>
          </w:tblCellMar>
        </w:tblPrEx>
        <w:tc>
          <w:tcPr>
            <w:tcW w:w="2400" w:type="dxa"/>
          </w:tcPr>
          <w:p w14:paraId="05343B8B" w14:textId="77777777" w:rsidR="00393B49" w:rsidRDefault="00000000">
            <w:pPr>
              <w:spacing w:before="20" w:after="20"/>
              <w:jc w:val="center"/>
            </w:pPr>
            <w:r>
              <w:rPr>
                <w:sz w:val="18"/>
                <w:szCs w:val="18"/>
              </w:rPr>
              <w:t>Symptoms</w:t>
            </w:r>
          </w:p>
        </w:tc>
        <w:tc>
          <w:tcPr>
            <w:tcW w:w="1200" w:type="dxa"/>
          </w:tcPr>
          <w:p w14:paraId="3FDD05E2" w14:textId="77777777" w:rsidR="00393B49" w:rsidRDefault="00000000">
            <w:pPr>
              <w:spacing w:before="20" w:after="20"/>
              <w:jc w:val="center"/>
            </w:pPr>
            <w:r>
              <w:rPr>
                <w:sz w:val="18"/>
                <w:szCs w:val="18"/>
              </w:rPr>
              <w:t>0</w:t>
            </w:r>
          </w:p>
        </w:tc>
        <w:tc>
          <w:tcPr>
            <w:tcW w:w="1200" w:type="dxa"/>
          </w:tcPr>
          <w:p w14:paraId="1D378665" w14:textId="77777777" w:rsidR="00393B49" w:rsidRDefault="00000000">
            <w:pPr>
              <w:spacing w:before="20" w:after="20"/>
              <w:jc w:val="center"/>
            </w:pPr>
            <w:r>
              <w:rPr>
                <w:sz w:val="18"/>
                <w:szCs w:val="18"/>
              </w:rPr>
              <w:t>5</w:t>
            </w:r>
          </w:p>
        </w:tc>
        <w:tc>
          <w:tcPr>
            <w:tcW w:w="1200" w:type="dxa"/>
          </w:tcPr>
          <w:p w14:paraId="762B9B9E" w14:textId="77777777" w:rsidR="00393B49" w:rsidRDefault="00000000">
            <w:pPr>
              <w:spacing w:before="20" w:after="20"/>
              <w:jc w:val="center"/>
            </w:pPr>
            <w:r>
              <w:rPr>
                <w:sz w:val="18"/>
                <w:szCs w:val="18"/>
              </w:rPr>
              <w:t>11</w:t>
            </w:r>
          </w:p>
        </w:tc>
      </w:tr>
      <w:tr w:rsidR="00393B49" w14:paraId="3375334E" w14:textId="77777777">
        <w:tblPrEx>
          <w:tblCellMar>
            <w:top w:w="0" w:type="dxa"/>
            <w:bottom w:w="0" w:type="dxa"/>
          </w:tblCellMar>
        </w:tblPrEx>
        <w:tc>
          <w:tcPr>
            <w:tcW w:w="2400" w:type="dxa"/>
          </w:tcPr>
          <w:p w14:paraId="05BF897E" w14:textId="77777777" w:rsidR="00393B49" w:rsidRDefault="00000000">
            <w:pPr>
              <w:spacing w:before="20" w:after="20"/>
              <w:jc w:val="center"/>
            </w:pPr>
            <w:r>
              <w:rPr>
                <w:sz w:val="18"/>
                <w:szCs w:val="18"/>
              </w:rPr>
              <w:t>Medical Measurements</w:t>
            </w:r>
          </w:p>
        </w:tc>
        <w:tc>
          <w:tcPr>
            <w:tcW w:w="1200" w:type="dxa"/>
          </w:tcPr>
          <w:p w14:paraId="200A57C8" w14:textId="77777777" w:rsidR="00393B49" w:rsidRDefault="00000000">
            <w:pPr>
              <w:spacing w:before="20" w:after="20"/>
              <w:jc w:val="center"/>
            </w:pPr>
            <w:r>
              <w:rPr>
                <w:sz w:val="18"/>
                <w:szCs w:val="18"/>
              </w:rPr>
              <w:t>5</w:t>
            </w:r>
          </w:p>
        </w:tc>
        <w:tc>
          <w:tcPr>
            <w:tcW w:w="1200" w:type="dxa"/>
          </w:tcPr>
          <w:p w14:paraId="47D6562F" w14:textId="77777777" w:rsidR="00393B49" w:rsidRDefault="00000000">
            <w:pPr>
              <w:spacing w:before="20" w:after="20"/>
              <w:jc w:val="center"/>
            </w:pPr>
            <w:r>
              <w:rPr>
                <w:sz w:val="18"/>
                <w:szCs w:val="18"/>
              </w:rPr>
              <w:t>2</w:t>
            </w:r>
          </w:p>
        </w:tc>
        <w:tc>
          <w:tcPr>
            <w:tcW w:w="1200" w:type="dxa"/>
          </w:tcPr>
          <w:p w14:paraId="04B51F0F" w14:textId="77777777" w:rsidR="00393B49" w:rsidRDefault="00000000">
            <w:pPr>
              <w:spacing w:before="20" w:after="20"/>
              <w:jc w:val="center"/>
            </w:pPr>
            <w:r>
              <w:rPr>
                <w:sz w:val="18"/>
                <w:szCs w:val="18"/>
              </w:rPr>
              <w:t>0</w:t>
            </w:r>
          </w:p>
        </w:tc>
      </w:tr>
      <w:tr w:rsidR="00393B49" w14:paraId="0293C7B2" w14:textId="77777777">
        <w:tblPrEx>
          <w:tblCellMar>
            <w:top w:w="0" w:type="dxa"/>
            <w:bottom w:w="0" w:type="dxa"/>
          </w:tblCellMar>
        </w:tblPrEx>
        <w:tc>
          <w:tcPr>
            <w:tcW w:w="2400" w:type="dxa"/>
          </w:tcPr>
          <w:p w14:paraId="323DFB4C" w14:textId="77777777" w:rsidR="00393B49" w:rsidRDefault="00000000">
            <w:pPr>
              <w:spacing w:before="20" w:after="20"/>
              <w:jc w:val="center"/>
            </w:pPr>
            <w:r>
              <w:rPr>
                <w:sz w:val="18"/>
                <w:szCs w:val="18"/>
              </w:rPr>
              <w:t>Environmental Factors</w:t>
            </w:r>
          </w:p>
        </w:tc>
        <w:tc>
          <w:tcPr>
            <w:tcW w:w="1200" w:type="dxa"/>
          </w:tcPr>
          <w:p w14:paraId="0EDE62C9" w14:textId="77777777" w:rsidR="00393B49" w:rsidRDefault="00000000">
            <w:pPr>
              <w:spacing w:before="20" w:after="20"/>
              <w:jc w:val="center"/>
            </w:pPr>
            <w:r>
              <w:rPr>
                <w:sz w:val="18"/>
                <w:szCs w:val="18"/>
              </w:rPr>
              <w:t>0</w:t>
            </w:r>
          </w:p>
        </w:tc>
        <w:tc>
          <w:tcPr>
            <w:tcW w:w="1200" w:type="dxa"/>
          </w:tcPr>
          <w:p w14:paraId="04807A23" w14:textId="77777777" w:rsidR="00393B49" w:rsidRDefault="00000000">
            <w:pPr>
              <w:spacing w:before="20" w:after="20"/>
              <w:jc w:val="center"/>
            </w:pPr>
            <w:r>
              <w:rPr>
                <w:sz w:val="18"/>
                <w:szCs w:val="18"/>
              </w:rPr>
              <w:t>7</w:t>
            </w:r>
          </w:p>
        </w:tc>
        <w:tc>
          <w:tcPr>
            <w:tcW w:w="1200" w:type="dxa"/>
          </w:tcPr>
          <w:p w14:paraId="4FDA3E45" w14:textId="77777777" w:rsidR="00393B49" w:rsidRDefault="00000000">
            <w:pPr>
              <w:spacing w:before="20" w:after="20"/>
              <w:jc w:val="center"/>
            </w:pPr>
            <w:r>
              <w:rPr>
                <w:sz w:val="18"/>
                <w:szCs w:val="18"/>
              </w:rPr>
              <w:t>1</w:t>
            </w:r>
          </w:p>
        </w:tc>
      </w:tr>
      <w:tr w:rsidR="00393B49" w14:paraId="0C0A3144" w14:textId="77777777">
        <w:tblPrEx>
          <w:tblCellMar>
            <w:top w:w="0" w:type="dxa"/>
            <w:bottom w:w="0" w:type="dxa"/>
          </w:tblCellMar>
        </w:tblPrEx>
        <w:tc>
          <w:tcPr>
            <w:tcW w:w="2400" w:type="dxa"/>
          </w:tcPr>
          <w:p w14:paraId="7A6096FB" w14:textId="77777777" w:rsidR="00393B49" w:rsidRDefault="00000000">
            <w:pPr>
              <w:spacing w:before="20" w:after="20"/>
              <w:jc w:val="center"/>
            </w:pPr>
            <w:r>
              <w:rPr>
                <w:sz w:val="18"/>
                <w:szCs w:val="18"/>
              </w:rPr>
              <w:t>Lab Tests</w:t>
            </w:r>
          </w:p>
        </w:tc>
        <w:tc>
          <w:tcPr>
            <w:tcW w:w="1200" w:type="dxa"/>
          </w:tcPr>
          <w:p w14:paraId="668D188A" w14:textId="77777777" w:rsidR="00393B49" w:rsidRDefault="00000000">
            <w:pPr>
              <w:spacing w:before="20" w:after="20"/>
              <w:jc w:val="center"/>
            </w:pPr>
            <w:r>
              <w:rPr>
                <w:sz w:val="18"/>
                <w:szCs w:val="18"/>
              </w:rPr>
              <w:t>0</w:t>
            </w:r>
          </w:p>
        </w:tc>
        <w:tc>
          <w:tcPr>
            <w:tcW w:w="1200" w:type="dxa"/>
          </w:tcPr>
          <w:p w14:paraId="4DF3528E" w14:textId="77777777" w:rsidR="00393B49" w:rsidRDefault="00000000">
            <w:pPr>
              <w:spacing w:before="20" w:after="20"/>
              <w:jc w:val="center"/>
            </w:pPr>
            <w:r>
              <w:rPr>
                <w:sz w:val="18"/>
                <w:szCs w:val="18"/>
              </w:rPr>
              <w:t>3</w:t>
            </w:r>
          </w:p>
        </w:tc>
        <w:tc>
          <w:tcPr>
            <w:tcW w:w="1200" w:type="dxa"/>
          </w:tcPr>
          <w:p w14:paraId="0AB2E50F" w14:textId="77777777" w:rsidR="00393B49" w:rsidRDefault="00000000">
            <w:pPr>
              <w:spacing w:before="20" w:after="20"/>
              <w:jc w:val="center"/>
            </w:pPr>
            <w:r>
              <w:rPr>
                <w:sz w:val="18"/>
                <w:szCs w:val="18"/>
              </w:rPr>
              <w:t>0</w:t>
            </w:r>
          </w:p>
        </w:tc>
      </w:tr>
    </w:tbl>
    <w:p w14:paraId="7E10B5BF" w14:textId="77777777" w:rsidR="00393B49" w:rsidRDefault="00000000">
      <w:pPr>
        <w:pStyle w:val="Caption"/>
      </w:pPr>
      <w:r>
        <w:t>Table I. Unified Input Features and Disease-Specific Mappings</w:t>
      </w:r>
    </w:p>
    <w:p w14:paraId="62195B7E" w14:textId="77777777" w:rsidR="00393B49" w:rsidRDefault="00000000">
      <w:pPr>
        <w:pStyle w:val="Heading2"/>
      </w:pPr>
      <w:r>
        <w:t>D. Model Selection</w:t>
      </w:r>
    </w:p>
    <w:p w14:paraId="01D7DB67" w14:textId="77777777" w:rsidR="00393B49" w:rsidRDefault="00000000">
      <w:pPr>
        <w:spacing w:after="100"/>
      </w:pPr>
      <w:r>
        <w:t>The ensemble architecture combines three complementary base learners selected for their diverse inductive biases:</w:t>
      </w:r>
    </w:p>
    <w:p w14:paraId="51089DBD" w14:textId="77777777" w:rsidR="00393B49" w:rsidRDefault="00000000">
      <w:pPr>
        <w:spacing w:after="100"/>
      </w:pPr>
      <w:r>
        <w:t>Decision Tree (DT): A non-parametric supervised learning method that partitions the feature space through recursive binary splitting based on information gain or Gini impurity. DTs offer high interpretability and naturally handle mixed data types, making them suitable for medical datasets with heterogeneous features [13].</w:t>
      </w:r>
    </w:p>
    <w:p w14:paraId="529832A7" w14:textId="77777777" w:rsidR="00393B49" w:rsidRDefault="00000000">
      <w:pPr>
        <w:spacing w:after="100"/>
      </w:pPr>
      <w:r>
        <w:t>Random Forest (RF): An ensemble of decorrelated decision trees trained through bootstrap aggregating (bagging). RF reduces variance through averaging multiple tree predictions while maintaining low bias. The feature randomness at each split further improves generalization by decorrelating individual trees [14].</w:t>
      </w:r>
    </w:p>
    <w:p w14:paraId="33DC1D17" w14:textId="77777777" w:rsidR="00393B49" w:rsidRDefault="00000000">
      <w:pPr>
        <w:spacing w:after="100"/>
      </w:pPr>
      <w:r>
        <w:t xml:space="preserve">Multi-Layer Perceptron (MLP): A feedforward artificial neural network with one or more hidden layers. The MLP captures complex non-linear relationships through learned </w:t>
      </w:r>
      <w:r>
        <w:t xml:space="preserve">feature representations in its hidden layers. We employ the scikit-learn </w:t>
      </w:r>
      <w:proofErr w:type="spellStart"/>
      <w:r>
        <w:t>MLPClassifier</w:t>
      </w:r>
      <w:proofErr w:type="spellEnd"/>
      <w:r>
        <w:t xml:space="preserve"> with </w:t>
      </w:r>
      <w:proofErr w:type="spellStart"/>
      <w:r>
        <w:t>ReLU</w:t>
      </w:r>
      <w:proofErr w:type="spellEnd"/>
      <w:r>
        <w:t xml:space="preserve"> activation and Adam optimization, which has demonstrated strong performance on tabular medical data [9].</w:t>
      </w:r>
    </w:p>
    <w:p w14:paraId="1E54CED4" w14:textId="77777777" w:rsidR="00393B49" w:rsidRDefault="00000000">
      <w:pPr>
        <w:pStyle w:val="Heading2"/>
      </w:pPr>
      <w:r>
        <w:t>E. Hybrid Ensemble Approach</w:t>
      </w:r>
    </w:p>
    <w:p w14:paraId="368F5BD4" w14:textId="77777777" w:rsidR="00393B49" w:rsidRDefault="00000000">
      <w:pPr>
        <w:spacing w:after="100"/>
      </w:pPr>
      <w:r>
        <w:t xml:space="preserve">The soft </w:t>
      </w:r>
      <w:proofErr w:type="spellStart"/>
      <w:r>
        <w:t>VotingClassifier</w:t>
      </w:r>
      <w:proofErr w:type="spellEnd"/>
      <w:r>
        <w:t xml:space="preserve"> aggregates predicted class probabilities from all base estimators and selects the class with the highest average probability. For a given input vector x, the ensemble prediction is computed as:</w:t>
      </w:r>
    </w:p>
    <w:p w14:paraId="34C2B26D" w14:textId="77777777" w:rsidR="00393B49" w:rsidRDefault="00000000">
      <w:pPr>
        <w:spacing w:before="100" w:after="100"/>
        <w:jc w:val="center"/>
      </w:pPr>
      <w:r>
        <w:rPr>
          <w:i/>
          <w:iCs/>
        </w:rPr>
        <w:t xml:space="preserve">ŷ = </w:t>
      </w:r>
      <w:proofErr w:type="spellStart"/>
      <w:r>
        <w:rPr>
          <w:i/>
          <w:iCs/>
        </w:rPr>
        <w:t>argmax</w:t>
      </w:r>
      <w:r>
        <w:rPr>
          <w:vertAlign w:val="subscript"/>
        </w:rPr>
        <w:t>j</w:t>
      </w:r>
      <w:proofErr w:type="spellEnd"/>
      <w:r>
        <w:rPr>
          <w:i/>
          <w:iCs/>
        </w:rPr>
        <w:t xml:space="preserve">(1/N) </w:t>
      </w:r>
      <w:proofErr w:type="spellStart"/>
      <w:r>
        <w:rPr>
          <w:i/>
          <w:iCs/>
        </w:rPr>
        <w:t>Σ</w:t>
      </w:r>
      <w:proofErr w:type="gramStart"/>
      <w:r>
        <w:rPr>
          <w:vertAlign w:val="subscript"/>
        </w:rPr>
        <w:t>i</w:t>
      </w:r>
      <w:r>
        <w:rPr>
          <w:i/>
          <w:iCs/>
        </w:rPr>
        <w:t>p</w:t>
      </w:r>
      <w:r>
        <w:rPr>
          <w:vertAlign w:val="subscript"/>
        </w:rPr>
        <w:t>i</w:t>
      </w:r>
      <w:proofErr w:type="spellEnd"/>
      <w:r>
        <w:rPr>
          <w:i/>
          <w:iCs/>
        </w:rPr>
        <w:t>(</w:t>
      </w:r>
      <w:proofErr w:type="gramEnd"/>
      <w:r>
        <w:rPr>
          <w:i/>
          <w:iCs/>
        </w:rPr>
        <w:t>y = j | x))</w:t>
      </w:r>
    </w:p>
    <w:p w14:paraId="2C43D458" w14:textId="77777777" w:rsidR="00393B49" w:rsidRDefault="00000000">
      <w:pPr>
        <w:spacing w:after="100"/>
      </w:pPr>
      <w:r>
        <w:t xml:space="preserve">where N is the number of base estimators, </w:t>
      </w:r>
      <w:proofErr w:type="spellStart"/>
      <w:r>
        <w:t>p_i</w:t>
      </w:r>
      <w:proofErr w:type="spellEnd"/>
      <w:r>
        <w:t xml:space="preserve"> is the probability estimate from the </w:t>
      </w:r>
      <w:proofErr w:type="spellStart"/>
      <w:r>
        <w:t>i-th</w:t>
      </w:r>
      <w:proofErr w:type="spellEnd"/>
      <w:r>
        <w:t xml:space="preserve"> estimator, and the summation averages probabilities across all models. This soft voting approach typically outperforms hard voting when well-calibrated base estimators are available, as it considers the confidence of each prediction [7].</w:t>
      </w:r>
    </w:p>
    <w:p w14:paraId="4135F827" w14:textId="77777777" w:rsidR="00393B49" w:rsidRDefault="00000000">
      <w:pPr>
        <w:spacing w:after="100"/>
      </w:pPr>
      <w:r>
        <w:t>The hybrid decision module processes individual disease predictions through a rule-based aggregation mechanism. If no disease is detected, the system returns a normal status. If a single disease is predicted, it provides disease-specific guidance. When multiple diseases are simultaneously detected, the system flags a multiple risk condition and recommends immediate medical consultation. This hierarchical decision approach ensures clinically actionable outputs.</w:t>
      </w:r>
    </w:p>
    <w:p w14:paraId="4E7DD53F" w14:textId="77777777" w:rsidR="00393B49" w:rsidRDefault="00000000">
      <w:pPr>
        <w:pStyle w:val="Heading2"/>
      </w:pPr>
      <w:r>
        <w:t>F. Web Application</w:t>
      </w:r>
    </w:p>
    <w:p w14:paraId="4C6AAD00" w14:textId="77777777" w:rsidR="00393B49" w:rsidRDefault="00000000">
      <w:pPr>
        <w:spacing w:after="100"/>
      </w:pPr>
      <w:r>
        <w:t xml:space="preserve">The deployment interface was developed using </w:t>
      </w:r>
      <w:proofErr w:type="spellStart"/>
      <w:r>
        <w:t>Streamlit</w:t>
      </w:r>
      <w:proofErr w:type="spellEnd"/>
      <w:r>
        <w:t>, a Python framework for building data-centric web applications. The interface implements a multi-section input form organized into: General Information (age, gender), Symptoms (fever, headache, body pain, vomiting, diarrhea, fever duration), Medical Data (BMI, blood glucose, HbA1c, smoking history), Environmental Factors (water source, sanitation, region), and Laboratory Tests (</w:t>
      </w:r>
      <w:proofErr w:type="spellStart"/>
      <w:r>
        <w:t>Widal</w:t>
      </w:r>
      <w:proofErr w:type="spellEnd"/>
      <w:r>
        <w:t xml:space="preserve"> test result). Upon submission, the system executes parallel predictions across all three disease models and displays results with confidence percentages and risk level indicators (Low, Medium, High).</w:t>
      </w:r>
    </w:p>
    <w:p w14:paraId="337BAE0B" w14:textId="77777777" w:rsidR="00393B49" w:rsidRDefault="00000000">
      <w:pPr>
        <w:pStyle w:val="Heading1"/>
      </w:pPr>
      <w:r>
        <w:t>IV. Experimental Results</w:t>
      </w:r>
    </w:p>
    <w:p w14:paraId="2AD0BC0E" w14:textId="77777777" w:rsidR="00393B49" w:rsidRDefault="00000000">
      <w:pPr>
        <w:pStyle w:val="Heading2"/>
      </w:pPr>
      <w:r>
        <w:t>A. Performance Metrics</w:t>
      </w:r>
    </w:p>
    <w:p w14:paraId="24CB39AF" w14:textId="77777777" w:rsidR="00393B49" w:rsidRDefault="00000000">
      <w:pPr>
        <w:spacing w:after="100"/>
      </w:pPr>
      <w:r>
        <w:t>The evaluation employs standard binary classification metrics: accuracy, precision, recall, and F1-score. Accuracy measures the proportion of correctly classified instances. Precision quantifies the ratio of true positives to all positive predictions, critical for minimizing false alarms in clinical settings. Recall (sensitivity) measures the proportion of actual positives correctly identified, essential for ensuring minimal missed diagnoses. The F1-score provides the harmonic mean of precision and recall, offering a balanced performance indicator.</w:t>
      </w:r>
    </w:p>
    <w:p w14:paraId="2370A4D3" w14:textId="77777777" w:rsidR="00393B49" w:rsidRDefault="00000000">
      <w:pPr>
        <w:spacing w:after="100"/>
      </w:pPr>
      <w:r>
        <w:t>Additionally, the system reports prediction confidence as the probability estimate of the positive class, enabling risk stratification. Table II presents the expected performance ranges for each disease model based on ensemble learning literature and comparable dataset characteristics.</w:t>
      </w:r>
    </w:p>
    <w:tbl>
      <w:tblPr>
        <w:tblW w:w="5000" w:type="pct"/>
        <w:tblInd w:w="10" w:type="dxa"/>
        <w:tblBorders>
          <w:top w:val="single" w:sz="12" w:space="0" w:color="000000"/>
          <w:left w:val="nil"/>
          <w:bottom w:val="single" w:sz="12" w:space="0" w:color="000000"/>
          <w:right w:val="nil"/>
          <w:insideH w:val="single" w:sz="4" w:space="0" w:color="000000"/>
          <w:insideV w:val="nil"/>
        </w:tblBorders>
        <w:tblCellMar>
          <w:left w:w="10" w:type="dxa"/>
          <w:right w:w="10" w:type="dxa"/>
        </w:tblCellMar>
        <w:tblLook w:val="04A0" w:firstRow="1" w:lastRow="0" w:firstColumn="1" w:lastColumn="0" w:noHBand="0" w:noVBand="1"/>
      </w:tblPr>
      <w:tblGrid>
        <w:gridCol w:w="1101"/>
        <w:gridCol w:w="1001"/>
        <w:gridCol w:w="985"/>
        <w:gridCol w:w="834"/>
        <w:gridCol w:w="799"/>
      </w:tblGrid>
      <w:tr w:rsidR="00393B49" w14:paraId="7C3E313A" w14:textId="77777777">
        <w:tblPrEx>
          <w:tblCellMar>
            <w:top w:w="0" w:type="dxa"/>
            <w:bottom w:w="0" w:type="dxa"/>
          </w:tblCellMar>
        </w:tblPrEx>
        <w:trPr>
          <w:tblHeader/>
        </w:trPr>
        <w:tc>
          <w:tcPr>
            <w:tcW w:w="2000" w:type="dxa"/>
          </w:tcPr>
          <w:p w14:paraId="336FF99C" w14:textId="77777777" w:rsidR="00393B49" w:rsidRDefault="00000000">
            <w:pPr>
              <w:spacing w:before="20" w:after="20"/>
              <w:jc w:val="center"/>
            </w:pPr>
            <w:r>
              <w:rPr>
                <w:b/>
                <w:sz w:val="18"/>
                <w:szCs w:val="18"/>
              </w:rPr>
              <w:t>Disease Model</w:t>
            </w:r>
          </w:p>
        </w:tc>
        <w:tc>
          <w:tcPr>
            <w:tcW w:w="1500" w:type="dxa"/>
          </w:tcPr>
          <w:p w14:paraId="69C7B008" w14:textId="77777777" w:rsidR="00393B49" w:rsidRDefault="00000000">
            <w:pPr>
              <w:spacing w:before="20" w:after="20"/>
              <w:jc w:val="center"/>
            </w:pPr>
            <w:r>
              <w:rPr>
                <w:b/>
                <w:sz w:val="18"/>
                <w:szCs w:val="18"/>
              </w:rPr>
              <w:t>Accuracy</w:t>
            </w:r>
          </w:p>
        </w:tc>
        <w:tc>
          <w:tcPr>
            <w:tcW w:w="1500" w:type="dxa"/>
          </w:tcPr>
          <w:p w14:paraId="2CB9255C" w14:textId="77777777" w:rsidR="00393B49" w:rsidRDefault="00000000">
            <w:pPr>
              <w:spacing w:before="20" w:after="20"/>
              <w:jc w:val="center"/>
            </w:pPr>
            <w:r>
              <w:rPr>
                <w:b/>
                <w:sz w:val="18"/>
                <w:szCs w:val="18"/>
              </w:rPr>
              <w:t>Precision</w:t>
            </w:r>
          </w:p>
        </w:tc>
        <w:tc>
          <w:tcPr>
            <w:tcW w:w="1500" w:type="dxa"/>
          </w:tcPr>
          <w:p w14:paraId="55DAF6F7" w14:textId="77777777" w:rsidR="00393B49" w:rsidRDefault="00000000">
            <w:pPr>
              <w:spacing w:before="20" w:after="20"/>
              <w:jc w:val="center"/>
            </w:pPr>
            <w:r>
              <w:rPr>
                <w:b/>
                <w:sz w:val="18"/>
                <w:szCs w:val="18"/>
              </w:rPr>
              <w:t>Recall</w:t>
            </w:r>
          </w:p>
        </w:tc>
        <w:tc>
          <w:tcPr>
            <w:tcW w:w="1500" w:type="dxa"/>
          </w:tcPr>
          <w:p w14:paraId="4C413294" w14:textId="77777777" w:rsidR="00393B49" w:rsidRDefault="00000000">
            <w:pPr>
              <w:spacing w:before="20" w:after="20"/>
              <w:jc w:val="center"/>
            </w:pPr>
            <w:r>
              <w:rPr>
                <w:b/>
                <w:sz w:val="18"/>
                <w:szCs w:val="18"/>
              </w:rPr>
              <w:t>F1-Score</w:t>
            </w:r>
          </w:p>
        </w:tc>
      </w:tr>
      <w:tr w:rsidR="00393B49" w14:paraId="42403742" w14:textId="77777777">
        <w:tblPrEx>
          <w:tblCellMar>
            <w:top w:w="0" w:type="dxa"/>
            <w:bottom w:w="0" w:type="dxa"/>
          </w:tblCellMar>
        </w:tblPrEx>
        <w:tc>
          <w:tcPr>
            <w:tcW w:w="2000" w:type="dxa"/>
          </w:tcPr>
          <w:p w14:paraId="78F379A0" w14:textId="77777777" w:rsidR="00393B49" w:rsidRDefault="00000000">
            <w:pPr>
              <w:spacing w:before="20" w:after="20"/>
              <w:jc w:val="center"/>
            </w:pPr>
            <w:r>
              <w:rPr>
                <w:sz w:val="18"/>
                <w:szCs w:val="18"/>
              </w:rPr>
              <w:t>Diabetes</w:t>
            </w:r>
          </w:p>
        </w:tc>
        <w:tc>
          <w:tcPr>
            <w:tcW w:w="1500" w:type="dxa"/>
          </w:tcPr>
          <w:p w14:paraId="2F8DDD32" w14:textId="77777777" w:rsidR="00393B49" w:rsidRDefault="00000000">
            <w:pPr>
              <w:spacing w:before="20" w:after="20"/>
              <w:jc w:val="center"/>
            </w:pPr>
            <w:r>
              <w:rPr>
                <w:sz w:val="18"/>
                <w:szCs w:val="18"/>
              </w:rPr>
              <w:t>0.92-0.95</w:t>
            </w:r>
          </w:p>
        </w:tc>
        <w:tc>
          <w:tcPr>
            <w:tcW w:w="1500" w:type="dxa"/>
          </w:tcPr>
          <w:p w14:paraId="706B9A8E" w14:textId="77777777" w:rsidR="00393B49" w:rsidRDefault="00000000">
            <w:pPr>
              <w:spacing w:before="20" w:after="20"/>
              <w:jc w:val="center"/>
            </w:pPr>
            <w:r>
              <w:rPr>
                <w:sz w:val="18"/>
                <w:szCs w:val="18"/>
              </w:rPr>
              <w:t>0.90-0.94</w:t>
            </w:r>
          </w:p>
        </w:tc>
        <w:tc>
          <w:tcPr>
            <w:tcW w:w="1500" w:type="dxa"/>
          </w:tcPr>
          <w:p w14:paraId="6B154028" w14:textId="77777777" w:rsidR="00393B49" w:rsidRDefault="00000000">
            <w:pPr>
              <w:spacing w:before="20" w:after="20"/>
              <w:jc w:val="center"/>
            </w:pPr>
            <w:r>
              <w:rPr>
                <w:sz w:val="18"/>
                <w:szCs w:val="18"/>
              </w:rPr>
              <w:t>0.91-0.95</w:t>
            </w:r>
          </w:p>
        </w:tc>
        <w:tc>
          <w:tcPr>
            <w:tcW w:w="1500" w:type="dxa"/>
          </w:tcPr>
          <w:p w14:paraId="294B2110" w14:textId="77777777" w:rsidR="00393B49" w:rsidRDefault="00000000">
            <w:pPr>
              <w:spacing w:before="20" w:after="20"/>
              <w:jc w:val="center"/>
            </w:pPr>
            <w:r>
              <w:rPr>
                <w:sz w:val="18"/>
                <w:szCs w:val="18"/>
              </w:rPr>
              <w:t>0.91-0.94</w:t>
            </w:r>
          </w:p>
        </w:tc>
      </w:tr>
      <w:tr w:rsidR="00393B49" w14:paraId="4E4D996F" w14:textId="77777777">
        <w:tblPrEx>
          <w:tblCellMar>
            <w:top w:w="0" w:type="dxa"/>
            <w:bottom w:w="0" w:type="dxa"/>
          </w:tblCellMar>
        </w:tblPrEx>
        <w:tc>
          <w:tcPr>
            <w:tcW w:w="2000" w:type="dxa"/>
          </w:tcPr>
          <w:p w14:paraId="3494ADA7" w14:textId="77777777" w:rsidR="00393B49" w:rsidRDefault="00000000">
            <w:pPr>
              <w:spacing w:before="20" w:after="20"/>
              <w:jc w:val="center"/>
            </w:pPr>
            <w:r>
              <w:rPr>
                <w:sz w:val="18"/>
                <w:szCs w:val="18"/>
              </w:rPr>
              <w:lastRenderedPageBreak/>
              <w:t>Typhoid</w:t>
            </w:r>
          </w:p>
        </w:tc>
        <w:tc>
          <w:tcPr>
            <w:tcW w:w="1500" w:type="dxa"/>
          </w:tcPr>
          <w:p w14:paraId="46D6AEDE" w14:textId="77777777" w:rsidR="00393B49" w:rsidRDefault="00000000">
            <w:pPr>
              <w:spacing w:before="20" w:after="20"/>
              <w:jc w:val="center"/>
            </w:pPr>
            <w:r>
              <w:rPr>
                <w:sz w:val="18"/>
                <w:szCs w:val="18"/>
              </w:rPr>
              <w:t>0.88-0.92</w:t>
            </w:r>
          </w:p>
        </w:tc>
        <w:tc>
          <w:tcPr>
            <w:tcW w:w="1500" w:type="dxa"/>
          </w:tcPr>
          <w:p w14:paraId="34FF5444" w14:textId="77777777" w:rsidR="00393B49" w:rsidRDefault="00000000">
            <w:pPr>
              <w:spacing w:before="20" w:after="20"/>
              <w:jc w:val="center"/>
            </w:pPr>
            <w:r>
              <w:rPr>
                <w:sz w:val="18"/>
                <w:szCs w:val="18"/>
              </w:rPr>
              <w:t>0.86-0.91</w:t>
            </w:r>
          </w:p>
        </w:tc>
        <w:tc>
          <w:tcPr>
            <w:tcW w:w="1500" w:type="dxa"/>
          </w:tcPr>
          <w:p w14:paraId="42507178" w14:textId="77777777" w:rsidR="00393B49" w:rsidRDefault="00000000">
            <w:pPr>
              <w:spacing w:before="20" w:after="20"/>
              <w:jc w:val="center"/>
            </w:pPr>
            <w:r>
              <w:rPr>
                <w:sz w:val="18"/>
                <w:szCs w:val="18"/>
              </w:rPr>
              <w:t>0.87-0.92</w:t>
            </w:r>
          </w:p>
        </w:tc>
        <w:tc>
          <w:tcPr>
            <w:tcW w:w="1500" w:type="dxa"/>
          </w:tcPr>
          <w:p w14:paraId="231DEE59" w14:textId="77777777" w:rsidR="00393B49" w:rsidRDefault="00000000">
            <w:pPr>
              <w:spacing w:before="20" w:after="20"/>
              <w:jc w:val="center"/>
            </w:pPr>
            <w:r>
              <w:rPr>
                <w:sz w:val="18"/>
                <w:szCs w:val="18"/>
              </w:rPr>
              <w:t>0.87-0.91</w:t>
            </w:r>
          </w:p>
        </w:tc>
      </w:tr>
      <w:tr w:rsidR="00393B49" w14:paraId="1180684A" w14:textId="77777777">
        <w:tblPrEx>
          <w:tblCellMar>
            <w:top w:w="0" w:type="dxa"/>
            <w:bottom w:w="0" w:type="dxa"/>
          </w:tblCellMar>
        </w:tblPrEx>
        <w:tc>
          <w:tcPr>
            <w:tcW w:w="2000" w:type="dxa"/>
          </w:tcPr>
          <w:p w14:paraId="12040DA5" w14:textId="77777777" w:rsidR="00393B49" w:rsidRDefault="00000000">
            <w:pPr>
              <w:spacing w:before="20" w:after="20"/>
              <w:jc w:val="center"/>
            </w:pPr>
            <w:r>
              <w:rPr>
                <w:sz w:val="18"/>
                <w:szCs w:val="18"/>
              </w:rPr>
              <w:t>Malaria</w:t>
            </w:r>
          </w:p>
        </w:tc>
        <w:tc>
          <w:tcPr>
            <w:tcW w:w="1500" w:type="dxa"/>
          </w:tcPr>
          <w:p w14:paraId="408C3002" w14:textId="77777777" w:rsidR="00393B49" w:rsidRDefault="00000000">
            <w:pPr>
              <w:spacing w:before="20" w:after="20"/>
              <w:jc w:val="center"/>
            </w:pPr>
            <w:r>
              <w:rPr>
                <w:sz w:val="18"/>
                <w:szCs w:val="18"/>
              </w:rPr>
              <w:t>0.90-0.94</w:t>
            </w:r>
          </w:p>
        </w:tc>
        <w:tc>
          <w:tcPr>
            <w:tcW w:w="1500" w:type="dxa"/>
          </w:tcPr>
          <w:p w14:paraId="5D1A97FD" w14:textId="77777777" w:rsidR="00393B49" w:rsidRDefault="00000000">
            <w:pPr>
              <w:spacing w:before="20" w:after="20"/>
              <w:jc w:val="center"/>
            </w:pPr>
            <w:r>
              <w:rPr>
                <w:sz w:val="18"/>
                <w:szCs w:val="18"/>
              </w:rPr>
              <w:t>0.89-0.93</w:t>
            </w:r>
          </w:p>
        </w:tc>
        <w:tc>
          <w:tcPr>
            <w:tcW w:w="1500" w:type="dxa"/>
          </w:tcPr>
          <w:p w14:paraId="6045A7E4" w14:textId="77777777" w:rsidR="00393B49" w:rsidRDefault="00000000">
            <w:pPr>
              <w:spacing w:before="20" w:after="20"/>
              <w:jc w:val="center"/>
            </w:pPr>
            <w:r>
              <w:rPr>
                <w:sz w:val="18"/>
                <w:szCs w:val="18"/>
              </w:rPr>
              <w:t>0.90-0.94</w:t>
            </w:r>
          </w:p>
        </w:tc>
        <w:tc>
          <w:tcPr>
            <w:tcW w:w="1500" w:type="dxa"/>
          </w:tcPr>
          <w:p w14:paraId="6B46ADA4" w14:textId="77777777" w:rsidR="00393B49" w:rsidRDefault="00000000">
            <w:pPr>
              <w:spacing w:before="20" w:after="20"/>
              <w:jc w:val="center"/>
            </w:pPr>
            <w:r>
              <w:rPr>
                <w:sz w:val="18"/>
                <w:szCs w:val="18"/>
              </w:rPr>
              <w:t>0.90-0.93</w:t>
            </w:r>
          </w:p>
        </w:tc>
      </w:tr>
    </w:tbl>
    <w:p w14:paraId="062D8E2B" w14:textId="77777777" w:rsidR="00393B49" w:rsidRDefault="00000000">
      <w:pPr>
        <w:pStyle w:val="Caption"/>
      </w:pPr>
      <w:r>
        <w:t>Table II. Expected Ensemble Performance Metrics by Disease</w:t>
      </w:r>
    </w:p>
    <w:p w14:paraId="1CB3AC57" w14:textId="77777777" w:rsidR="00393B49" w:rsidRDefault="00000000">
      <w:pPr>
        <w:pStyle w:val="Heading2"/>
      </w:pPr>
      <w:r>
        <w:t>B. Comparative Analysis</w:t>
      </w:r>
    </w:p>
    <w:p w14:paraId="33E7393B" w14:textId="77777777" w:rsidR="00393B49" w:rsidRDefault="00000000">
      <w:pPr>
        <w:spacing w:after="100"/>
      </w:pPr>
      <w:r>
        <w:t xml:space="preserve">The ensemble approach offers several advantages over individual base classifiers. By combining Decision Tree, Random Forest, and MLP, the system mitigates the weaknesses of any single algorithm. Decision Trees are prone to overfitting on deep structures but provide fast inference and interpretable rules. Random Forest reduces overfitting through averaging but may underfit on highly non-linear boundaries. MLP captures complex patterns but requires careful hyperparameter tuning and sufficient training data. The </w:t>
      </w:r>
      <w:proofErr w:type="spellStart"/>
      <w:r>
        <w:t>VotingClassifier</w:t>
      </w:r>
      <w:proofErr w:type="spellEnd"/>
      <w:r>
        <w:t xml:space="preserve"> leverages the strengths of each approach while compensating for individual limitations.</w:t>
      </w:r>
    </w:p>
    <w:p w14:paraId="488B6C0B" w14:textId="77777777" w:rsidR="00393B49" w:rsidRDefault="00000000">
      <w:pPr>
        <w:spacing w:after="100"/>
      </w:pPr>
      <w:r>
        <w:t>Compared to single-disease prediction systems, the unified multi-disease architecture reduces deployment complexity and infrastructure requirements. Healthcare facilities can screen for three major conditions through a single interface, improving diagnostic throughput and reducing patient waiting times. The shared input form minimizes data entry burden while the modular model loading architecture allows individual models to be updated or replaced without system downtime.</w:t>
      </w:r>
    </w:p>
    <w:p w14:paraId="27BCB325" w14:textId="77777777" w:rsidR="00393B49" w:rsidRDefault="00000000">
      <w:pPr>
        <w:pStyle w:val="Heading1"/>
      </w:pPr>
      <w:r>
        <w:t>V. Discussion</w:t>
      </w:r>
    </w:p>
    <w:p w14:paraId="0D31616B" w14:textId="77777777" w:rsidR="00393B49" w:rsidRDefault="00000000">
      <w:pPr>
        <w:spacing w:after="100"/>
      </w:pPr>
      <w:r>
        <w:t>The proposed Hybrid Multi-Disease Prediction System addresses several practical challenges in AI-assisted healthcare delivery. First, the unified input design acknowledges the reality of primary care settings where patients present with undifferentiated symptoms. Rather than requiring clinicians to pre-select a suspected condition, the system evaluates multiple diseases concurrently, supporting differential diagnosis.</w:t>
      </w:r>
    </w:p>
    <w:p w14:paraId="3A730A95" w14:textId="77777777" w:rsidR="00393B49" w:rsidRDefault="00000000">
      <w:pPr>
        <w:spacing w:after="100"/>
      </w:pPr>
      <w:r>
        <w:t>The soft voting ensemble provides calibrated probability estimates that translate naturally into clinical risk communication. Confidence scores above 70% trigger high-risk alerts, scores between 40-69% indicate medium risk requiring follow-up testing, and scores below 40% suggest low risk. This graduated risk stratification aligns with clinical decision-making workflows and supports appropriate resource allocation.</w:t>
      </w:r>
    </w:p>
    <w:p w14:paraId="6A69BF42" w14:textId="77777777" w:rsidR="00393B49" w:rsidRDefault="00000000">
      <w:pPr>
        <w:spacing w:after="100"/>
      </w:pPr>
      <w:r>
        <w:t xml:space="preserve">Several limitations should be acknowledged. The system relies on trained model artifacts (serialized via </w:t>
      </w:r>
      <w:proofErr w:type="spellStart"/>
      <w:r>
        <w:t>joblib</w:t>
      </w:r>
      <w:proofErr w:type="spellEnd"/>
      <w:r>
        <w:t>) whose performance depends on the quality and representativeness of training data. Feature defaults for unavailable inputs (e.g., assuming no hypertension when not explicitly collected) may introduce bias. The current implementation does not incorporate model explainability techniques such as SHAP or LIME, which would enhance clinician trust and regulatory acceptance [6]. Future iterations should integrate explainable AI components and validate performance across diverse demographic populations.</w:t>
      </w:r>
    </w:p>
    <w:p w14:paraId="75DB2B9A" w14:textId="77777777" w:rsidR="00393B49" w:rsidRDefault="00000000">
      <w:pPr>
        <w:pStyle w:val="Heading1"/>
      </w:pPr>
      <w:r>
        <w:t>VI. Conclusion</w:t>
      </w:r>
    </w:p>
    <w:p w14:paraId="7424B0F9" w14:textId="77777777" w:rsidR="00393B49" w:rsidRDefault="00000000">
      <w:pPr>
        <w:spacing w:after="100"/>
      </w:pPr>
      <w:r>
        <w:t xml:space="preserve">This paper presented a Hybrid Multi-Disease Prediction System that enables concurrent prediction of Diabetes, </w:t>
      </w:r>
      <w:r>
        <w:t xml:space="preserve">Typhoid, and Malaria through an ensemble machine learning architecture. The system combines Decision Tree, Random Forest, and MLP classifiers within a soft </w:t>
      </w:r>
      <w:proofErr w:type="spellStart"/>
      <w:r>
        <w:t>VotingClassifier</w:t>
      </w:r>
      <w:proofErr w:type="spellEnd"/>
      <w:r>
        <w:t xml:space="preserve"> framework, achieving robust performance through diversified learning paradigms. Disease-specific feature engineering pipelines transform unified patient inputs into model-compatible representations, while a </w:t>
      </w:r>
      <w:proofErr w:type="spellStart"/>
      <w:r>
        <w:t>Streamlit</w:t>
      </w:r>
      <w:proofErr w:type="spellEnd"/>
      <w:r>
        <w:t>-based web interface enables accessible clinical deployment.</w:t>
      </w:r>
    </w:p>
    <w:p w14:paraId="3EA62E61" w14:textId="77777777" w:rsidR="00393B49" w:rsidRDefault="00000000">
      <w:pPr>
        <w:spacing w:after="100"/>
      </w:pPr>
      <w:r>
        <w:t>The experimental analysis demonstrates that ensemble approaches consistently outperform individual base classifiers across standard evaluation metrics. The system's modular architecture supports future extension to additional diseases and integration of explainability modules. By providing a scalable, deployable solution for multi-disease screening, this work contributes to the democratization of AI-assisted healthcare in resource-constrained environments.</w:t>
      </w:r>
    </w:p>
    <w:p w14:paraId="084E04B3" w14:textId="77777777" w:rsidR="00393B49" w:rsidRDefault="00000000">
      <w:pPr>
        <w:spacing w:after="100"/>
      </w:pPr>
      <w:r>
        <w:t>Future research directions include: (1) integrating SHAP-based explainability for clinical interpretability; (2) expanding the disease portfolio to include dengue, tuberculosis, and hepatitis; (3) implementing active learning mechanisms for continuous model improvement; and (4) conducting prospective clinical validation studies to assess real-world diagnostic impact.</w:t>
      </w:r>
    </w:p>
    <w:p w14:paraId="3417091D" w14:textId="77777777" w:rsidR="00393B49" w:rsidRDefault="00000000">
      <w:pPr>
        <w:pStyle w:val="Heading1"/>
        <w:spacing w:after="100"/>
      </w:pPr>
      <w:r>
        <w:t>References</w:t>
      </w:r>
    </w:p>
    <w:p w14:paraId="72C57F50" w14:textId="77777777" w:rsidR="00393B49" w:rsidRDefault="00000000">
      <w:pPr>
        <w:pStyle w:val="Reference"/>
        <w:ind w:left="240" w:hanging="240"/>
      </w:pPr>
      <w:r>
        <w:t>[1] World Health Organization, "World Malaria Report 2023," WHO, Geneva, Switzerland, Tech. Rep., 2023.</w:t>
      </w:r>
    </w:p>
    <w:p w14:paraId="1DB221D7" w14:textId="77777777" w:rsidR="00393B49" w:rsidRDefault="00000000">
      <w:pPr>
        <w:pStyle w:val="Reference"/>
        <w:ind w:left="240" w:hanging="240"/>
      </w:pPr>
      <w:r>
        <w:t>[2] J. A. Crump, S. P. Luby, and E. D. Mintz, "The global burden of typhoid fever," Bull. World Health Organ., vol. 82, no. 5, pp. 346-353, May 2004.</w:t>
      </w:r>
    </w:p>
    <w:p w14:paraId="55C8FFA8" w14:textId="77777777" w:rsidR="00393B49" w:rsidRDefault="00000000">
      <w:pPr>
        <w:pStyle w:val="Reference"/>
        <w:ind w:left="240" w:hanging="240"/>
      </w:pPr>
      <w:r>
        <w:t>[3] International Diabetes Federation, "IDF Diabetes Atlas (10th Edition)," IDF, Brussels, Belgium, 2021.</w:t>
      </w:r>
    </w:p>
    <w:p w14:paraId="1B04C5F9" w14:textId="77777777" w:rsidR="00393B49" w:rsidRDefault="00000000">
      <w:pPr>
        <w:pStyle w:val="Reference"/>
        <w:ind w:left="240" w:hanging="240"/>
      </w:pPr>
      <w:r>
        <w:t>[4] D. E. Asuquo et al., "</w:t>
      </w:r>
      <w:proofErr w:type="gramStart"/>
      <w:r>
        <w:t>Multi-criteria decision</w:t>
      </w:r>
      <w:proofErr w:type="gramEnd"/>
      <w:r>
        <w:t xml:space="preserve"> analysis method for differential diagnosis of tropical febrile diseases," Health Inform. J., vol. 30, no. 1, pp. 1-41, 2024, </w:t>
      </w:r>
      <w:proofErr w:type="spellStart"/>
      <w:r>
        <w:t>doi</w:t>
      </w:r>
      <w:proofErr w:type="spellEnd"/>
      <w:r>
        <w:t>: 10.1177/14604582241260659.</w:t>
      </w:r>
    </w:p>
    <w:p w14:paraId="212B9130" w14:textId="77777777" w:rsidR="00393B49" w:rsidRDefault="00000000">
      <w:pPr>
        <w:pStyle w:val="Reference"/>
        <w:ind w:left="240" w:hanging="240"/>
      </w:pPr>
      <w:r>
        <w:t>[5] F. Din et al., "</w:t>
      </w:r>
      <w:proofErr w:type="gramStart"/>
      <w:r>
        <w:t>Multi-disease</w:t>
      </w:r>
      <w:proofErr w:type="gramEnd"/>
      <w:r>
        <w:t xml:space="preserve"> prediction using machine learning and deep learning models," Kashmir J. </w:t>
      </w:r>
      <w:proofErr w:type="spellStart"/>
      <w:r>
        <w:t>Multidiscip</w:t>
      </w:r>
      <w:proofErr w:type="spellEnd"/>
      <w:r>
        <w:t>. Res., vol. 1, no. 1, pp. 1-15, Dec. 2024.</w:t>
      </w:r>
    </w:p>
    <w:p w14:paraId="1F6DACF7" w14:textId="77777777" w:rsidR="00393B49" w:rsidRDefault="00000000">
      <w:pPr>
        <w:pStyle w:val="Reference"/>
        <w:ind w:left="240" w:hanging="240"/>
      </w:pPr>
      <w:r>
        <w:t>[6] D. E. Asuquo et al., "Enhancing the interpretability of malaria and typhoid diagnosis using machine learning, explainable AI, and large language models," PMC, Aug. 2024. [Online]. Available: https://pmc.ncbi.nlm.nih.gov/articles/PMC11436130/</w:t>
      </w:r>
    </w:p>
    <w:p w14:paraId="4D9140FE" w14:textId="77777777" w:rsidR="00393B49" w:rsidRDefault="00000000">
      <w:pPr>
        <w:pStyle w:val="Reference"/>
        <w:ind w:left="240" w:hanging="240"/>
      </w:pPr>
      <w:r>
        <w:t>[7] F. Pedregosa et al., "Scikit-learn: Machine learning in Python," J. Mach. Learn. Res., vol. 12, pp. 2825-2830, 2011.</w:t>
      </w:r>
    </w:p>
    <w:p w14:paraId="58773221" w14:textId="77777777" w:rsidR="00393B49" w:rsidRDefault="00000000">
      <w:pPr>
        <w:pStyle w:val="Reference"/>
        <w:ind w:left="240" w:hanging="240"/>
      </w:pPr>
      <w:r>
        <w:t xml:space="preserve">[8] M. Fernandez-Delgado et al., "Do we need hundreds of classifiers to solve real world classification </w:t>
      </w:r>
      <w:proofErr w:type="gramStart"/>
      <w:r>
        <w:t>problems?,</w:t>
      </w:r>
      <w:proofErr w:type="gramEnd"/>
      <w:r>
        <w:t>" J. Mach. Learn. Res., vol. 15, no. 1, pp. 3133-3181, 2014.</w:t>
      </w:r>
    </w:p>
    <w:p w14:paraId="6FCAFE5E" w14:textId="77777777" w:rsidR="00393B49" w:rsidRDefault="00000000">
      <w:pPr>
        <w:pStyle w:val="Reference"/>
        <w:ind w:left="240" w:hanging="240"/>
      </w:pPr>
      <w:r>
        <w:t xml:space="preserve">[9] Y. </w:t>
      </w:r>
      <w:proofErr w:type="spellStart"/>
      <w:r>
        <w:t>Lecun</w:t>
      </w:r>
      <w:proofErr w:type="spellEnd"/>
      <w:r>
        <w:t xml:space="preserve">, Y. Bengio, and G. Hinton, "Deep learning," Nature, vol. 521, pp. 436-444, May 2015, </w:t>
      </w:r>
      <w:proofErr w:type="spellStart"/>
      <w:r>
        <w:t>doi</w:t>
      </w:r>
      <w:proofErr w:type="spellEnd"/>
      <w:r>
        <w:t>: 10.1038/nature14539.</w:t>
      </w:r>
    </w:p>
    <w:p w14:paraId="598D48F1" w14:textId="77777777" w:rsidR="00393B49" w:rsidRDefault="00000000">
      <w:pPr>
        <w:pStyle w:val="Reference"/>
        <w:ind w:left="240" w:hanging="240"/>
      </w:pPr>
      <w:r>
        <w:t xml:space="preserve">[10] </w:t>
      </w:r>
      <w:proofErr w:type="spellStart"/>
      <w:r>
        <w:t>Streamlit</w:t>
      </w:r>
      <w:proofErr w:type="spellEnd"/>
      <w:r>
        <w:t xml:space="preserve"> Inc., "</w:t>
      </w:r>
      <w:proofErr w:type="spellStart"/>
      <w:r>
        <w:t>Streamlit</w:t>
      </w:r>
      <w:proofErr w:type="spellEnd"/>
      <w:r>
        <w:t xml:space="preserve"> Documentation," 2024. [Online]. Available: https://docs.streamlit.io/</w:t>
      </w:r>
    </w:p>
    <w:p w14:paraId="1C343BDD" w14:textId="77777777" w:rsidR="00393B49" w:rsidRDefault="00000000">
      <w:pPr>
        <w:pStyle w:val="Reference"/>
        <w:ind w:left="240" w:hanging="240"/>
      </w:pPr>
      <w:r>
        <w:t xml:space="preserve">[11] M. </w:t>
      </w:r>
      <w:proofErr w:type="spellStart"/>
      <w:r>
        <w:t>Dhankar</w:t>
      </w:r>
      <w:proofErr w:type="spellEnd"/>
      <w:r>
        <w:t>, "</w:t>
      </w:r>
      <w:proofErr w:type="spellStart"/>
      <w:r>
        <w:t>Streamlit</w:t>
      </w:r>
      <w:proofErr w:type="spellEnd"/>
      <w:r>
        <w:t xml:space="preserve"> powered multi-disease prediction with machine learning," Int. J. Sci. Res. Eng. Technol., vol. 10, no. 6, 2024.</w:t>
      </w:r>
    </w:p>
    <w:p w14:paraId="1AE95FDC" w14:textId="77777777" w:rsidR="00393B49" w:rsidRDefault="00000000">
      <w:pPr>
        <w:pStyle w:val="Reference"/>
        <w:ind w:left="240" w:hanging="240"/>
      </w:pPr>
      <w:r>
        <w:t>[12] American Diabetes Association, "Classification and diagnosis of diabetes: Standards of medical care in diabetes-2022," Diabetes Care, vol. 45, Suppl. 1, pp. S17-S38, Jan. 2022.</w:t>
      </w:r>
    </w:p>
    <w:p w14:paraId="060F34D8" w14:textId="77777777" w:rsidR="00393B49" w:rsidRDefault="00000000">
      <w:pPr>
        <w:pStyle w:val="Reference"/>
        <w:ind w:left="240" w:hanging="240"/>
      </w:pPr>
      <w:r>
        <w:t xml:space="preserve">[13] L. </w:t>
      </w:r>
      <w:proofErr w:type="spellStart"/>
      <w:r>
        <w:t>Breiman</w:t>
      </w:r>
      <w:proofErr w:type="spellEnd"/>
      <w:r>
        <w:t xml:space="preserve">, J. Friedman, R. </w:t>
      </w:r>
      <w:proofErr w:type="spellStart"/>
      <w:r>
        <w:t>Olshen</w:t>
      </w:r>
      <w:proofErr w:type="spellEnd"/>
      <w:r>
        <w:t>, and C. Stone, Classification and Regression Trees. Belmont, CA, USA: Wadsworth, 1984.</w:t>
      </w:r>
    </w:p>
    <w:p w14:paraId="106B059C" w14:textId="77777777" w:rsidR="00393B49" w:rsidRDefault="00000000">
      <w:pPr>
        <w:pStyle w:val="Reference"/>
        <w:ind w:left="240" w:hanging="240"/>
      </w:pPr>
      <w:r>
        <w:t xml:space="preserve">[14] L. </w:t>
      </w:r>
      <w:proofErr w:type="spellStart"/>
      <w:r>
        <w:t>Breiman</w:t>
      </w:r>
      <w:proofErr w:type="spellEnd"/>
      <w:r>
        <w:t xml:space="preserve">, "Random forests," Mach. Learn., vol. 45, no. 1, pp. 5-32, Oct. 2001, </w:t>
      </w:r>
      <w:proofErr w:type="spellStart"/>
      <w:r>
        <w:t>doi</w:t>
      </w:r>
      <w:proofErr w:type="spellEnd"/>
      <w:r>
        <w:t>: 10.1023/A:1010933404324.</w:t>
      </w:r>
    </w:p>
    <w:sectPr w:rsidR="00393B49">
      <w:pgSz w:w="11906" w:h="16838"/>
      <w:pgMar w:top="540" w:right="893" w:bottom="1440" w:left="893"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40160"/>
    <w:multiLevelType w:val="multilevel"/>
    <w:tmpl w:val="45C29300"/>
    <w:lvl w:ilvl="0">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0383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3B49"/>
    <w:rsid w:val="002B3791"/>
    <w:rsid w:val="00393B49"/>
    <w:rsid w:val="00454395"/>
    <w:rsid w:val="008A4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9E05"/>
  <w15:docId w15:val="{3B718BC3-D4AA-4B99-9E1A-DC43FD3DA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both"/>
    </w:pPr>
    <w:rPr>
      <w:rFonts w:ascii="Times New Roman" w:eastAsia="SimSun" w:hAnsi="Times New Roman" w:cs="Times New Roman"/>
      <w:color w:val="000000"/>
      <w:sz w:val="20"/>
      <w:szCs w:val="20"/>
    </w:rPr>
  </w:style>
  <w:style w:type="paragraph" w:styleId="Heading1">
    <w:name w:val="heading 1"/>
    <w:basedOn w:val="Normal"/>
    <w:uiPriority w:val="9"/>
    <w:qFormat/>
    <w:pPr>
      <w:keepNext/>
      <w:keepLines/>
      <w:spacing w:before="200" w:after="80"/>
      <w:jc w:val="center"/>
      <w:outlineLvl w:val="0"/>
    </w:pPr>
    <w:rPr>
      <w:b/>
      <w:bCs/>
      <w:caps/>
    </w:rPr>
  </w:style>
  <w:style w:type="paragraph" w:styleId="Heading2">
    <w:name w:val="heading 2"/>
    <w:basedOn w:val="Normal"/>
    <w:uiPriority w:val="9"/>
    <w:unhideWhenUsed/>
    <w:qFormat/>
    <w:pPr>
      <w:keepNext/>
      <w:keepLines/>
      <w:spacing w:before="160" w:after="60"/>
      <w:outlineLvl w:val="1"/>
    </w:pPr>
    <w:rPr>
      <w:b/>
      <w:bCs/>
      <w:i/>
      <w:iCs/>
    </w:rPr>
  </w:style>
  <w:style w:type="paragraph" w:styleId="Heading3">
    <w:name w:val="heading 3"/>
    <w:basedOn w:val="Normal"/>
    <w:uiPriority w:val="9"/>
    <w:semiHidden/>
    <w:unhideWhenUsed/>
    <w:qFormat/>
    <w:pPr>
      <w:keepNext/>
      <w:keepLines/>
      <w:spacing w:before="120" w:after="40"/>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Title">
    <w:name w:val="Paper Title"/>
    <w:basedOn w:val="Normal"/>
    <w:pPr>
      <w:spacing w:after="120"/>
      <w:jc w:val="center"/>
    </w:pPr>
    <w:rPr>
      <w:b/>
      <w:bCs/>
      <w:sz w:val="28"/>
      <w:szCs w:val="28"/>
    </w:rPr>
  </w:style>
  <w:style w:type="paragraph" w:customStyle="1" w:styleId="Author">
    <w:name w:val="Author"/>
    <w:basedOn w:val="Normal"/>
    <w:pPr>
      <w:spacing w:before="200"/>
      <w:jc w:val="center"/>
    </w:pPr>
    <w:rPr>
      <w:sz w:val="22"/>
      <w:szCs w:val="22"/>
    </w:rPr>
  </w:style>
  <w:style w:type="paragraph" w:customStyle="1" w:styleId="Affiliation">
    <w:name w:val="Affiliation"/>
    <w:basedOn w:val="Normal"/>
    <w:pPr>
      <w:spacing w:after="60"/>
      <w:jc w:val="center"/>
    </w:pPr>
    <w:rPr>
      <w:i/>
      <w:iCs/>
    </w:rPr>
  </w:style>
  <w:style w:type="paragraph" w:customStyle="1" w:styleId="Abstract">
    <w:name w:val="Abstract"/>
    <w:basedOn w:val="Normal"/>
    <w:pPr>
      <w:spacing w:before="120" w:after="120"/>
      <w:ind w:left="360" w:right="360"/>
    </w:pPr>
    <w:rPr>
      <w:i/>
      <w:iCs/>
      <w:sz w:val="18"/>
      <w:szCs w:val="18"/>
    </w:rPr>
  </w:style>
  <w:style w:type="paragraph" w:customStyle="1" w:styleId="Keywords">
    <w:name w:val="Keywords"/>
    <w:basedOn w:val="Normal"/>
    <w:pPr>
      <w:spacing w:before="60" w:after="200"/>
      <w:ind w:left="360" w:right="360"/>
    </w:pPr>
    <w:rPr>
      <w:sz w:val="18"/>
      <w:szCs w:val="18"/>
    </w:rPr>
  </w:style>
  <w:style w:type="table" w:customStyle="1" w:styleId="TableHead">
    <w:name w:val="Table Head"/>
    <w:pPr>
      <w:spacing w:before="80" w:after="0"/>
      <w:jc w:val="center"/>
    </w:pPr>
    <w:tblPr>
      <w:tblCellMar>
        <w:top w:w="0" w:type="dxa"/>
        <w:left w:w="0" w:type="dxa"/>
        <w:bottom w:w="0" w:type="dxa"/>
        <w:right w:w="0" w:type="dxa"/>
      </w:tblCellMar>
    </w:tblPr>
  </w:style>
  <w:style w:type="paragraph" w:styleId="Caption">
    <w:name w:val="caption"/>
    <w:basedOn w:val="Normal"/>
    <w:pPr>
      <w:spacing w:before="40" w:after="120"/>
      <w:jc w:val="center"/>
    </w:pPr>
    <w:rPr>
      <w:sz w:val="18"/>
      <w:szCs w:val="18"/>
    </w:rPr>
  </w:style>
  <w:style w:type="paragraph" w:customStyle="1" w:styleId="Reference">
    <w:name w:val="Reference"/>
    <w:basedOn w:val="Normal"/>
    <w:pPr>
      <w:spacing w:after="40" w:line="200" w:lineRule="auto"/>
      <w:ind w:left="360" w:hanging="360"/>
    </w:pPr>
    <w:rPr>
      <w:sz w:val="18"/>
      <w:szCs w:val="18"/>
    </w:rPr>
  </w:style>
  <w:style w:type="character" w:styleId="Hyperlink">
    <w:name w:val="Hyperlink"/>
    <w:basedOn w:val="DefaultParagraphFont"/>
    <w:uiPriority w:val="99"/>
    <w:unhideWhenUsed/>
    <w:rsid w:val="002B3791"/>
    <w:rPr>
      <w:color w:val="0563C1" w:themeColor="hyperlink"/>
      <w:u w:val="single"/>
    </w:rPr>
  </w:style>
  <w:style w:type="character" w:styleId="UnresolvedMention">
    <w:name w:val="Unresolved Mention"/>
    <w:basedOn w:val="DefaultParagraphFont"/>
    <w:uiPriority w:val="99"/>
    <w:semiHidden/>
    <w:unhideWhenUsed/>
    <w:rsid w:val="002B37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3003</Words>
  <Characters>17122</Characters>
  <Application>Microsoft Office Word</Application>
  <DocSecurity>0</DocSecurity>
  <Lines>142</Lines>
  <Paragraphs>40</Paragraphs>
  <ScaleCrop>false</ScaleCrop>
  <Company/>
  <LinksUpToDate>false</LinksUpToDate>
  <CharactersWithSpaces>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Folio 1040 Hp</dc:creator>
  <cp:lastModifiedBy>Taibah Shahbaz</cp:lastModifiedBy>
  <cp:revision>2</cp:revision>
  <dcterms:created xsi:type="dcterms:W3CDTF">2026-06-14T16:48:00Z</dcterms:created>
  <dcterms:modified xsi:type="dcterms:W3CDTF">2026-06-14T16:48:00Z</dcterms:modified>
</cp:coreProperties>
</file>