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literature_review_and_research_ga_398176"/>
      <w:r>
        <w:rPr>
          <w:rFonts w:eastAsia="source serif 4" w:cs="source serif 4" w:ascii="source serif 4" w:hAnsi="source serif 4"/>
          <w:b/>
          <w:color w:val="000000"/>
          <w:sz w:val="39"/>
        </w:rPr>
        <w:t xml:space="preserve">Literature Review and Research-Gap Analysis for DocBot AI</w:t>
      </w:r>
      <w:bookmarkEnd w:id="0"/>
    </w:p>
    <w:p>
      <w:pPr>
        <w:spacing w:line="360" w:before="315" w:after="105" w:lineRule="auto"/>
        <w:ind w:left="-30"/>
        <w:jc w:val="left"/>
      </w:pPr>
      <w:bookmarkStart w:id="1" w:name="an_evidence_grounded_clinical_que_6a7ab4"/>
      <w:r>
        <w:rPr>
          <w:rFonts w:eastAsia="source serif 4" w:cs="source serif 4" w:ascii="source serif 4" w:hAnsi="source serif 4"/>
          <w:b/>
          <w:color w:val="000000"/>
          <w:sz w:val="24"/>
        </w:rPr>
        <w:t xml:space="preserve">An Evidence-Grounded Clinical Question Answering and Longitudinal Patient Monitoring System Using RAG and Large Language Models</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introduction_and_project_framing"/>
      <w:r>
        <w:rPr>
          <w:rFonts w:eastAsia="source serif 4" w:cs="source serif 4" w:ascii="source serif 4" w:hAnsi="source serif 4"/>
          <w:b/>
          <w:color w:val="000000"/>
          <w:sz w:val="24"/>
        </w:rPr>
        <w:t xml:space="preserve">1. Introduction and Project Framing</w:t>
      </w:r>
      <w:bookmarkEnd w:id="2"/>
    </w:p>
    <w:p>
      <w:pPr>
        <w:spacing w:line="360" w:after="210" w:lineRule="auto"/>
      </w:pPr>
      <w:r>
        <w:rPr>
          <w:rFonts w:eastAsia="source serif 4" w:cs="source serif 4" w:ascii="source serif 4" w:hAnsi="source serif 4"/>
          <w:color w:val="000000"/>
        </w:rPr>
        <w:t xml:space="preserve">DocBot AI is proposed as a clinical information and review-support system with two integrated capabilities: (1) evidence-grounded clinical question answering using NLP, text embeddings, semantic/vector search, Retrieval-Augmented Generation (RAG), and Large Language Models (LLMs) with supporting evidence display; and (2) longitudinal patient monitoring using patient symptoms, laboratory results, medical reports, a chronological patient timeline, trend detection, and clinical review alerts.</w:t>
      </w:r>
    </w:p>
    <w:p>
      <w:pPr>
        <w:spacing w:line="360" w:after="210" w:lineRule="auto"/>
      </w:pPr>
      <w:r>
        <w:rPr>
          <w:rFonts w:eastAsia="source serif 4" w:cs="source serif 4" w:ascii="source serif 4" w:hAnsi="source serif 4"/>
          <w:b/>
          <w:color w:val="000000"/>
        </w:rPr>
        <w:t xml:space="preserve">Important framing:</w:t>
      </w:r>
      <w:r>
        <w:rPr>
          <w:rFonts w:eastAsia="source serif 4" w:cs="source serif 4" w:ascii="source serif 4" w:hAnsi="source serif 4"/>
          <w:color w:val="000000"/>
        </w:rPr>
        <w:t xml:space="preserve"> DocBot AI is explicitly designed as a clinical assistance and review-support system — not as an autonomous doctor, diagnostic system, or treatment decision-maker. Final clinical decisions remain with qualified healthcare professionals.</w:t>
      </w:r>
    </w:p>
    <w:p>
      <w:pPr>
        <w:spacing w:line="360" w:after="210" w:lineRule="auto"/>
      </w:pPr>
      <w:r>
        <w:rPr>
          <w:rFonts w:eastAsia="source serif 4" w:cs="source serif 4" w:ascii="source serif 4" w:hAnsi="source serif 4"/>
          <w:color w:val="000000"/>
        </w:rPr>
        <w:t xml:space="preserve">This literature review surveys peer-reviewed research across nine thematic areas (A–I) directly relevant to DocBot AI's architecture, identifies limitations and gaps in existing work, and assesses whether the proposed integration of evidence-grounded QA + medical knowledge retrieval/RAG + longitudinal patient information + lab/symptom trend monitoring + clinical review alerts represents a defensible research gap.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literature_review_by_theme"/>
      <w:r>
        <w:rPr>
          <w:rFonts w:eastAsia="source serif 4" w:cs="source serif 4" w:ascii="source serif 4" w:hAnsi="source serif 4"/>
          <w:b/>
          <w:color w:val="000000"/>
          <w:sz w:val="24"/>
        </w:rPr>
        <w:t xml:space="preserve">2. Literature Review by Theme</w:t>
      </w:r>
      <w:bookmarkEnd w:id="3"/>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a_medical_clinical_question_answe_b56f16"/>
      <w:r>
        <w:rPr>
          <w:rFonts w:eastAsia="source serif 4" w:cs="source serif 4" w:ascii="source serif 4" w:hAnsi="source serif 4"/>
          <w:b/>
          <w:color w:val="000000"/>
          <w:sz w:val="24"/>
        </w:rPr>
        <w:t xml:space="preserve">A. Medical/Clinical Question Answering Using NLP and LLMs</w:t>
      </w:r>
      <w:bookmarkEnd w:id="4"/>
    </w:p>
    <w:p>
      <w:pPr>
        <w:spacing w:line="360" w:before="315" w:after="105" w:lineRule="auto"/>
        <w:ind w:left="-30"/>
        <w:jc w:val="left"/>
      </w:pPr>
      <w:bookmarkStart w:id="5" w:name="a1_bioasq_challenge_tsatsaronis_e_57797f"/>
      <w:r>
        <w:rPr>
          <w:rFonts w:eastAsia="source serif 4" w:cs="source serif 4" w:ascii="source serif 4" w:hAnsi="source serif 4"/>
          <w:b/>
          <w:color w:val="000000"/>
          <w:sz w:val="24"/>
        </w:rPr>
        <w:t xml:space="preserve">A1. BioASQ Challenge — Tsatsaronis et al. (2015)</w:t>
      </w:r>
      <w:bookmarkEnd w:id="5"/>
    </w:p>
    <w:p>
      <w:pPr>
        <w:numPr>
          <w:ilvl w:val="0"/>
          <w:numId w:val="1"/>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An overview of the BIOASQ large-scale biomedical semantic indexing and question answering competition</w:t>
      </w:r>
    </w:p>
    <w:p>
      <w:pPr>
        <w:numPr>
          <w:ilvl w:val="0"/>
          <w:numId w:val="1"/>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George Tsatsaronis, Georgios Balikas, Prodromos Malakasiotis, Ioannis Partalas, Matthias Zschunke, Michael R. Alvers, Dirk Weissenborn, Anastasia Krithara, Sergios Petridis, Dimitris Polychronopoulos, Yannis Almirantis, John Pavlopoulos, Nicolas Baskiotis, Patrick Gallinari, Thierry Artières, Axel-Cyrille Ngonga Ngomo, Norman Heino, Eric Gaussier, Liliana Barrio-Alvers, Michael Schroeder, Ion Androutsopoulos, Georgios Paliouras</w:t>
      </w:r>
    </w:p>
    <w:p>
      <w:pPr>
        <w:numPr>
          <w:ilvl w:val="0"/>
          <w:numId w:val="1"/>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2015</w:t>
      </w:r>
    </w:p>
    <w:p>
      <w:pPr>
        <w:numPr>
          <w:ilvl w:val="0"/>
          <w:numId w:val="1"/>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BMC Bioinformatics, 16:138</w:t>
      </w:r>
    </w:p>
    <w:p>
      <w:pPr>
        <w:numPr>
          <w:ilvl w:val="0"/>
          <w:numId w:val="1"/>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5">
        <w:r>
          <w:rPr>
            <w:rFonts w:eastAsia="source sans 3" w:cs="source sans 3" w:ascii="source sans 3" w:hAnsi="source sans 3"/>
            <w:color w:val="#000"/>
            <w:sz w:val="21"/>
            <w:u w:val="single"/>
          </w:rPr>
          <w:t xml:space="preserve">10.1186/s12859-015-0564-6</w:t>
        </w:r>
      </w:hyperlink>
    </w:p>
    <w:p>
      <w:pPr>
        <w:numPr>
          <w:ilvl w:val="0"/>
          <w:numId w:val="1"/>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Biomedical knowledge workers must synthesize and filter information from multiple large, fast-growing sources. Existing search engines (PubMed, GoPubMed) only partially address this need, focusing on limited resources and requiring users to manually filter and combine results.</w:t>
      </w:r>
    </w:p>
    <w:p>
      <w:pPr>
        <w:numPr>
          <w:ilvl w:val="0"/>
          <w:numId w:val="1"/>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Overview of the first BioASQ challenge (2013), evaluating systems that semantically index biomedical articles, annotate questions with ontology concepts, retrieve relevant articles/snippets/structured information, and produce concise natural-language answers.</w:t>
      </w:r>
    </w:p>
    <w:p>
      <w:pPr>
        <w:numPr>
          <w:ilvl w:val="0"/>
          <w:numId w:val="1"/>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BioASQ benchmark dataset; biomedical scientific articles from MEDLINE; ontology concepts from MeSH, Gene Ontology, and other biomedical ontologies.</w:t>
      </w:r>
    </w:p>
    <w:p>
      <w:pPr>
        <w:numPr>
          <w:ilvl w:val="0"/>
          <w:numId w:val="1"/>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Large-scale biomedical document classification, ontology-based semantic indexing, biomedical question classification, document and passage retrieval, RDF triple retrieval, exact-answer QA, multi-document summarization, natural-language generation.</w:t>
      </w:r>
    </w:p>
    <w:p>
      <w:pPr>
        <w:numPr>
          <w:ilvl w:val="0"/>
          <w:numId w:val="1"/>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The BioASQ challenge established a standardized evaluation framework for biomedical QA systems, demonstrating that combining semantic indexing, retrieval, and NLG could produce concise answers to biomedical questions. The challenge highlighted that existing systems required further research to reach acceptable effectiveness for biomedical experts.</w:t>
      </w:r>
    </w:p>
    <w:p>
      <w:pPr>
        <w:numPr>
          <w:ilvl w:val="0"/>
          <w:numId w:val="1"/>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The challenge was limited to specific biomedical QA tasks; systems relied on manually curated gold standards; the challenge did not address patient-specific or longitudinal clinical data.</w:t>
      </w:r>
    </w:p>
    <w:p>
      <w:pPr>
        <w:numPr>
          <w:ilvl w:val="0"/>
          <w:numId w:val="1"/>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Existing semantic indexing and QA methods require additional research to reach effectiveness and efficiency acceptable to biomedical experts. Current search engines do not combine multiple heterogeneous sources or directly produce answers.</w:t>
      </w:r>
    </w:p>
    <w:p>
      <w:pPr>
        <w:numPr>
          <w:ilvl w:val="0"/>
          <w:numId w:val="1"/>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BioASQ provides the foundational framework for biomedical QA that DocBot AI builds upon. DocBot AI extends this concept by integrating evidence retrieval with patient-specific longitudinal data, which BioASQ does not address.</w:t>
      </w:r>
    </w:p>
    <w:p>
      <w:pPr>
        <w:spacing w:line="360" w:before="315" w:after="105" w:lineRule="auto"/>
        <w:ind w:left="-30"/>
        <w:jc w:val="left"/>
      </w:pPr>
      <w:bookmarkStart w:id="6" w:name="a2_pubmedqa_jin_et_al_2019"/>
      <w:r>
        <w:rPr>
          <w:rFonts w:eastAsia="source serif 4" w:cs="source serif 4" w:ascii="source serif 4" w:hAnsi="source serif 4"/>
          <w:b/>
          <w:color w:val="000000"/>
          <w:sz w:val="24"/>
        </w:rPr>
        <w:t xml:space="preserve">A2. PubMedQA — Jin et al. (2019)</w:t>
      </w:r>
      <w:bookmarkEnd w:id="6"/>
    </w:p>
    <w:p>
      <w:pPr>
        <w:numPr>
          <w:ilvl w:val="0"/>
          <w:numId w:val="2"/>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PubMedQA: A Dataset for Biomedical Research Question Answering</w:t>
      </w:r>
    </w:p>
    <w:p>
      <w:pPr>
        <w:numPr>
          <w:ilvl w:val="0"/>
          <w:numId w:val="2"/>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Qiao Jin, Bhuwan Dhingra, Zhengping Liu, William W. Cohen, Xinghua Lu</w:t>
      </w:r>
    </w:p>
    <w:p>
      <w:pPr>
        <w:numPr>
          <w:ilvl w:val="0"/>
          <w:numId w:val="2"/>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2019</w:t>
      </w:r>
    </w:p>
    <w:p>
      <w:pPr>
        <w:numPr>
          <w:ilvl w:val="0"/>
          <w:numId w:val="2"/>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EMNLP 2019</w:t>
      </w:r>
    </w:p>
    <w:p>
      <w:pPr>
        <w:numPr>
          <w:ilvl w:val="0"/>
          <w:numId w:val="2"/>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6">
        <w:r>
          <w:rPr>
            <w:rFonts w:eastAsia="source sans 3" w:cs="source sans 3" w:ascii="source sans 3" w:hAnsi="source sans 3"/>
            <w:color w:val="#000"/>
            <w:sz w:val="21"/>
            <w:u w:val="single"/>
          </w:rPr>
          <w:t xml:space="preserve">arXiv:1909.06146</w:t>
        </w:r>
      </w:hyperlink>
    </w:p>
    <w:p>
      <w:pPr>
        <w:numPr>
          <w:ilvl w:val="0"/>
          <w:numId w:val="2"/>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Biomedical research question answering — answering research questions with yes/no/maybe responses using corresponding biomedical research abstracts, requiring reasoning over quantitative contents.</w:t>
      </w:r>
    </w:p>
    <w:p>
      <w:pPr>
        <w:numPr>
          <w:ilvl w:val="0"/>
          <w:numId w:val="2"/>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Introducing PubMedQA, a biomedical QA dataset from PubMed abstracts requiring reasoning over biomedical research texts, particularly quantitative information.</w:t>
      </w:r>
    </w:p>
    <w:p>
      <w:pPr>
        <w:numPr>
          <w:ilvl w:val="0"/>
          <w:numId w:val="2"/>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PubMed abstracts; 1,000 expert-annotated, 61,200 unlabeled, and 211,300 artificially generated QA instances.</w:t>
      </w:r>
    </w:p>
    <w:p>
      <w:pPr>
        <w:numPr>
          <w:ilvl w:val="0"/>
          <w:numId w:val="2"/>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BioBERT, multi-phase fine-tuning, long-answer bag-of-word statistics as additional supervision.</w:t>
      </w:r>
    </w:p>
    <w:p>
      <w:pPr>
        <w:numPr>
          <w:ilvl w:val="0"/>
          <w:numId w:val="2"/>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Best model achieved 68.1% accuracy vs. 78.0% single-human performance and 55.2% majority baseline. The first QA dataset requiring reasoning over biomedical research texts, especially quantitative contents.</w:t>
      </w:r>
    </w:p>
    <w:p>
      <w:pPr>
        <w:numPr>
          <w:ilvl w:val="0"/>
          <w:numId w:val="2"/>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Model performance (68.1%) was substantially below single-human performance (78.0%); "much room for improvement" remains.</w:t>
      </w:r>
    </w:p>
    <w:p>
      <w:pPr>
        <w:numPr>
          <w:ilvl w:val="0"/>
          <w:numId w:val="2"/>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"Much room for improvement" — the gap between model and human performance indicates that biomedical research QA remains an open challenge.</w:t>
      </w:r>
    </w:p>
    <w:p>
      <w:pPr>
        <w:numPr>
          <w:ilvl w:val="0"/>
          <w:numId w:val="2"/>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PubMedQA provides a foundational QA benchmark relevant to DocBot AI's clinical question-answering module. DocBot AI extends beyond abstract-based QA by incorporating patient-specific evidence and longitudinal data.</w:t>
      </w:r>
    </w:p>
    <w:p>
      <w:pPr>
        <w:spacing w:line="360" w:before="315" w:after="105" w:lineRule="auto"/>
        <w:ind w:left="-30"/>
        <w:jc w:val="left"/>
      </w:pPr>
      <w:bookmarkStart w:id="7" w:name="a3_med_palm_singhal_et_al_2023"/>
      <w:r>
        <w:rPr>
          <w:rFonts w:eastAsia="source serif 4" w:cs="source serif 4" w:ascii="source serif 4" w:hAnsi="source serif 4"/>
          <w:b/>
          <w:color w:val="000000"/>
          <w:sz w:val="24"/>
        </w:rPr>
        <w:t xml:space="preserve">A3. Med-PaLM — Singhal et al. (2023)</w:t>
      </w:r>
      <w:bookmarkEnd w:id="7"/>
    </w:p>
    <w:p>
      <w:pPr>
        <w:numPr>
          <w:ilvl w:val="0"/>
          <w:numId w:val="3"/>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Large language models encode clinical knowledge</w:t>
      </w:r>
    </w:p>
    <w:p>
      <w:pPr>
        <w:numPr>
          <w:ilvl w:val="0"/>
          <w:numId w:val="3"/>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Karan Singhal, Shekoofeh Azizi, Tao Tu, S. Sara Mahdavi, Jason Wei, Hyung Won Chung, Nathan Scales, Ajay Tanwani, Heather Cole-Lewis, Stephen Pfohl, Perry Payne, Martin Seneviratne, Paul Gamble, Chris Kelly, Nathane Schaft, Jason Babcock, Erika Sorensen, Charles Lau, Vivian N. Patel, et al.</w:t>
      </w:r>
    </w:p>
    <w:p>
      <w:pPr>
        <w:numPr>
          <w:ilvl w:val="0"/>
          <w:numId w:val="3"/>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2023</w:t>
      </w:r>
    </w:p>
    <w:p>
      <w:pPr>
        <w:numPr>
          <w:ilvl w:val="0"/>
          <w:numId w:val="3"/>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Nature, 620, 172–180</w:t>
      </w:r>
    </w:p>
    <w:p>
      <w:pPr>
        <w:numPr>
          <w:ilvl w:val="0"/>
          <w:numId w:val="3"/>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7">
        <w:r>
          <w:rPr>
            <w:rFonts w:eastAsia="source sans 3" w:cs="source sans 3" w:ascii="source sans 3" w:hAnsi="source sans 3"/>
            <w:color w:val="#000"/>
            <w:sz w:val="21"/>
            <w:u w:val="single"/>
          </w:rPr>
          <w:t xml:space="preserve">10.1038/s41586-023-06291-2</w:t>
        </w:r>
      </w:hyperlink>
    </w:p>
    <w:p>
      <w:pPr>
        <w:numPr>
          <w:ilvl w:val="0"/>
          <w:numId w:val="3"/>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Existing medical AI models are single-task systems lacking expressivity and interactive capabilities. Existing medical QA benchmarks are limited to classification accuracy and automated NLG metrics, not enabling detailed analysis required for real-world clinical applications.</w:t>
      </w:r>
    </w:p>
    <w:p>
      <w:pPr>
        <w:numPr>
          <w:ilvl w:val="0"/>
          <w:numId w:val="3"/>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Development of MultiMedQA benchmark (7 medical QA datasets), HealthSearchQA (consumer health questions), and Med-PaLM (instruction prompt-tuned Flan-PaLM for medical domain). Evaluation of PaLM, Flan-PaLM, and Med-PaLM across medical exam, research, and consumer questions.</w:t>
      </w:r>
    </w:p>
    <w:p>
      <w:pPr>
        <w:numPr>
          <w:ilvl w:val="0"/>
          <w:numId w:val="3"/>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MultiMedQA: MedQA, MedMCQA, PubMedQA, LiveQA, MedicationQA, MMLU clinical topics, HealthSearchQA (3,173 consumer questions).</w:t>
      </w:r>
    </w:p>
    <w:p>
      <w:pPr>
        <w:numPr>
          <w:ilvl w:val="0"/>
          <w:numId w:val="3"/>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PaLM (540B), Flan-PaLM, Med-PaLM (instruction prompt tuning), few-shot prompting, chain-of-thought prompting, self-consistency prompting, selective prediction using uncertainty.</w:t>
      </w:r>
    </w:p>
    <w:p>
      <w:pPr>
        <w:numPr>
          <w:ilvl w:val="0"/>
          <w:numId w:val="3"/>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Flan-PaLM achieved state-of-the-art on MedQA (67.6%), MedMCQA (57.6%), PubMedQA (79.0%), and MMLU clinical topics. Med-PaLM achieved 92.6% alignment with scientific consensus (vs. Flan-PaLM's 61.9% and clinicians' 92.9%) and reduced perceived harm to 5.9% (vs. Flan-PaLM's 29.7%). However, Med-PaLM still had 18.7% inappropriate/incorrect content (vs. clinicians' 1.4%).</w:t>
      </w:r>
    </w:p>
    <w:p>
      <w:pPr>
        <w:numPr>
          <w:ilvl w:val="0"/>
          <w:numId w:val="3"/>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Multiple-choice benchmarks do not reflect real-world clinical decisions. The study did not address eliciting patient information and synthesizing findings into assessment and plan. Only English-language datasets. Models may reflect outdated scientific consensus. Evaluation was a pilot framework with subjective axes and limited raters.</w:t>
      </w:r>
    </w:p>
    <w:p>
      <w:pPr>
        <w:numPr>
          <w:ilvl w:val="0"/>
          <w:numId w:val="3"/>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Grounding of responses in authoritative medical sources is needed. Accounting for the time-varying nature of medical consensus is needed. Effective detection and communication of uncertainty is needed. Methods for retrieving information from continuously evolving medical corpora and continual learning for changing medical knowledge are needed. Benchmark tasks reflecting real-world clinical workflows, including questions based on electronic medical records, are needed.</w:t>
      </w:r>
    </w:p>
    <w:p>
      <w:pPr>
        <w:numPr>
          <w:ilvl w:val="0"/>
          <w:numId w:val="3"/>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Med-PaLM demonstrates that LLMs can encode clinical knowledge but highlights critical gaps — lack of evidence grounding, inability to handle patient-specific longitudinal data, and the need for real-world clinical workflow integration — all of which DocBot AI aims to address through RAG-based evidence grounding and longitudinal patient monitoring.</w:t>
      </w:r>
    </w:p>
    <w:p>
      <w:pPr>
        <w:spacing w:line="360" w:before="315" w:after="105" w:lineRule="auto"/>
        <w:ind w:left="-30"/>
        <w:jc w:val="left"/>
      </w:pPr>
      <w:bookmarkStart w:id="8" w:name="a4_med_palm_2_singhal_et_al_2025"/>
      <w:r>
        <w:rPr>
          <w:rFonts w:eastAsia="source serif 4" w:cs="source serif 4" w:ascii="source serif 4" w:hAnsi="source serif 4"/>
          <w:b/>
          <w:color w:val="000000"/>
          <w:sz w:val="24"/>
        </w:rPr>
        <w:t xml:space="preserve">A4. Med-PaLM 2 — Singhal et al. (2025)</w:t>
      </w:r>
      <w:bookmarkEnd w:id="8"/>
    </w:p>
    <w:p>
      <w:pPr>
        <w:numPr>
          <w:ilvl w:val="0"/>
          <w:numId w:val="4"/>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Toward expert-level medical question answering with large language models</w:t>
      </w:r>
    </w:p>
    <w:p>
      <w:pPr>
        <w:numPr>
          <w:ilvl w:val="0"/>
          <w:numId w:val="4"/>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Karan Singhal et al. (full author list not fully verified from page content; see </w:t>
      </w:r>
      <w:hyperlink r:id="rId8">
        <w:r>
          <w:rPr>
            <w:rFonts w:eastAsia="source sans 3" w:cs="source sans 3" w:ascii="source sans 3" w:hAnsi="source sans 3"/>
            <w:color w:val="#000"/>
            <w:sz w:val="21"/>
            <w:u w:val="single"/>
          </w:rPr>
          <w:t xml:space="preserve">Nature Medicine</w:t>
        </w:r>
      </w:hyperlink>
      <w:r>
        <w:rPr>
          <w:rFonts w:eastAsia="source serif 4" w:cs="source serif 4" w:ascii="source serif 4" w:hAnsi="source serif 4"/>
          <w:color w:val="000000"/>
          <w:sz w:val="21"/>
        </w:rPr>
        <w:t xml:space="preserve">)</w:t>
      </w:r>
    </w:p>
    <w:p>
      <w:pPr>
        <w:numPr>
          <w:ilvl w:val="0"/>
          <w:numId w:val="4"/>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2025 (published online January 8, 2025; in Nature Medicine issue March 2025)</w:t>
      </w:r>
    </w:p>
    <w:p>
      <w:pPr>
        <w:numPr>
          <w:ilvl w:val="0"/>
          <w:numId w:val="4"/>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Nature Medicine, 31(3), 943–950</w:t>
      </w:r>
    </w:p>
    <w:p>
      <w:pPr>
        <w:numPr>
          <w:ilvl w:val="0"/>
          <w:numId w:val="4"/>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9">
        <w:r>
          <w:rPr>
            <w:rFonts w:eastAsia="source sans 3" w:cs="source sans 3" w:ascii="source sans 3" w:hAnsi="source sans 3"/>
            <w:color w:val="#000"/>
            <w:sz w:val="21"/>
            <w:u w:val="single"/>
          </w:rPr>
          <w:t xml:space="preserve">10.1038/s41591-024-03423-7</w:t>
        </w:r>
      </w:hyperlink>
    </w:p>
    <w:p>
      <w:pPr>
        <w:numPr>
          <w:ilvl w:val="0"/>
          <w:numId w:val="4"/>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Medical QA is a "grand challenge." Existing multiple-choice benchmarks measure knowledge but do not capture the ability to generate factual, safe, nuanced answers. Earlier LLMs (Flan-PaLM, Med-PaLM) had important shortfalls compared with physician answers.</w:t>
      </w:r>
    </w:p>
    <w:p>
      <w:pPr>
        <w:numPr>
          <w:ilvl w:val="0"/>
          <w:numId w:val="4"/>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Development and evaluation of Med-PaLM 2, an improved medical LLM with medical domain-specific fine-tuning and new prompting strategies for reasoning and grounding. Evaluation using multiple-choice benchmarks, human evaluation of long-form answers, pairwise comparisons with physician answers, adversarial testing, and real-world specialist consultation questions.</w:t>
      </w:r>
    </w:p>
    <w:p>
      <w:pPr>
        <w:numPr>
          <w:ilvl w:val="0"/>
          <w:numId w:val="4"/>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MultiMedQA benchmark (MedQA, MedMCQA, PubMedQA, MMLU clinical topics); MultiMedQA 140 dataset for long-form answer evaluation; adversarial datasets.</w:t>
      </w:r>
    </w:p>
    <w:p>
      <w:pPr>
        <w:numPr>
          <w:ilvl w:val="0"/>
          <w:numId w:val="4"/>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Improved base LLM, medical domain-specific fine-tuning, ensemble refinement (ER) prompting strategy, human evaluation across 9 clinical axes.</w:t>
      </w:r>
    </w:p>
    <w:p>
      <w:pPr>
        <w:numPr>
          <w:ilvl w:val="0"/>
          <w:numId w:val="4"/>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Med-PaLM 2 achieved 86.5% on MedQA, improving upon Med-PaLM by over 19%. Physicians preferred Med-PaLM 2 answers to physician answers on 8 of 9 clinical axes. Significant improvements on adversarial datasets (P &lt; 0.001).</w:t>
      </w:r>
    </w:p>
    <w:p>
      <w:pPr>
        <w:numPr>
          <w:ilvl w:val="0"/>
          <w:numId w:val="4"/>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Multiple-choice benchmarks still do not fully reflect real-world clinical decisions. The study did not address patient-specific clinical workflows. Responses are not grounded in retrieved evidence in real time. Benchmark data contamination risk exists.</w:t>
      </w:r>
    </w:p>
    <w:p>
      <w:pPr>
        <w:numPr>
          <w:ilvl w:val="0"/>
          <w:numId w:val="4"/>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Real-world clinical workflow integration remains unstudied; grounding responses in authoritative sources and patient-specific data are identified needs.</w:t>
      </w:r>
    </w:p>
    <w:p>
      <w:pPr>
        <w:numPr>
          <w:ilvl w:val="0"/>
          <w:numId w:val="4"/>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Med-PaLM 2 represents the state of the art in medical QA but does not integrate evidence retrieval (RAG), patient-specific longitudinal data, or clinical review alerts. DocBot AI's RAG-based approach directly addresses the evidence-grounding gap identified by Med-PaLM 2's authors.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_retrieval_augmented_generation_517a6d"/>
      <w:r>
        <w:rPr>
          <w:rFonts w:eastAsia="source serif 4" w:cs="source serif 4" w:ascii="source serif 4" w:hAnsi="source serif 4"/>
          <w:b/>
          <w:color w:val="000000"/>
          <w:sz w:val="24"/>
        </w:rPr>
        <w:t xml:space="preserve">B. Retrieval-Augmented Generation (RAG) for Medical/Healthcare QA</w:t>
      </w:r>
      <w:bookmarkEnd w:id="9"/>
    </w:p>
    <w:p>
      <w:pPr>
        <w:spacing w:line="360" w:before="315" w:after="105" w:lineRule="auto"/>
        <w:ind w:left="-30"/>
        <w:jc w:val="left"/>
      </w:pPr>
      <w:bookmarkStart w:id="10" w:name="b1_rag_foundational_lewis_et_al_2020"/>
      <w:r>
        <w:rPr>
          <w:rFonts w:eastAsia="source serif 4" w:cs="source serif 4" w:ascii="source serif 4" w:hAnsi="source serif 4"/>
          <w:b/>
          <w:color w:val="000000"/>
          <w:sz w:val="24"/>
        </w:rPr>
        <w:t xml:space="preserve">B1. RAG (Foundational) — Lewis et al. (2020)</w:t>
      </w:r>
      <w:bookmarkEnd w:id="10"/>
    </w:p>
    <w:p>
      <w:pPr>
        <w:numPr>
          <w:ilvl w:val="0"/>
          <w:numId w:val="5"/>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Retrieval-Augmented Generation for Knowledge-Intensive NLP Tasks</w:t>
      </w:r>
    </w:p>
    <w:p>
      <w:pPr>
        <w:numPr>
          <w:ilvl w:val="0"/>
          <w:numId w:val="5"/>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Patrick Lewis, Ethan Perez, Aleksandra Piktus, Fabio Petroni, Vladimir Karpukhin, Naman Goyal, Heinrich Küttler, Mike Lewis, Wen-tau Yih, Tim Rocktäschel, Sebastian Riedel, Douwe Kiela</w:t>
      </w:r>
    </w:p>
    <w:p>
      <w:pPr>
        <w:numPr>
          <w:ilvl w:val="0"/>
          <w:numId w:val="5"/>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2020</w:t>
      </w:r>
    </w:p>
    <w:p>
      <w:pPr>
        <w:numPr>
          <w:ilvl w:val="0"/>
          <w:numId w:val="5"/>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NeurIPS 2020</w:t>
      </w:r>
    </w:p>
    <w:p>
      <w:pPr>
        <w:numPr>
          <w:ilvl w:val="0"/>
          <w:numId w:val="5"/>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10">
        <w:r>
          <w:rPr>
            <w:rFonts w:eastAsia="source sans 3" w:cs="source sans 3" w:ascii="source sans 3" w:hAnsi="source sans 3"/>
            <w:color w:val="#000"/>
            <w:sz w:val="21"/>
            <w:u w:val="single"/>
          </w:rPr>
          <w:t xml:space="preserve">arXiv:2005.11401</w:t>
        </w:r>
      </w:hyperlink>
    </w:p>
    <w:p>
      <w:pPr>
        <w:numPr>
          <w:ilvl w:val="0"/>
          <w:numId w:val="5"/>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Large pre-trained language models store factual knowledge in their parameters but have limited ability to access and precisely manipulate knowledge. Providing provenance for model decisions and updating models' world knowledge remain open problems.</w:t>
      </w:r>
    </w:p>
    <w:p>
      <w:pPr>
        <w:numPr>
          <w:ilvl w:val="0"/>
          <w:numId w:val="5"/>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Introducing RAG, a general-purpose fine-tuning recipe combining pre-trained parametric memory (seq2seq model), non-parametric memory (dense vector index of Wikipedia), and language generation. Comparing two RAG formulations: one retrieving the same passages across the whole sequence, another allowing different passages per token.</w:t>
      </w:r>
    </w:p>
    <w:p>
      <w:pPr>
        <w:numPr>
          <w:ilvl w:val="0"/>
          <w:numId w:val="5"/>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Wikipedia (dense vector index); knowledge-intensive NLP benchmarks.</w:t>
      </w:r>
    </w:p>
    <w:p>
      <w:pPr>
        <w:numPr>
          <w:ilvl w:val="0"/>
          <w:numId w:val="5"/>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Pre-trained seq2seq model (parametric memory), dense vector index (non-parametric memory), pre-trained neural retriever, differentiable access mechanism to non-parametric memory.</w:t>
      </w:r>
    </w:p>
    <w:p>
      <w:pPr>
        <w:numPr>
          <w:ilvl w:val="0"/>
          <w:numId w:val="5"/>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RAG models achieved state-of-the-art on knowledge-intensive tasks, could provide provenance for generated answers, and allowed knowledge updates without retraining the model.</w:t>
      </w:r>
    </w:p>
    <w:p>
      <w:pPr>
        <w:numPr>
          <w:ilvl w:val="0"/>
          <w:numId w:val="5"/>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Non-medical domain; retrieval quality depends on the index; does not address patient-specific data.</w:t>
      </w:r>
    </w:p>
    <w:p>
      <w:pPr>
        <w:numPr>
          <w:ilvl w:val="0"/>
          <w:numId w:val="5"/>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Providing provenance and updating knowledge are open problems — RAG addresses these but in a general (non-medical) context.</w:t>
      </w:r>
    </w:p>
    <w:p>
      <w:pPr>
        <w:numPr>
          <w:ilvl w:val="0"/>
          <w:numId w:val="5"/>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RAG is the foundational technique underlying DocBot AI's evidence-grounded QA pipeline. DocBot AI adapts RAG to the medical domain with curated medical knowledge bases and extends it with patient-specific longitudinal monitoring.</w:t>
      </w:r>
    </w:p>
    <w:p>
      <w:pPr>
        <w:spacing w:line="360" w:before="315" w:after="105" w:lineRule="auto"/>
        <w:ind w:left="-30"/>
        <w:jc w:val="left"/>
      </w:pPr>
      <w:bookmarkStart w:id="11" w:name="b2_almanac_zakka_et_al_2024"/>
      <w:r>
        <w:rPr>
          <w:rFonts w:eastAsia="source serif 4" w:cs="source serif 4" w:ascii="source serif 4" w:hAnsi="source serif 4"/>
          <w:b/>
          <w:color w:val="000000"/>
          <w:sz w:val="24"/>
        </w:rPr>
        <w:t xml:space="preserve">B2. Almanac — Zakka et al. (2024)</w:t>
      </w:r>
      <w:bookmarkEnd w:id="11"/>
    </w:p>
    <w:p>
      <w:pPr>
        <w:numPr>
          <w:ilvl w:val="0"/>
          <w:numId w:val="6"/>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Almanac — Retrieval-Augmented Language Models for Clinical Medicine</w:t>
      </w:r>
    </w:p>
    <w:p>
      <w:pPr>
        <w:numPr>
          <w:ilvl w:val="0"/>
          <w:numId w:val="6"/>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Cyril Zakka et al. (Stanford Medicine; see </w:t>
      </w:r>
      <w:hyperlink r:id="rId11">
        <w:r>
          <w:rPr>
            <w:rFonts w:eastAsia="source sans 3" w:cs="source sans 3" w:ascii="source sans 3" w:hAnsi="source sans 3"/>
            <w:color w:val="#000"/>
            <w:sz w:val="21"/>
            <w:u w:val="single"/>
          </w:rPr>
          <w:t xml:space="preserve">NEJM AI</w:t>
        </w:r>
      </w:hyperlink>
      <w:r>
        <w:rPr>
          <w:rFonts w:eastAsia="source serif 4" w:cs="source serif 4" w:ascii="source serif 4" w:hAnsi="source serif 4"/>
          <w:color w:val="000000"/>
          <w:sz w:val="21"/>
        </w:rPr>
        <w:t xml:space="preserve">)</w:t>
      </w:r>
    </w:p>
    <w:p>
      <w:pPr>
        <w:numPr>
          <w:ilvl w:val="0"/>
          <w:numId w:val="6"/>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2024</w:t>
      </w:r>
    </w:p>
    <w:p>
      <w:pPr>
        <w:numPr>
          <w:ilvl w:val="0"/>
          <w:numId w:val="6"/>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NEJM AI</w:t>
      </w:r>
    </w:p>
    <w:p>
      <w:pPr>
        <w:numPr>
          <w:ilvl w:val="0"/>
          <w:numId w:val="6"/>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12">
        <w:r>
          <w:rPr>
            <w:rFonts w:eastAsia="source sans 3" w:cs="source sans 3" w:ascii="source sans 3" w:hAnsi="source sans 3"/>
            <w:color w:val="#000"/>
            <w:sz w:val="21"/>
            <w:u w:val="single"/>
          </w:rPr>
          <w:t xml:space="preserve">10.1056/AIoa2300068</w:t>
        </w:r>
      </w:hyperlink>
    </w:p>
    <w:p>
      <w:pPr>
        <w:numPr>
          <w:ilvl w:val="0"/>
          <w:numId w:val="6"/>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LLMs demonstrate zero-shot capabilities but their adoption in clinical medicine is limited by their tendency to generate incorrect and sometimes harmful statements.</w:t>
      </w:r>
    </w:p>
    <w:p>
      <w:pPr>
        <w:numPr>
          <w:ilvl w:val="0"/>
          <w:numId w:val="6"/>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Evaluation of Almanac, an LLM framework augmented with retrieval capabilities from curated medical resources for medical guideline and treatment recommendations. Panel of 8 board-certified clinicians and 2 healthcare practitioners compared Almanac with ChatGPT-4, Bing, and Bard on 314 clinical questions across 9 medical specialties.</w:t>
      </w:r>
    </w:p>
    <w:p>
      <w:pPr>
        <w:numPr>
          <w:ilvl w:val="0"/>
          <w:numId w:val="6"/>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ClinicalQA dataset — 314 clinical questions spanning 9 medical specialties (25 published; remainder available on request due to benchmark contamination concerns).</w:t>
      </w:r>
    </w:p>
    <w:p>
      <w:pPr>
        <w:numPr>
          <w:ilvl w:val="0"/>
          <w:numId w:val="6"/>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LLM with retrieval from curated medical resources; comparison with ChatGPT-4, Bing, Bard; evaluation across factuality, completeness, user preference, and adversarial safety.</w:t>
      </w:r>
    </w:p>
    <w:p>
      <w:pPr>
        <w:numPr>
          <w:ilvl w:val="0"/>
          <w:numId w:val="6"/>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Almanac showed significant improvement over standard LLMs across factuality, completeness, user preference, and adversarial safety. Demonstrates the potential of LLMs with domain-specific corpora for clinical decision-making.</w:t>
      </w:r>
    </w:p>
    <w:p>
      <w:pPr>
        <w:numPr>
          <w:ilvl w:val="0"/>
          <w:numId w:val="6"/>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Evaluated on guideline/treatment recommendations only; no patient-specific longitudinal data; no lab trend monitoring or clinical alerts; not deployed in real clinical workflow.</w:t>
      </w:r>
    </w:p>
    <w:p>
      <w:pPr>
        <w:numPr>
          <w:ilvl w:val="0"/>
          <w:numId w:val="6"/>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The need to carefully test LLMs before deployment to mitigate their shortcomings is emphasized. No future-work agenda explicitly stated on integration with longitudinal patient data.</w:t>
      </w:r>
    </w:p>
    <w:p>
      <w:pPr>
        <w:numPr>
          <w:ilvl w:val="0"/>
          <w:numId w:val="6"/>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Almanac validates the RAG approach for clinical QA — the core technique DocBot AI adopts. However, Almanac does not incorporate longitudinal patient monitoring, trend detection, or clinical review alerts, which DocBot AI integrates.</w:t>
      </w:r>
    </w:p>
    <w:p>
      <w:pPr>
        <w:spacing w:line="360" w:before="315" w:after="105" w:lineRule="auto"/>
        <w:ind w:left="-30"/>
        <w:jc w:val="left"/>
      </w:pPr>
      <w:bookmarkStart w:id="12" w:name="b3_rag²_rationale_guided_rag_sohn_d2aabd"/>
      <w:r>
        <w:rPr>
          <w:rFonts w:eastAsia="source serif 4" w:cs="source serif 4" w:ascii="source serif 4" w:hAnsi="source serif 4"/>
          <w:b/>
          <w:color w:val="000000"/>
          <w:sz w:val="24"/>
        </w:rPr>
        <w:t xml:space="preserve">B3. RAG² (Rationale-Guided RAG) — Sohn et al. (2025)</w:t>
      </w:r>
      <w:bookmarkEnd w:id="12"/>
    </w:p>
    <w:p>
      <w:pPr>
        <w:numPr>
          <w:ilvl w:val="0"/>
          <w:numId w:val="7"/>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Rationale-Guided Retrieval Augmented Generation for Medical Question Answering</w:t>
      </w:r>
    </w:p>
    <w:p>
      <w:pPr>
        <w:numPr>
          <w:ilvl w:val="0"/>
          <w:numId w:val="7"/>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Jiwoong Sohn, Yein Park, Chanwoong Yoon, Sihyeon Park, Hyeon Hwang, Mujeen Sung, Hyunjae Kim, Jaewoo Kang</w:t>
      </w:r>
    </w:p>
    <w:p>
      <w:pPr>
        <w:numPr>
          <w:ilvl w:val="0"/>
          <w:numId w:val="7"/>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2025</w:t>
      </w:r>
    </w:p>
    <w:p>
      <w:pPr>
        <w:numPr>
          <w:ilvl w:val="0"/>
          <w:numId w:val="7"/>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NAACL 2025 (Oral)</w:t>
      </w:r>
    </w:p>
    <w:p>
      <w:pPr>
        <w:numPr>
          <w:ilvl w:val="0"/>
          <w:numId w:val="7"/>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13">
        <w:r>
          <w:rPr>
            <w:rFonts w:eastAsia="source sans 3" w:cs="source sans 3" w:ascii="source sans 3" w:hAnsi="source sans 3"/>
            <w:color w:val="#000"/>
            <w:sz w:val="21"/>
            <w:u w:val="single"/>
          </w:rPr>
          <w:t xml:space="preserve">arXiv:2411.00300</w:t>
        </w:r>
      </w:hyperlink>
    </w:p>
    <w:p>
      <w:pPr>
        <w:numPr>
          <w:ilvl w:val="0"/>
          <w:numId w:val="7"/>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LLMs struggle with hallucinations and outdated knowledge. RAG has its own challenges: LLMs are vulnerable to irrelevant/incorrect context, medical queries are often not well-targeted, and retrievers are prone to bias toward their training corpus.</w:t>
      </w:r>
    </w:p>
    <w:p>
      <w:pPr>
        <w:numPr>
          <w:ilvl w:val="0"/>
          <w:numId w:val="7"/>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Presents RAG², a framework using LLM-generated rationales as queries to improve retrieval, selectively augmenting informative snippets while filtering distractors, and retrieving evenly from four biomedical corpora to mitigate retriever bias.</w:t>
      </w:r>
    </w:p>
    <w:p>
      <w:pPr>
        <w:numPr>
          <w:ilvl w:val="0"/>
          <w:numId w:val="7"/>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Four biomedical corpora (not named in abstract); medical QA benchmarks.</w:t>
      </w:r>
    </w:p>
    <w:p>
      <w:pPr>
        <w:numPr>
          <w:ilvl w:val="0"/>
          <w:numId w:val="7"/>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Rationale-guided retrieval, small filtering model trained with perplexity-based labels, multi-corpus retrieval structure, LLMs of varying sizes.</w:t>
      </w:r>
    </w:p>
    <w:p>
      <w:pPr>
        <w:numPr>
          <w:ilvl w:val="0"/>
          <w:numId w:val="7"/>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RAG² improved performance of LLMs on medical QA by improving retrieval quality and reducing bias toward specific corpora.</w:t>
      </w:r>
    </w:p>
    <w:p>
      <w:pPr>
        <w:numPr>
          <w:ilvl w:val="0"/>
          <w:numId w:val="7"/>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medical QA benchmarks; no patient-specific data, no longitudinal monitoring, no clinical alert generation.</w:t>
      </w:r>
    </w:p>
    <w:p>
      <w:pPr>
        <w:numPr>
          <w:ilvl w:val="0"/>
          <w:numId w:val="7"/>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LLM vulnerability to irrelevant context, poorly targeted medical queries, and retriever bias are identified challenges in biomedical RAG.</w:t>
      </w:r>
    </w:p>
    <w:p>
      <w:pPr>
        <w:numPr>
          <w:ilvl w:val="0"/>
          <w:numId w:val="7"/>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RAG² addresses retrieval quality issues relevant to DocBot AI's knowledge retrieval module. DocBot AI adopts similar evidence-grounding principles but extends the system with longitudinal patient monitoring and clinical review alerts.</w:t>
      </w:r>
    </w:p>
    <w:p>
      <w:pPr>
        <w:spacing w:line="360" w:before="315" w:after="105" w:lineRule="auto"/>
        <w:ind w:left="-30"/>
        <w:jc w:val="left"/>
      </w:pPr>
      <w:bookmarkStart w:id="13" w:name="b4_rag_for_medical_qa_zhang_et_al_2026"/>
      <w:r>
        <w:rPr>
          <w:rFonts w:eastAsia="source serif 4" w:cs="source serif 4" w:ascii="source serif 4" w:hAnsi="source serif 4"/>
          <w:b/>
          <w:color w:val="000000"/>
          <w:sz w:val="24"/>
        </w:rPr>
        <w:t xml:space="preserve">B4. RAG for Medical QA — Zhang et al. (2026)</w:t>
      </w:r>
      <w:bookmarkEnd w:id="13"/>
    </w:p>
    <w:p>
      <w:pPr>
        <w:numPr>
          <w:ilvl w:val="0"/>
          <w:numId w:val="8"/>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Retrieval-Augmented Generation for Medical Question Answering</w:t>
      </w:r>
    </w:p>
    <w:p>
      <w:pPr>
        <w:numPr>
          <w:ilvl w:val="0"/>
          <w:numId w:val="8"/>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Shiran Zhang, Evelyn Phan, Pedro Velmovitsky, Quynh Pham, Scott Sanner</w:t>
      </w:r>
    </w:p>
    <w:p>
      <w:pPr>
        <w:numPr>
          <w:ilvl w:val="0"/>
          <w:numId w:val="8"/>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2026</w:t>
      </w:r>
    </w:p>
    <w:p>
      <w:pPr>
        <w:numPr>
          <w:ilvl w:val="0"/>
          <w:numId w:val="8"/>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JMIR Formative Research, 10, e84932</w:t>
      </w:r>
    </w:p>
    <w:p>
      <w:pPr>
        <w:numPr>
          <w:ilvl w:val="0"/>
          <w:numId w:val="8"/>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14">
        <w:r>
          <w:rPr>
            <w:rFonts w:eastAsia="source sans 3" w:cs="source sans 3" w:ascii="source sans 3" w:hAnsi="source sans 3"/>
            <w:color w:val="#000"/>
            <w:sz w:val="21"/>
            <w:u w:val="single"/>
          </w:rPr>
          <w:t xml:space="preserve">10.2196/84932</w:t>
        </w:r>
      </w:hyperlink>
    </w:p>
    <w:p>
      <w:pPr>
        <w:numPr>
          <w:ilvl w:val="0"/>
          <w:numId w:val="8"/>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Medical QA systems must handle queries with different risk levels — from factual questions to high-risk diagnostic/treatment questions that should not be answered directly. LLMs may hallucinate, produce outdated answers, or exhibit faulty reasoning.</w:t>
      </w:r>
    </w:p>
    <w:p>
      <w:pPr>
        <w:numPr>
          <w:ilvl w:val="0"/>
          <w:numId w:val="8"/>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A safer medical QA system that grounds answers in an evidence-based external corpus, classifies queries by risk, uses retrieval and generation components appropriate to each query type, verifies and refines responses, and avoids answering high-risk or non-answerable questions.</w:t>
      </w:r>
    </w:p>
    <w:p>
      <w:pPr>
        <w:numPr>
          <w:ilvl w:val="0"/>
          <w:numId w:val="8"/>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Evidence-based medical corpus (not specified in available content).</w:t>
      </w:r>
    </w:p>
    <w:p>
      <w:pPr>
        <w:numPr>
          <w:ilvl w:val="0"/>
          <w:numId w:val="8"/>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RAG pipeline, query risk classification, response verification and refinement, evidence-based retrieval.</w:t>
      </w:r>
    </w:p>
    <w:p>
      <w:pPr>
        <w:numPr>
          <w:ilvl w:val="0"/>
          <w:numId w:val="8"/>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The system demonstrated improved safety by classifying query risk and grounding answers in evidence, with appropriate deferral for high-risk questions.</w:t>
      </w:r>
    </w:p>
    <w:p>
      <w:pPr>
        <w:numPr>
          <w:ilvl w:val="0"/>
          <w:numId w:val="8"/>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QA safety and evidence grounding; no longitudinal patient data, trend monitoring, or clinical alerts.</w:t>
      </w:r>
    </w:p>
    <w:p>
      <w:pPr>
        <w:numPr>
          <w:ilvl w:val="0"/>
          <w:numId w:val="8"/>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Existing medical QA approaches face limitations in scalability, handling complex questions, hallucinations, outdated information, and maintaining relevance across specialties.</w:t>
      </w:r>
    </w:p>
    <w:p>
      <w:pPr>
        <w:numPr>
          <w:ilvl w:val="0"/>
          <w:numId w:val="8"/>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work's risk-aware QA approach aligns with DocBot AI's design principle of indicating insufficient evidence rather than generating unsupported responses. DocBot AI extends this with longitudinal monitoring and clinical review alerts.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c_hallucination_factuality_eviden_c7533f"/>
      <w:r>
        <w:rPr>
          <w:rFonts w:eastAsia="source serif 4" w:cs="source serif 4" w:ascii="source serif 4" w:hAnsi="source serif 4"/>
          <w:b/>
          <w:color w:val="000000"/>
          <w:sz w:val="24"/>
        </w:rPr>
        <w:t xml:space="preserve">C. Hallucination, Factuality, Evidence Grounding, and Reliability of LLMs in Healthcare</w:t>
      </w:r>
      <w:bookmarkEnd w:id="14"/>
    </w:p>
    <w:p>
      <w:pPr>
        <w:spacing w:line="360" w:before="315" w:after="105" w:lineRule="auto"/>
        <w:ind w:left="-30"/>
        <w:jc w:val="left"/>
      </w:pPr>
      <w:bookmarkStart w:id="15" w:name="c1_hallucination_mitigation_syste_358655"/>
      <w:r>
        <w:rPr>
          <w:rFonts w:eastAsia="source serif 4" w:cs="source serif 4" w:ascii="source serif 4" w:hAnsi="source serif 4"/>
          <w:b/>
          <w:color w:val="000000"/>
          <w:sz w:val="24"/>
        </w:rPr>
        <w:t xml:space="preserve">C1. Hallucination Mitigation Systematic Review — Basu &amp; Huynh (2026)</w:t>
      </w:r>
      <w:bookmarkEnd w:id="15"/>
    </w:p>
    <w:p>
      <w:pPr>
        <w:numPr>
          <w:ilvl w:val="0"/>
          <w:numId w:val="9"/>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Mitigating hallucinations in healthcare AI: a systematic review of evidence-based strategies</w:t>
      </w:r>
    </w:p>
    <w:p>
      <w:pPr>
        <w:numPr>
          <w:ilvl w:val="0"/>
          <w:numId w:val="9"/>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Sanjay Basu, Benjamin Huynh</w:t>
      </w:r>
    </w:p>
    <w:p>
      <w:pPr>
        <w:numPr>
          <w:ilvl w:val="0"/>
          <w:numId w:val="9"/>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2026</w:t>
      </w:r>
    </w:p>
    <w:p>
      <w:pPr>
        <w:numPr>
          <w:ilvl w:val="0"/>
          <w:numId w:val="9"/>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BMC Health Services Research, 26, 1115</w:t>
      </w:r>
    </w:p>
    <w:p>
      <w:pPr>
        <w:numPr>
          <w:ilvl w:val="0"/>
          <w:numId w:val="9"/>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15">
        <w:r>
          <w:rPr>
            <w:rFonts w:eastAsia="source sans 3" w:cs="source sans 3" w:ascii="source sans 3" w:hAnsi="source sans 3"/>
            <w:color w:val="#000"/>
            <w:sz w:val="21"/>
            <w:u w:val="single"/>
          </w:rPr>
          <w:t xml:space="preserve">10.1186/s12913-026-14851-1</w:t>
        </w:r>
      </w:hyperlink>
    </w:p>
    <w:p>
      <w:pPr>
        <w:numPr>
          <w:ilvl w:val="0"/>
          <w:numId w:val="9"/>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LLMs and AI systems in healthcare can generate hallucinations — factually incorrect or fabricated content that appears plausible — including fabricated citations, incorrect treatment statements, inaccurate patient summaries, and invented clinical guidelines. These may lead to misdiagnosis, inappropriate treatment, and compromised patient safety.</w:t>
      </w:r>
    </w:p>
    <w:p>
      <w:pPr>
        <w:numPr>
          <w:ilvl w:val="0"/>
          <w:numId w:val="9"/>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Systematic review (PRISMA guidelines, January 2019–April 2025) identifying and classifying evidence-based hallucination mitigation strategies in LLM-based healthcare AI. Evaluated effectiveness, implementation requirements, and limitations.</w:t>
      </w:r>
    </w:p>
    <w:p>
      <w:pPr>
        <w:numPr>
          <w:ilvl w:val="0"/>
          <w:numId w:val="9"/>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Empirical studies from January 2019 to April 2025 involving LLM-based and generative AI systems in healthcare.</w:t>
      </w:r>
    </w:p>
    <w:p>
      <w:pPr>
        <w:numPr>
          <w:ilvl w:val="0"/>
          <w:numId w:val="9"/>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Systematic review methodology; seven strategy categories identified: (1) RAG, (2) knowledge graph integration, (3) self-reflection frameworks, (4) specialized evaluation metrics, (5) human-in-the-loop (HITL) approaches, (6) specialized training techniques, (7) red teaming.</w:t>
      </w:r>
    </w:p>
    <w:p>
      <w:pPr>
        <w:numPr>
          <w:ilvl w:val="0"/>
          <w:numId w:val="9"/>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RAG was the most frequently evaluated strategy. FT + RAG systems consistently outperformed FT-only or RAG-only approaches. Identified research gaps in implementation, evaluation standardization, and real-world deployment.</w:t>
      </w:r>
    </w:p>
    <w:p>
      <w:pPr>
        <w:numPr>
          <w:ilvl w:val="0"/>
          <w:numId w:val="9"/>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As a systematic review, it synthesizes existing work but does not propose new systems. Heterogeneity of study designs limits direct comparison.</w:t>
      </w:r>
    </w:p>
    <w:p>
      <w:pPr>
        <w:numPr>
          <w:ilvl w:val="0"/>
          <w:numId w:val="9"/>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Research gaps identified include: lack of standardized healthcare-specific evaluation metrics, insufficient real-world deployment studies, need for clinical escalation pathways, and gaps in interoperability and data-model layers. The review explicitly calls for more research on integrating hallucination mitigation strategies into clinical workflows.</w:t>
      </w:r>
    </w:p>
    <w:p>
      <w:pPr>
        <w:numPr>
          <w:ilvl w:val="0"/>
          <w:numId w:val="9"/>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review directly supports DocBot AI's RAG-based approach as an evidence-based hallucination mitigation strategy. DocBot AI's design — grounding responses in retrieved evidence and displaying source information — aligns with the most effective mitigation strategy identified. The review's call for clinical workflow integration supports DocBot AI's combined QA + monitoring architecture.</w:t>
      </w:r>
    </w:p>
    <w:p>
      <w:pPr>
        <w:spacing w:line="360" w:before="315" w:after="105" w:lineRule="auto"/>
        <w:ind w:left="-30"/>
        <w:jc w:val="left"/>
      </w:pPr>
      <w:bookmarkStart w:id="16" w:name="c2_rag_for_laboratory_regulatory_7ffef0"/>
      <w:r>
        <w:rPr>
          <w:rFonts w:eastAsia="source serif 4" w:cs="source serif 4" w:ascii="source serif 4" w:hAnsi="source serif 4"/>
          <w:b/>
          <w:color w:val="000000"/>
          <w:sz w:val="24"/>
        </w:rPr>
        <w:t xml:space="preserve">C2. RAG for Laboratory Regulatory Interpretation — Nanua et al. (2025)</w:t>
      </w:r>
      <w:bookmarkEnd w:id="16"/>
    </w:p>
    <w:p>
      <w:pPr>
        <w:numPr>
          <w:ilvl w:val="0"/>
          <w:numId w:val="10"/>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Retrieval-augmented generation for interpreting clinical laboratory regulations using large language models</w:t>
      </w:r>
    </w:p>
    <w:p>
      <w:pPr>
        <w:numPr>
          <w:ilvl w:val="0"/>
          <w:numId w:val="10"/>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Suparna Nanua, Raven Steward, Benjamin Neely, Michael Datto, Kenneth Youens</w:t>
      </w:r>
    </w:p>
    <w:p>
      <w:pPr>
        <w:numPr>
          <w:ilvl w:val="0"/>
          <w:numId w:val="10"/>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2025</w:t>
      </w:r>
    </w:p>
    <w:p>
      <w:pPr>
        <w:numPr>
          <w:ilvl w:val="0"/>
          <w:numId w:val="10"/>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Journal of Pathology Informatics, 19, 100520</w:t>
      </w:r>
    </w:p>
    <w:p>
      <w:pPr>
        <w:numPr>
          <w:ilvl w:val="0"/>
          <w:numId w:val="10"/>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16">
        <w:r>
          <w:rPr>
            <w:rFonts w:eastAsia="source sans 3" w:cs="source sans 3" w:ascii="source sans 3" w:hAnsi="source sans 3"/>
            <w:color w:val="#000"/>
            <w:sz w:val="21"/>
            <w:u w:val="single"/>
          </w:rPr>
          <w:t xml:space="preserve">10.1016/j.jpi.2025.100520</w:t>
        </w:r>
      </w:hyperlink>
    </w:p>
    <w:p>
      <w:pPr>
        <w:numPr>
          <w:ilvl w:val="0"/>
          <w:numId w:val="10"/>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LLMs have limitations as standalone QA tools in specialized domains: dependence on training data, difficulty with precise technical information, non-deterministic outputs, hallucinations, and mixed performance on specialized clinical decision-support tasks.</w:t>
      </w:r>
    </w:p>
    <w:p>
      <w:pPr>
        <w:numPr>
          <w:ilvl w:val="0"/>
          <w:numId w:val="10"/>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Development of "Raven," a proof-of-concept RAG application answering laboratory regulatory questions using 42 CFR Part 493 as its authoritative source. Retrieves relevant regulatory text, provides it to an LLM, generates answers grounded in retrieved material, and displays original source text.</w:t>
      </w:r>
    </w:p>
    <w:p>
      <w:pPr>
        <w:numPr>
          <w:ilvl w:val="0"/>
          <w:numId w:val="10"/>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42 CFR Part 493 (laboratory regulations from the Code of Federal Regulations).</w:t>
      </w:r>
    </w:p>
    <w:p>
      <w:pPr>
        <w:numPr>
          <w:ilvl w:val="0"/>
          <w:numId w:val="10"/>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RAG pipeline with authoritative regulatory text source, LLM generation, source text display.</w:t>
      </w:r>
    </w:p>
    <w:p>
      <w:pPr>
        <w:numPr>
          <w:ilvl w:val="0"/>
          <w:numId w:val="10"/>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The RAG system could accurately answer laboratory regulatory questions using the authoritative source, reducing cognitive and administrative burden.</w:t>
      </w:r>
    </w:p>
    <w:p>
      <w:pPr>
        <w:numPr>
          <w:ilvl w:val="0"/>
          <w:numId w:val="10"/>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Limited to laboratory regulatory QA; no patient-specific data, no longitudinal monitoring, no trend detection, no clinical alerts.</w:t>
      </w:r>
    </w:p>
    <w:p>
      <w:pPr>
        <w:numPr>
          <w:ilvl w:val="0"/>
          <w:numId w:val="10"/>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Not explicitly stated beyond the need for authoritative source grounding.</w:t>
      </w:r>
    </w:p>
    <w:p>
      <w:pPr>
        <w:numPr>
          <w:ilvl w:val="0"/>
          <w:numId w:val="10"/>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study demonstrates the RAG approach in a clinical laboratory context, directly relevant to DocBot AI's evidence-grounded QA and laboratory result monitoring components. The source-display feature mirrors DocBot AI's evidence/source display design.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d_medical_knowledge_retrieval_usi_3d6bfe"/>
      <w:r>
        <w:rPr>
          <w:rFonts w:eastAsia="source serif 4" w:cs="source serif 4" w:ascii="source serif 4" w:hAnsi="source serif 4"/>
          <w:b/>
          <w:color w:val="000000"/>
          <w:sz w:val="24"/>
        </w:rPr>
        <w:t xml:space="preserve">D. Medical Knowledge Retrieval Using Embeddings/Vector Search</w:t>
      </w:r>
      <w:bookmarkEnd w:id="17"/>
    </w:p>
    <w:p>
      <w:pPr>
        <w:spacing w:line="360" w:before="315" w:after="105" w:lineRule="auto"/>
        <w:ind w:left="-30"/>
        <w:jc w:val="left"/>
      </w:pPr>
      <w:bookmarkStart w:id="18" w:name="d1_biobert_lee_et_al_2020"/>
      <w:r>
        <w:rPr>
          <w:rFonts w:eastAsia="source serif 4" w:cs="source serif 4" w:ascii="source serif 4" w:hAnsi="source serif 4"/>
          <w:b/>
          <w:color w:val="000000"/>
          <w:sz w:val="24"/>
        </w:rPr>
        <w:t xml:space="preserve">D1. BioBERT — Lee et al. (2020)</w:t>
      </w:r>
      <w:bookmarkEnd w:id="18"/>
    </w:p>
    <w:p>
      <w:pPr>
        <w:numPr>
          <w:ilvl w:val="0"/>
          <w:numId w:val="11"/>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BioBERT: a pre-trained biomedical language representation model for biomedical text mining</w:t>
      </w:r>
    </w:p>
    <w:p>
      <w:pPr>
        <w:numPr>
          <w:ilvl w:val="0"/>
          <w:numId w:val="11"/>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Jinhyuk Lee, Wonjin Yoon, Sungdong Kim, Donghyeon Kim, Sunkyu Kim, Chan Ho So, Jaewoo Kang</w:t>
      </w:r>
    </w:p>
    <w:p>
      <w:pPr>
        <w:numPr>
          <w:ilvl w:val="0"/>
          <w:numId w:val="11"/>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2020</w:t>
      </w:r>
    </w:p>
    <w:p>
      <w:pPr>
        <w:numPr>
          <w:ilvl w:val="0"/>
          <w:numId w:val="11"/>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Bioinformatics, 36(4), 1234–1240</w:t>
      </w:r>
    </w:p>
    <w:p>
      <w:pPr>
        <w:numPr>
          <w:ilvl w:val="0"/>
          <w:numId w:val="11"/>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17">
        <w:r>
          <w:rPr>
            <w:rFonts w:eastAsia="source sans 3" w:cs="source sans 3" w:ascii="source sans 3" w:hAnsi="source sans 3"/>
            <w:color w:val="#000"/>
            <w:sz w:val="21"/>
            <w:u w:val="single"/>
          </w:rPr>
          <w:t xml:space="preserve">10.1093/bioinformatics/btz682</w:t>
        </w:r>
      </w:hyperlink>
    </w:p>
    <w:p>
      <w:pPr>
        <w:numPr>
          <w:ilvl w:val="0"/>
          <w:numId w:val="11"/>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Directly applying general-domain NLP advances to biomedical text mining produces unsatisfactory results due to word distribution shift from general-domain to biomedical corpora.</w:t>
      </w:r>
    </w:p>
    <w:p>
      <w:pPr>
        <w:numPr>
          <w:ilvl w:val="0"/>
          <w:numId w:val="11"/>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Introducing BioBERT, a domain-specific BERT model pre-trained on large-scale biomedical corpora, evaluated across biomedical NER, relation extraction, and QA tasks.</w:t>
      </w:r>
    </w:p>
    <w:p>
      <w:pPr>
        <w:numPr>
          <w:ilvl w:val="0"/>
          <w:numId w:val="11"/>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PubMed abstracts and PMC full-text articles for pre-training; benchmark datasets for NER, relation extraction, and QA.</w:t>
      </w:r>
    </w:p>
    <w:p>
      <w:pPr>
        <w:numPr>
          <w:ilvl w:val="0"/>
          <w:numId w:val="11"/>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BERT architecture, pre-training on biomedical corpora, fine-tuning for biomedical text-mining tasks.</w:t>
      </w:r>
    </w:p>
    <w:p>
      <w:pPr>
        <w:numPr>
          <w:ilvl w:val="0"/>
          <w:numId w:val="11"/>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BioBERT largely outperformed BERT and previous state-of-the-art models across biomedical text-mining tasks, demonstrating the value of domain-specific pre-training.</w:t>
      </w:r>
    </w:p>
    <w:p>
      <w:pPr>
        <w:numPr>
          <w:ilvl w:val="0"/>
          <w:numId w:val="11"/>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Pre-training corpora limited to PubMed and PMC; does not address patient-specific data or clinical decision support.</w:t>
      </w:r>
    </w:p>
    <w:p>
      <w:pPr>
        <w:numPr>
          <w:ilvl w:val="0"/>
          <w:numId w:val="11"/>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Not explicitly stated beyond the observation that general-domain models underperform on biomedical text.</w:t>
      </w:r>
    </w:p>
    <w:p>
      <w:pPr>
        <w:numPr>
          <w:ilvl w:val="0"/>
          <w:numId w:val="11"/>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BioBERT is a foundational model for biomedical text understanding, directly relevant to DocBot AI's text embedding and semantic search components. DocBot AI's embedding-based retrieval benefits from domain-specific biomedical language models.</w:t>
      </w:r>
    </w:p>
    <w:p>
      <w:pPr>
        <w:spacing w:line="360" w:before="315" w:after="105" w:lineRule="auto"/>
        <w:ind w:left="-30"/>
        <w:jc w:val="left"/>
      </w:pPr>
      <w:bookmarkStart w:id="19" w:name="d2_sapbert_liu_et_al_2021"/>
      <w:r>
        <w:rPr>
          <w:rFonts w:eastAsia="source serif 4" w:cs="source serif 4" w:ascii="source serif 4" w:hAnsi="source serif 4"/>
          <w:b/>
          <w:color w:val="000000"/>
          <w:sz w:val="24"/>
        </w:rPr>
        <w:t xml:space="preserve">D2. SapBERT — Liu et al. (2021)</w:t>
      </w:r>
      <w:bookmarkEnd w:id="19"/>
    </w:p>
    <w:p>
      <w:pPr>
        <w:numPr>
          <w:ilvl w:val="0"/>
          <w:numId w:val="12"/>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Self-Alignment Pretraining for Biomedical Entity Representations</w:t>
      </w:r>
    </w:p>
    <w:p>
      <w:pPr>
        <w:numPr>
          <w:ilvl w:val="0"/>
          <w:numId w:val="12"/>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Fangyu Liu, Ehsan Shareghi, Zaiqiao Meng, Marco Basaldella, Nigel Collier</w:t>
      </w:r>
    </w:p>
    <w:p>
      <w:pPr>
        <w:numPr>
          <w:ilvl w:val="0"/>
          <w:numId w:val="12"/>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2021</w:t>
      </w:r>
    </w:p>
    <w:p>
      <w:pPr>
        <w:numPr>
          <w:ilvl w:val="0"/>
          <w:numId w:val="12"/>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NAACL 2021</w:t>
      </w:r>
    </w:p>
    <w:p>
      <w:pPr>
        <w:numPr>
          <w:ilvl w:val="0"/>
          <w:numId w:val="12"/>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18">
        <w:r>
          <w:rPr>
            <w:rFonts w:eastAsia="source sans 3" w:cs="source sans 3" w:ascii="source sans 3" w:hAnsi="source sans 3"/>
            <w:color w:val="#000"/>
            <w:sz w:val="21"/>
            <w:u w:val="single"/>
          </w:rPr>
          <w:t xml:space="preserve">arXiv:2010.11784</w:t>
        </w:r>
      </w:hyperlink>
    </w:p>
    <w:p>
      <w:pPr>
        <w:numPr>
          <w:ilvl w:val="0"/>
          <w:numId w:val="12"/>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Self-supervised learning via masked language models has achieved success, but accurately capturing fine-grained semantic relationships in the biomedical domain remains challenging, particularly for entity-level tasks like entity linking.</w:t>
      </w:r>
    </w:p>
    <w:p>
      <w:pPr>
        <w:numPr>
          <w:ilvl w:val="0"/>
          <w:numId w:val="12"/>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Developing SapBERT, a pretraining scheme that self-aligns the representation space of biomedical entities using scalable metric learning on UMLS. Provides a "one-model-for-all" solution to medical entity linking.</w:t>
      </w:r>
    </w:p>
    <w:p>
      <w:pPr>
        <w:numPr>
          <w:ilvl w:val="0"/>
          <w:numId w:val="12"/>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UMLS (Unified Medical Language System) — 4+ million concepts; six MEL benchmarking datasets.</w:t>
      </w:r>
    </w:p>
    <w:p>
      <w:pPr>
        <w:numPr>
          <w:ilvl w:val="0"/>
          <w:numId w:val="12"/>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Masked language model pretraining, self-alignment via scalable metric learning, UMLS ontology information.</w:t>
      </w:r>
    </w:p>
    <w:p>
      <w:pPr>
        <w:numPr>
          <w:ilvl w:val="0"/>
          <w:numId w:val="12"/>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SapBERT provided state-of-the-art performance on medical entity linking benchmarks, offering a unified approach without task-specific architectures.</w:t>
      </w:r>
    </w:p>
    <w:p>
      <w:pPr>
        <w:numPr>
          <w:ilvl w:val="0"/>
          <w:numId w:val="12"/>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entity linking; does not address QA generation or patient-specific data.</w:t>
      </w:r>
    </w:p>
    <w:p>
      <w:pPr>
        <w:numPr>
          <w:ilvl w:val="0"/>
          <w:numId w:val="12"/>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Accurately capturing fine-grained semantic relationships in the biomedical domain remains challenging for existing models.</w:t>
      </w:r>
    </w:p>
    <w:p>
      <w:pPr>
        <w:numPr>
          <w:ilvl w:val="0"/>
          <w:numId w:val="12"/>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SapBERT demonstrates the value of domain-specific biomedical embeddings for semantic representation, which is directly relevant to DocBot AI's vector search and embedding-based retrieval components.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e_longitudinal_patient_monitoring_44c9cd"/>
      <w:r>
        <w:rPr>
          <w:rFonts w:eastAsia="source serif 4" w:cs="source serif 4" w:ascii="source serif 4" w:hAnsi="source serif 4"/>
          <w:b/>
          <w:color w:val="000000"/>
          <w:sz w:val="24"/>
        </w:rPr>
        <w:t xml:space="preserve">E. Longitudinal Patient Monitoring Using EHR or Longitudinal Clinical Data</w:t>
      </w:r>
      <w:bookmarkEnd w:id="20"/>
    </w:p>
    <w:p>
      <w:pPr>
        <w:spacing w:line="360" w:before="315" w:after="105" w:lineRule="auto"/>
        <w:ind w:left="-30"/>
        <w:jc w:val="left"/>
      </w:pPr>
      <w:bookmarkStart w:id="21" w:name="e1_temporal_ehr_deep_learning_rev_ec6ba1"/>
      <w:r>
        <w:rPr>
          <w:rFonts w:eastAsia="source serif 4" w:cs="source serif 4" w:ascii="source serif 4" w:hAnsi="source serif 4"/>
          <w:b/>
          <w:color w:val="000000"/>
          <w:sz w:val="24"/>
        </w:rPr>
        <w:t xml:space="preserve">E1. Temporal EHR Deep Learning Review — Xie et al. (2022)</w:t>
      </w:r>
      <w:bookmarkEnd w:id="21"/>
    </w:p>
    <w:p>
      <w:pPr>
        <w:numPr>
          <w:ilvl w:val="0"/>
          <w:numId w:val="13"/>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Deep learning for temporal data representation in electronic health records: A systematic review of challenges and methodologies</w:t>
      </w:r>
    </w:p>
    <w:p>
      <w:pPr>
        <w:numPr>
          <w:ilvl w:val="0"/>
          <w:numId w:val="13"/>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Feng Xie et al. (full author list not fully verified from available page content; see </w:t>
      </w:r>
      <w:hyperlink r:id="rId19">
        <w:r>
          <w:rPr>
            <w:rFonts w:eastAsia="source sans 3" w:cs="source sans 3" w:ascii="source sans 3" w:hAnsi="source sans 3"/>
            <w:color w:val="#000"/>
            <w:sz w:val="21"/>
            <w:u w:val="single"/>
          </w:rPr>
          <w:t xml:space="preserve">ScienceDirect</w:t>
        </w:r>
      </w:hyperlink>
      <w:r>
        <w:rPr>
          <w:rFonts w:eastAsia="source serif 4" w:cs="source serif 4" w:ascii="source serif 4" w:hAnsi="source serif 4"/>
          <w:color w:val="000000"/>
          <w:sz w:val="21"/>
        </w:rPr>
        <w:t xml:space="preserve">)</w:t>
      </w:r>
    </w:p>
    <w:p>
      <w:pPr>
        <w:numPr>
          <w:ilvl w:val="0"/>
          <w:numId w:val="13"/>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2022</w:t>
      </w:r>
    </w:p>
    <w:p>
      <w:pPr>
        <w:numPr>
          <w:ilvl w:val="0"/>
          <w:numId w:val="13"/>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Journal of Biomedical Informatics</w:t>
      </w:r>
    </w:p>
    <w:p>
      <w:pPr>
        <w:numPr>
          <w:ilvl w:val="0"/>
          <w:numId w:val="13"/>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20">
        <w:r>
          <w:rPr>
            <w:rFonts w:eastAsia="source sans 3" w:cs="source sans 3" w:ascii="source sans 3" w:hAnsi="source sans 3"/>
            <w:color w:val="#000"/>
            <w:sz w:val="21"/>
            <w:u w:val="single"/>
          </w:rPr>
          <w:t xml:space="preserve">ScienceDirect</w:t>
        </w:r>
      </w:hyperlink>
    </w:p>
    <w:p>
      <w:pPr>
        <w:numPr>
          <w:ilvl w:val="0"/>
          <w:numId w:val="13"/>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EHRs contain temporal data that deep learning can leverage for clinical prediction, but representing temporal data in EHRs poses significant challenges.</w:t>
      </w:r>
    </w:p>
    <w:p>
      <w:pPr>
        <w:numPr>
          <w:ilvl w:val="0"/>
          <w:numId w:val="13"/>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Systematic review of challenges and methodologies for deep learning-based temporal data representation in EHRs.</w:t>
      </w:r>
    </w:p>
    <w:p>
      <w:pPr>
        <w:numPr>
          <w:ilvl w:val="0"/>
          <w:numId w:val="13"/>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Literature review covering EHR temporal modeling studies.</w:t>
      </w:r>
    </w:p>
    <w:p>
      <w:pPr>
        <w:numPr>
          <w:ilvl w:val="0"/>
          <w:numId w:val="13"/>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RNNs, LSTMs, CNNs, Transformers, temporal attention mechanisms, temporal convolutional networks.</w:t>
      </w:r>
    </w:p>
    <w:p>
      <w:pPr>
        <w:numPr>
          <w:ilvl w:val="0"/>
          <w:numId w:val="13"/>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Identified key challenges including irregular sampling, missing data, temporal heterogeneity, and multi-modal data integration. Reviewed methodologies for temporal representation learning in EHRs.</w:t>
      </w:r>
    </w:p>
    <w:p>
      <w:pPr>
        <w:numPr>
          <w:ilvl w:val="0"/>
          <w:numId w:val="13"/>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As a review, it synthesizes existing approaches; does not propose an integrated QA + monitoring system.</w:t>
      </w:r>
    </w:p>
    <w:p>
      <w:pPr>
        <w:numPr>
          <w:ilvl w:val="0"/>
          <w:numId w:val="13"/>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Challenges in temporal data representation remain, including irregular sampling intervals, missing data, and the need for multi-modal temporal modeling.</w:t>
      </w:r>
    </w:p>
    <w:p>
      <w:pPr>
        <w:numPr>
          <w:ilvl w:val="0"/>
          <w:numId w:val="13"/>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review provides the methodological foundation for DocBot AI's longitudinal trend detection module. DocBot AI's chronological patient timeline and trend detection build on these temporal EHR modeling concepts.</w:t>
      </w:r>
    </w:p>
    <w:p>
      <w:pPr>
        <w:spacing w:line="360" w:before="315" w:after="105" w:lineRule="auto"/>
        <w:ind w:left="-30"/>
        <w:jc w:val="left"/>
      </w:pPr>
      <w:bookmarkStart w:id="22" w:name="e2_ehr_rag_cao_et_al_2026"/>
      <w:r>
        <w:rPr>
          <w:rFonts w:eastAsia="source serif 4" w:cs="source serif 4" w:ascii="source serif 4" w:hAnsi="source serif 4"/>
          <w:b/>
          <w:color w:val="000000"/>
          <w:sz w:val="24"/>
        </w:rPr>
        <w:t xml:space="preserve">E2. EHR-RAG — Cao et al. (2026)</w:t>
      </w:r>
      <w:bookmarkEnd w:id="22"/>
    </w:p>
    <w:p>
      <w:pPr>
        <w:numPr>
          <w:ilvl w:val="0"/>
          <w:numId w:val="14"/>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EHR-RAG: Bridging Long-Horizon Structured Electronic Health Records and Large Language Models via Enhanced Retrieval-Augmented Generation</w:t>
      </w:r>
    </w:p>
    <w:p>
      <w:pPr>
        <w:numPr>
          <w:ilvl w:val="0"/>
          <w:numId w:val="14"/>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Lang Cao, Qingyu Chen, Yue Guo</w:t>
      </w:r>
    </w:p>
    <w:p>
      <w:pPr>
        <w:numPr>
          <w:ilvl w:val="0"/>
          <w:numId w:val="14"/>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2026</w:t>
      </w:r>
    </w:p>
    <w:p>
      <w:pPr>
        <w:numPr>
          <w:ilvl w:val="0"/>
          <w:numId w:val="14"/>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arXiv preprint (not yet peer-reviewed)</w:t>
      </w:r>
    </w:p>
    <w:p>
      <w:pPr>
        <w:numPr>
          <w:ilvl w:val="0"/>
          <w:numId w:val="14"/>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21">
        <w:r>
          <w:rPr>
            <w:rFonts w:eastAsia="source sans 3" w:cs="source sans 3" w:ascii="source sans 3" w:hAnsi="source sans 3"/>
            <w:color w:val="#000"/>
            <w:sz w:val="21"/>
            <w:u w:val="single"/>
          </w:rPr>
          <w:t xml:space="preserve">arXiv:2601.21340</w:t>
        </w:r>
      </w:hyperlink>
    </w:p>
    <w:p>
      <w:pPr>
        <w:numPr>
          <w:ilvl w:val="0"/>
          <w:numId w:val="14"/>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LLMs cannot natively process long-horizon structured EHRs because their fixed context windows are exceeded. Existing RAG approaches retrieve isolated subsets of patient history, suffering from low retrieval quality, incomplete evidence coverage, and reduced robustness. Dense text embeddings are insensitive to precise numerical values and temporal context.</w:t>
      </w:r>
    </w:p>
    <w:p>
      <w:pPr>
        <w:numPr>
          <w:ilvl w:val="0"/>
          <w:numId w:val="14"/>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Proposes EHR-RAG, an enhanced RAG framework for reasoning over longitudinal structured EHRs, with type-aware retrieval, multi-path evidence aggregation, and numerical-temporal reasoning.</w:t>
      </w:r>
    </w:p>
    <w:p>
      <w:pPr>
        <w:numPr>
          <w:ilvl w:val="0"/>
          <w:numId w:val="14"/>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Longitudinal structured EHRs (diagnoses, medications, laboratory results, procedures, timestamps).</w:t>
      </w:r>
    </w:p>
    <w:p>
      <w:pPr>
        <w:numPr>
          <w:ilvl w:val="0"/>
          <w:numId w:val="14"/>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Enhanced RAG with type-aware retrieval, multi-path evidence aggregation, numerical-temporal reasoning, LLM generation.</w:t>
      </w:r>
    </w:p>
    <w:p>
      <w:pPr>
        <w:numPr>
          <w:ilvl w:val="0"/>
          <w:numId w:val="14"/>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EHR-RAG improved reasoning over long-horizon EHRs compared to vanilla RAG approaches. The authors state that, to their knowledge, no existing RAG framework was explicitly designed to handle the longitudinal, multi-event nature of long-horizon structured EHRs.</w:t>
      </w:r>
    </w:p>
    <w:p>
      <w:pPr>
        <w:numPr>
          <w:ilvl w:val="0"/>
          <w:numId w:val="14"/>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structured EHR data reasoning; does not include medical knowledge base retrieval for general clinical QA, symptom trend monitoring, or clinical review alert generation.</w:t>
      </w:r>
    </w:p>
    <w:p>
      <w:pPr>
        <w:numPr>
          <w:ilvl w:val="0"/>
          <w:numId w:val="14"/>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"To the authors' knowledge, no existing RAG framework was explicitly designed to handle the longitudinal, multi-event nature of long-horizon structured EHRs."</w:t>
      </w:r>
    </w:p>
    <w:p>
      <w:pPr>
        <w:numPr>
          <w:ilvl w:val="0"/>
          <w:numId w:val="14"/>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EHR-RAG is the closest existing work to DocBot AI's longitudinal monitoring component, demonstrating RAG over patient EHRs. However, EHR-RAG focuses on structured EHR reasoning and does not combine medical knowledge base QA, symptom/lab trend monitoring, or clinical review alerts — the integrated architecture DocBot AI proposes.</w:t>
      </w:r>
    </w:p>
    <w:p>
      <w:pPr>
        <w:spacing w:line="360" w:before="315" w:after="105" w:lineRule="auto"/>
        <w:ind w:left="-30"/>
        <w:jc w:val="left"/>
      </w:pPr>
      <w:bookmarkStart w:id="23" w:name="e3_real_world_clinical_qa_using_l_128ad3"/>
      <w:r>
        <w:rPr>
          <w:rFonts w:eastAsia="source serif 4" w:cs="source serif 4" w:ascii="source serif 4" w:hAnsi="source serif 4"/>
          <w:b/>
          <w:color w:val="000000"/>
          <w:sz w:val="24"/>
        </w:rPr>
        <w:t xml:space="preserve">E3. Real-World Clinical QA Using LLMs, RAG, and Agentic Systems — Low et al. (2025)</w:t>
      </w:r>
      <w:bookmarkEnd w:id="23"/>
    </w:p>
    <w:p>
      <w:pPr>
        <w:numPr>
          <w:ilvl w:val="0"/>
          <w:numId w:val="15"/>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Answering real-world clinical questions using large language model, retrieval-augmented generation, and agentic systems</w:t>
      </w:r>
    </w:p>
    <w:p>
      <w:pPr>
        <w:numPr>
          <w:ilvl w:val="0"/>
          <w:numId w:val="15"/>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Yen Sia Low, Michael L Jackson, Rebecca J Hyde, Robert E Brown, Neil M Sanghavi, Julian D Baldwin, C William Pike, Jananee Muralidharan, Gavin Hui, Natasha Alexander, Hadeel Hassan, Rahul V Nene, Morgan Pike, Courtney J Pokrzywa, Shivam Vedak, Adam Paul Yan, Dong-han Yao, Amy R Zipursky, Christina Dinh, Philip Ballentine, Dan C Derieg, Vladimir Polony, Rehan N Chawdry, Jordan Davies, Brigham B Hyde, Nigam H Shah, Saurabh Gombar</w:t>
      </w:r>
    </w:p>
    <w:p>
      <w:pPr>
        <w:numPr>
          <w:ilvl w:val="0"/>
          <w:numId w:val="15"/>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2025</w:t>
      </w:r>
    </w:p>
    <w:p>
      <w:pPr>
        <w:numPr>
          <w:ilvl w:val="0"/>
          <w:numId w:val="15"/>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Digital Health</w:t>
      </w:r>
    </w:p>
    <w:p>
      <w:pPr>
        <w:numPr>
          <w:ilvl w:val="0"/>
          <w:numId w:val="15"/>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22">
        <w:r>
          <w:rPr>
            <w:rFonts w:eastAsia="source sans 3" w:cs="source sans 3" w:ascii="source sans 3" w:hAnsi="source sans 3"/>
            <w:color w:val="#000"/>
            <w:sz w:val="21"/>
            <w:u w:val="single"/>
          </w:rPr>
          <w:t xml:space="preserve">10.1177/20552076251348850</w:t>
        </w:r>
      </w:hyperlink>
    </w:p>
    <w:p>
      <w:pPr>
        <w:numPr>
          <w:ilvl w:val="0"/>
          <w:numId w:val="15"/>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Evidence-based clinical decision-making is difficult when relevant data are lacking, evidence is difficult to contextualize for specific patients, and clinical trials lack generalizability. General-purpose LLMs may hallucinate references and treatment guidelines.</w:t>
      </w:r>
    </w:p>
    <w:p>
      <w:pPr>
        <w:numPr>
          <w:ilvl w:val="0"/>
          <w:numId w:val="15"/>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Evaluation of five LLM-based systems answering 50 clinical questions: OpenEvidence (RAG), ChatRWD (LLM + data extraction), and others. Assessed clinical relevance, evidence basis, and actionability.</w:t>
      </w:r>
    </w:p>
    <w:p>
      <w:pPr>
        <w:numPr>
          <w:ilvl w:val="0"/>
          <w:numId w:val="15"/>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50 real-world clinical questions.</w:t>
      </w:r>
    </w:p>
    <w:p>
      <w:pPr>
        <w:numPr>
          <w:ilvl w:val="0"/>
          <w:numId w:val="15"/>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RAG (OpenEvidence), agentic LLM systems, LLM-based data extraction, real-world evidence generation.</w:t>
      </w:r>
    </w:p>
    <w:p>
      <w:pPr>
        <w:numPr>
          <w:ilvl w:val="0"/>
          <w:numId w:val="15"/>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RAG-based systems showed improved evidence grounding compared to general-purpose LLMs. RWD-based systems provided patient-specific evidence. No single system was sufficient for all clinical question types.</w:t>
      </w:r>
    </w:p>
    <w:p>
      <w:pPr>
        <w:numPr>
          <w:ilvl w:val="0"/>
          <w:numId w:val="15"/>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Limited to 50 clinical questions; no longitudinal patient monitoring, trend detection, or clinical alert integration. Focused on evidence retrieval, not patient timeline generation.</w:t>
      </w:r>
    </w:p>
    <w:p>
      <w:pPr>
        <w:numPr>
          <w:ilvl w:val="0"/>
          <w:numId w:val="15"/>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General-purpose LLMs may hallucinate references and treatment guidelines; no single system is sufficient for all clinical question types.</w:t>
      </w:r>
    </w:p>
    <w:p>
      <w:pPr>
        <w:numPr>
          <w:ilvl w:val="0"/>
          <w:numId w:val="15"/>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study validates the RAG approach for real-world clinical QA but highlights that no single system covers all needs. DocBot AI's integrated approach — combining RAG-based QA with longitudinal monitoring — addresses this gap.</w:t>
      </w:r>
    </w:p>
    <w:p>
      <w:pPr>
        <w:spacing w:line="360" w:before="315" w:after="105" w:lineRule="auto"/>
        <w:ind w:left="-30"/>
        <w:jc w:val="left"/>
      </w:pPr>
      <w:bookmarkStart w:id="24" w:name="e4_almanac_copilot_zakka_et_al_2024"/>
      <w:r>
        <w:rPr>
          <w:rFonts w:eastAsia="source serif 4" w:cs="source serif 4" w:ascii="source serif 4" w:hAnsi="source serif 4"/>
          <w:b/>
          <w:color w:val="000000"/>
          <w:sz w:val="24"/>
        </w:rPr>
        <w:t xml:space="preserve">E4. Almanac Copilot — Zakka et al. (2024)</w:t>
      </w:r>
      <w:bookmarkEnd w:id="24"/>
    </w:p>
    <w:p>
      <w:pPr>
        <w:numPr>
          <w:ilvl w:val="0"/>
          <w:numId w:val="16"/>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Almanac Copilot: Towards Autonomous Electronic Health Record Navigation</w:t>
      </w:r>
    </w:p>
    <w:p>
      <w:pPr>
        <w:numPr>
          <w:ilvl w:val="0"/>
          <w:numId w:val="16"/>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Cyril Zakka, Joseph Cho, Gracia Fahed, Rohan Shad, Michael Moor, Robyn Fong, Dhamanpreet Kaur, Vishnu Ravi, Oliver Aalami, Roxana Daneshjou, Akshay Chaudhari, William Hiesinger</w:t>
      </w:r>
    </w:p>
    <w:p>
      <w:pPr>
        <w:numPr>
          <w:ilvl w:val="0"/>
          <w:numId w:val="16"/>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2024</w:t>
      </w:r>
    </w:p>
    <w:p>
      <w:pPr>
        <w:numPr>
          <w:ilvl w:val="0"/>
          <w:numId w:val="16"/>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arXiv preprint (arXiv:2405.07896)</w:t>
      </w:r>
    </w:p>
    <w:p>
      <w:pPr>
        <w:numPr>
          <w:ilvl w:val="0"/>
          <w:numId w:val="16"/>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23">
        <w:r>
          <w:rPr>
            <w:rFonts w:eastAsia="source sans 3" w:cs="source sans 3" w:ascii="source sans 3" w:hAnsi="source sans 3"/>
            <w:color w:val="#000"/>
            <w:sz w:val="21"/>
            <w:u w:val="single"/>
          </w:rPr>
          <w:t xml:space="preserve">arXiv:2405.07896</w:t>
        </w:r>
      </w:hyperlink>
    </w:p>
    <w:p>
      <w:pPr>
        <w:numPr>
          <w:ilvl w:val="0"/>
          <w:numId w:val="16"/>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EHR systems create extensive documentation burden, poor user experience, alert fatigue, excessive data entry, and clinician burnout. An autonomous EHR agent could assist clinicians with information retrieval, summarization, and data manipulation.</w:t>
      </w:r>
    </w:p>
    <w:p>
      <w:pPr>
        <w:numPr>
          <w:ilvl w:val="0"/>
          <w:numId w:val="16"/>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Development of Almanac Copilot, an autonomous EHR agent for information retrieval and order placement. Evaluated on EHR-QA, a synthetic dataset of 300 common EHR questions.</w:t>
      </w:r>
    </w:p>
    <w:p>
      <w:pPr>
        <w:numPr>
          <w:ilvl w:val="0"/>
          <w:numId w:val="16"/>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EHR-QA — 300 synthetic EHR questions.</w:t>
      </w:r>
    </w:p>
    <w:p>
      <w:pPr>
        <w:numPr>
          <w:ilvl w:val="0"/>
          <w:numId w:val="16"/>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Autonomous agent architecture, LLM-based EHR navigation, information retrieval and summarization.</w:t>
      </w:r>
    </w:p>
    <w:p>
      <w:pPr>
        <w:numPr>
          <w:ilvl w:val="0"/>
          <w:numId w:val="16"/>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Almanac Copilot demonstrated capability for EHR-specific tasks including information retrieval and order placement.</w:t>
      </w:r>
    </w:p>
    <w:p>
      <w:pPr>
        <w:numPr>
          <w:ilvl w:val="0"/>
          <w:numId w:val="16"/>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Working paper (not peer-reviewed); focused on EHR navigation tasks; no medical knowledge base QA, no trend detection, no clinical review alerts.</w:t>
      </w:r>
    </w:p>
    <w:p>
      <w:pPr>
        <w:numPr>
          <w:ilvl w:val="0"/>
          <w:numId w:val="16"/>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EHR-related clinician burden and burnout remain significant problems; autonomous EHR agents are in early stages.</w:t>
      </w:r>
    </w:p>
    <w:p>
      <w:pPr>
        <w:numPr>
          <w:ilvl w:val="0"/>
          <w:numId w:val="16"/>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Almanac Copilot demonstrates LLM-based EHR navigation but does not integrate medical knowledge retrieval, evidence-grounded QA, longitudinal trend monitoring, or clinical review alerts. DocBot AI addresses a broader scope by combining these capabilities.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5" w:name="f_patient_timeline_generation_rep_c039b8"/>
      <w:r>
        <w:rPr>
          <w:rFonts w:eastAsia="source serif 4" w:cs="source serif 4" w:ascii="source serif 4" w:hAnsi="source serif 4"/>
          <w:b/>
          <w:color w:val="000000"/>
          <w:sz w:val="24"/>
        </w:rPr>
        <w:t xml:space="preserve">F. Patient Timeline Generation/Representation</w:t>
      </w:r>
      <w:bookmarkEnd w:id="25"/>
    </w:p>
    <w:p>
      <w:pPr>
        <w:spacing w:line="360" w:before="315" w:after="105" w:lineRule="auto"/>
        <w:ind w:left="-30"/>
        <w:jc w:val="left"/>
      </w:pPr>
      <w:bookmarkStart w:id="26" w:name="f1_lifelines_plaisant_et_al_1996_1998"/>
      <w:r>
        <w:rPr>
          <w:rFonts w:eastAsia="source serif 4" w:cs="source serif 4" w:ascii="source serif 4" w:hAnsi="source serif 4"/>
          <w:b/>
          <w:color w:val="000000"/>
          <w:sz w:val="24"/>
        </w:rPr>
        <w:t xml:space="preserve">F1. LifeLines — Plaisant et al. (1996/1998)</w:t>
      </w:r>
      <w:bookmarkEnd w:id="26"/>
    </w:p>
    <w:p>
      <w:pPr>
        <w:numPr>
          <w:ilvl w:val="0"/>
          <w:numId w:val="17"/>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LifeLines: Visualizing Personal Histories (1996) / LifeLines: using visualization to enhance navigation and analysis of patient records (1998)</w:t>
      </w:r>
    </w:p>
    <w:p>
      <w:pPr>
        <w:numPr>
          <w:ilvl w:val="0"/>
          <w:numId w:val="17"/>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Catherine Plaisant, Brett Milash, Anne Rose, Seth Widoff, Ben Shneiderman (1996); Catherine Plaisant, R. Mushlin, A. Snyder, J. Li, D. Heller, B. Shneiderman (1998)</w:t>
      </w:r>
    </w:p>
    <w:p>
      <w:pPr>
        <w:numPr>
          <w:ilvl w:val="0"/>
          <w:numId w:val="17"/>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1996 (CHI), 1998 (AMIA)</w:t>
      </w:r>
    </w:p>
    <w:p>
      <w:pPr>
        <w:numPr>
          <w:ilvl w:val="0"/>
          <w:numId w:val="17"/>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ACM CHI 1996 / Proc AMIA Symp 1998</w:t>
      </w:r>
    </w:p>
    <w:p>
      <w:pPr>
        <w:numPr>
          <w:ilvl w:val="0"/>
          <w:numId w:val="17"/>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24">
        <w:r>
          <w:rPr>
            <w:rFonts w:eastAsia="source sans 3" w:cs="source sans 3" w:ascii="source sans 3" w:hAnsi="source sans 3"/>
            <w:color w:val="#000"/>
            <w:sz w:val="21"/>
            <w:u w:val="single"/>
          </w:rPr>
          <w:t xml:space="preserve">ACM DL</w:t>
        </w:r>
      </w:hyperlink>
      <w:r>
        <w:rPr>
          <w:rFonts w:eastAsia="source serif 4" w:cs="source serif 4" w:ascii="source serif 4" w:hAnsi="source serif 4"/>
          <w:color w:val="000000"/>
          <w:sz w:val="21"/>
        </w:rPr>
        <w:t xml:space="preserve"> / </w:t>
      </w:r>
      <w:hyperlink r:id="rId25">
        <w:r>
          <w:rPr>
            <w:rFonts w:eastAsia="source sans 3" w:cs="source sans 3" w:ascii="source sans 3" w:hAnsi="source sans 3"/>
            <w:color w:val="#000"/>
            <w:sz w:val="21"/>
            <w:u w:val="single"/>
          </w:rPr>
          <w:t xml:space="preserve">PubMed</w:t>
        </w:r>
      </w:hyperlink>
    </w:p>
    <w:p>
      <w:pPr>
        <w:numPr>
          <w:ilvl w:val="0"/>
          <w:numId w:val="17"/>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Personal history records, including medical patient records, are complex and difficult to navigate. A need exists for intuitive visualization of personal histories.</w:t>
      </w:r>
    </w:p>
    <w:p>
      <w:pPr>
        <w:numPr>
          <w:ilvl w:val="0"/>
          <w:numId w:val="17"/>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LifeLines — a visualization technique using horizontal timelines to display personal histories, including medical records, with faceted categorization and interactive exploration.</w:t>
      </w:r>
    </w:p>
    <w:p>
      <w:pPr>
        <w:numPr>
          <w:ilvl w:val="0"/>
          <w:numId w:val="17"/>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Youth records (Maryland Department of Juvenile Services) and medical records (Kaiser Permanente Colorado).</w:t>
      </w:r>
    </w:p>
    <w:p>
      <w:pPr>
        <w:numPr>
          <w:ilvl w:val="0"/>
          <w:numId w:val="17"/>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Visual information architecture, graphical timeline representation, faceted event display, interactive exploration.</w:t>
      </w:r>
    </w:p>
    <w:p>
      <w:pPr>
        <w:numPr>
          <w:ilvl w:val="0"/>
          <w:numId w:val="17"/>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LifeLines provided an intuitive visual overview of patient histories, enabling faster navigation and analysis. Became the foundational work for clinical timeline visualization.</w:t>
      </w:r>
    </w:p>
    <w:p>
      <w:pPr>
        <w:numPr>
          <w:ilvl w:val="0"/>
          <w:numId w:val="17"/>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Early work; no LLM or AI integration; no automated trend detection or alert generation.</w:t>
      </w:r>
    </w:p>
    <w:p>
      <w:pPr>
        <w:numPr>
          <w:ilvl w:val="0"/>
          <w:numId w:val="17"/>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Not explicitly stated beyond the need for intuitive patient history visualization.</w:t>
      </w:r>
    </w:p>
    <w:p>
      <w:pPr>
        <w:numPr>
          <w:ilvl w:val="0"/>
          <w:numId w:val="17"/>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LifeLines is the foundational work for DocBot AI's patient timeline module. DocBot AI extends this concept by combining timeline visualization with AI-powered trend detection and clinical review alerts.</w:t>
      </w:r>
    </w:p>
    <w:p>
      <w:pPr>
        <w:spacing w:line="360" w:before="315" w:after="105" w:lineRule="auto"/>
        <w:ind w:left="-30"/>
        <w:jc w:val="left"/>
      </w:pPr>
      <w:bookmarkStart w:id="27" w:name="f2_health_timeline_ledesma_et_al_2019"/>
      <w:r>
        <w:rPr>
          <w:rFonts w:eastAsia="source serif 4" w:cs="source serif 4" w:ascii="source serif 4" w:hAnsi="source serif 4"/>
          <w:b/>
          <w:color w:val="000000"/>
          <w:sz w:val="24"/>
        </w:rPr>
        <w:t xml:space="preserve">F2. Health Timeline — Ledesma et al. (2019)</w:t>
      </w:r>
      <w:bookmarkEnd w:id="27"/>
    </w:p>
    <w:p>
      <w:pPr>
        <w:numPr>
          <w:ilvl w:val="0"/>
          <w:numId w:val="18"/>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Health timeline: an insight-based study of a timeline visualization of clinical data</w:t>
      </w:r>
    </w:p>
    <w:p>
      <w:pPr>
        <w:numPr>
          <w:ilvl w:val="0"/>
          <w:numId w:val="18"/>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Andres Ledesma, Niranjan Bidargaddi, Jörg Strobel, Geoffrey Schrader, Hannu Nieminen, Ilkka Korhonen, Miikka Ermes</w:t>
      </w:r>
    </w:p>
    <w:p>
      <w:pPr>
        <w:numPr>
          <w:ilvl w:val="0"/>
          <w:numId w:val="18"/>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2019</w:t>
      </w:r>
    </w:p>
    <w:p>
      <w:pPr>
        <w:numPr>
          <w:ilvl w:val="0"/>
          <w:numId w:val="18"/>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BMC Medical Informatics and Decision Making, 19, 170</w:t>
      </w:r>
    </w:p>
    <w:p>
      <w:pPr>
        <w:numPr>
          <w:ilvl w:val="0"/>
          <w:numId w:val="18"/>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26">
        <w:r>
          <w:rPr>
            <w:rFonts w:eastAsia="source sans 3" w:cs="source sans 3" w:ascii="source sans 3" w:hAnsi="source sans 3"/>
            <w:color w:val="#000"/>
            <w:sz w:val="21"/>
            <w:u w:val="single"/>
          </w:rPr>
          <w:t xml:space="preserve">10.1186/s12911-019-0885-x</w:t>
        </w:r>
      </w:hyperlink>
    </w:p>
    <w:p>
      <w:pPr>
        <w:numPr>
          <w:ilvl w:val="0"/>
          <w:numId w:val="18"/>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The volume and complexity of clinical data create challenges for clinical decision-making. A consistent method for assessing the effectiveness of clinical visualizations is missing.</w:t>
      </w:r>
    </w:p>
    <w:p>
      <w:pPr>
        <w:numPr>
          <w:ilvl w:val="0"/>
          <w:numId w:val="18"/>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Assessment of Health Timeline, a time-based visualization of EHR data, using insight-based methodology. Compared with textual/tabular representation. Measured insight value, number of insights, time to first insight.</w:t>
      </w:r>
    </w:p>
    <w:p>
      <w:pPr>
        <w:numPr>
          <w:ilvl w:val="0"/>
          <w:numId w:val="18"/>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De-identified clinical data from 144 mental-health patients (77 rural outpatient, 63 urban emergency department).</w:t>
      </w:r>
    </w:p>
    <w:p>
      <w:pPr>
        <w:numPr>
          <w:ilvl w:val="0"/>
          <w:numId w:val="18"/>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Time-based visualization, insight-based evaluation methodology, comparison with baseline textual representation.</w:t>
      </w:r>
    </w:p>
    <w:p>
      <w:pPr>
        <w:numPr>
          <w:ilvl w:val="0"/>
          <w:numId w:val="18"/>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Health Timeline generated higher mean insight value (1.7 vs. 1.26 without timeline) and a comparable number of insights (558 with timeline vs. 576 without). Demonstrated that timeline visualization helps clinicians analyze and reason about longitudinal clinical history.</w:t>
      </w:r>
    </w:p>
    <w:p>
      <w:pPr>
        <w:numPr>
          <w:ilvl w:val="0"/>
          <w:numId w:val="18"/>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mental health data; no AI/LLM integration; no automated trend detection or clinical alerts.</w:t>
      </w:r>
    </w:p>
    <w:p>
      <w:pPr>
        <w:numPr>
          <w:ilvl w:val="0"/>
          <w:numId w:val="18"/>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No structured assessment method existed for clinical-data visualizations; researchers had not documented insight-based evaluation of clinical-data visualization.</w:t>
      </w:r>
    </w:p>
    <w:p>
      <w:pPr>
        <w:numPr>
          <w:ilvl w:val="0"/>
          <w:numId w:val="18"/>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Health Timeline validates the clinical value of timeline visualization. DocBot AI adopts this approach and extends it with AI-powered trend detection and automated clinical review alerts.</w:t>
      </w:r>
    </w:p>
    <w:p>
      <w:pPr>
        <w:spacing w:line="360" w:before="315" w:after="105" w:lineRule="auto"/>
        <w:ind w:left="-30"/>
        <w:jc w:val="left"/>
      </w:pPr>
      <w:bookmarkStart w:id="28" w:name="f3_heart_yada_aramaki_2023"/>
      <w:r>
        <w:rPr>
          <w:rFonts w:eastAsia="source serif 4" w:cs="source serif 4" w:ascii="source serif 4" w:hAnsi="source serif 4"/>
          <w:b/>
          <w:color w:val="000000"/>
          <w:sz w:val="24"/>
        </w:rPr>
        <w:t xml:space="preserve">F3. HeaRT — Yada &amp; Aramaki (2023)</w:t>
      </w:r>
      <w:bookmarkEnd w:id="28"/>
    </w:p>
    <w:p>
      <w:pPr>
        <w:numPr>
          <w:ilvl w:val="0"/>
          <w:numId w:val="19"/>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HeaRT: Health Record Timeliner to visualise patients' medical history from health record text</w:t>
      </w:r>
    </w:p>
    <w:p>
      <w:pPr>
        <w:numPr>
          <w:ilvl w:val="0"/>
          <w:numId w:val="19"/>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Shuntaro Yada, Eiji Aramaki</w:t>
      </w:r>
    </w:p>
    <w:p>
      <w:pPr>
        <w:numPr>
          <w:ilvl w:val="0"/>
          <w:numId w:val="19"/>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2023</w:t>
      </w:r>
    </w:p>
    <w:p>
      <w:pPr>
        <w:numPr>
          <w:ilvl w:val="0"/>
          <w:numId w:val="19"/>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arXiv preprint (arXiv:2306.14379)</w:t>
      </w:r>
    </w:p>
    <w:p>
      <w:pPr>
        <w:numPr>
          <w:ilvl w:val="0"/>
          <w:numId w:val="19"/>
        </w:numPr>
        <w:spacing w:line="360" w:before="105" w:after="105" w:lineRule="auto"/>
      </w:pPr>
      <w:r>
        <w:rPr>
          <w:rFonts w:eastAsia="source serif 4" w:cs="source serif 4" w:ascii="source serif 4" w:hAnsi="source serif 4"/>
          <w:b/>
          <w:color w:val="000000"/>
          <w:sz w:val="21"/>
        </w:rPr>
        <w:t xml:space="preserve">DOI/URL:</w:t>
      </w:r>
      <w:r>
        <w:rPr>
          <w:rFonts w:eastAsia="source serif 4" w:cs="source serif 4" w:ascii="source serif 4" w:hAnsi="source serif 4"/>
          <w:color w:val="000000"/>
          <w:sz w:val="21"/>
        </w:rPr>
        <w:t xml:space="preserve"> </w:t>
      </w:r>
      <w:hyperlink r:id="rId27">
        <w:r>
          <w:rPr>
            <w:rFonts w:eastAsia="source sans 3" w:cs="source sans 3" w:ascii="source sans 3" w:hAnsi="source sans 3"/>
            <w:color w:val="#000"/>
            <w:sz w:val="21"/>
            <w:u w:val="single"/>
          </w:rPr>
          <w:t xml:space="preserve">arXiv:2306.14379</w:t>
        </w:r>
      </w:hyperlink>
    </w:p>
    <w:p>
      <w:pPr>
        <w:numPr>
          <w:ilvl w:val="0"/>
          <w:numId w:val="19"/>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EHRs contain medical histories in unstructured text, which is not easily retrievable. Existing timeline visualization systems require explicitly structured EHR inputs and ignore unstructured textual inputs.</w:t>
      </w:r>
    </w:p>
    <w:p>
      <w:pPr>
        <w:numPr>
          <w:ilvl w:val="0"/>
          <w:numId w:val="19"/>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HeaRT — a system that visualizes patient clinical history directly from natural-language EHR text. Extracts clinical entities (diseases, medicines, tests, time expressions), temporal relations, and chronologically aligns them in a Gantt chart-like timeline.</w:t>
      </w:r>
    </w:p>
    <w:p>
      <w:pPr>
        <w:numPr>
          <w:ilvl w:val="0"/>
          <w:numId w:val="19"/>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Manually annotated EHR text samples.</w:t>
      </w:r>
    </w:p>
    <w:p>
      <w:pPr>
        <w:numPr>
          <w:ilvl w:val="0"/>
          <w:numId w:val="19"/>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NLP for entity extraction, temporal relation extraction, chronological alignment, Gantt chart-like visualization, backend NLP module + frontend UI.</w:t>
      </w:r>
    </w:p>
    <w:p>
      <w:pPr>
        <w:numPr>
          <w:ilvl w:val="0"/>
          <w:numId w:val="19"/>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HeaRT successfully generated patient timelines from unstructured EHR text, demonstrating the feasibility of text-to-timeline approaches.</w:t>
      </w:r>
    </w:p>
    <w:p>
      <w:pPr>
        <w:numPr>
          <w:ilvl w:val="0"/>
          <w:numId w:val="19"/>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Preliminary system; demonstrated on limited samples; no LLM/RAG integration; no medical knowledge base QA; no trend detection or clinical alerts.</w:t>
      </w:r>
    </w:p>
    <w:p>
      <w:pPr>
        <w:numPr>
          <w:ilvl w:val="0"/>
          <w:numId w:val="19"/>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Existing clinical timeline visualization systems mostly require explicitly structured EHR inputs and ignore unstructured textual inputs. A practical end-to-end system for visualising patients' medical histories from natural-language EHR text had not previously been developed.</w:t>
      </w:r>
    </w:p>
    <w:p>
      <w:pPr>
        <w:numPr>
          <w:ilvl w:val="0"/>
          <w:numId w:val="19"/>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HeaRT demonstrates timeline generation from clinical text, a capability DocBot AI incorporates. DocBot AI extends this by adding RAG-based evidence-grounded QA, trend detection, and clinical review alerts — none of which HeaRT includes.</w:t>
      </w:r>
    </w:p>
    <w:p>
      <w:pPr>
        <w:spacing w:line="360" w:before="315" w:after="105" w:lineRule="auto"/>
        <w:ind w:left="-30"/>
        <w:jc w:val="left"/>
      </w:pPr>
      <w:bookmarkStart w:id="29" w:name="f4_historiview_park_et_al_2024"/>
      <w:r>
        <w:rPr>
          <w:rFonts w:eastAsia="source serif 4" w:cs="source serif 4" w:ascii="source serif 4" w:hAnsi="source serif 4"/>
          <w:b/>
          <w:color w:val="000000"/>
          <w:sz w:val="24"/>
        </w:rPr>
        <w:t xml:space="preserve">F4. HistoriView — Park et al. (2024)</w:t>
      </w:r>
      <w:bookmarkEnd w:id="29"/>
    </w:p>
    <w:p>
      <w:pPr>
        <w:numPr>
          <w:ilvl w:val="0"/>
          <w:numId w:val="20"/>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HistoriView: Implementation and Evaluation of a Novel Approach to Review a Patient Using a Scalable Space-Efficient Timeline without Zoom Interactions</w:t>
      </w:r>
    </w:p>
    <w:p>
      <w:pPr>
        <w:numPr>
          <w:ilvl w:val="0"/>
          <w:numId w:val="20"/>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Heekyong Park, Taowei David Wang, Nich Wattanasin, Victor M Castro, Vivian Gainer, Shawn Murphy</w:t>
      </w:r>
    </w:p>
    <w:p>
      <w:pPr>
        <w:numPr>
          <w:ilvl w:val="0"/>
          <w:numId w:val="20"/>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2024</w:t>
      </w:r>
    </w:p>
    <w:p>
      <w:pPr>
        <w:numPr>
          <w:ilvl w:val="0"/>
          <w:numId w:val="20"/>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Applied Clinical Informatics, 15(2), 250–264</w:t>
      </w:r>
    </w:p>
    <w:p>
      <w:pPr>
        <w:numPr>
          <w:ilvl w:val="0"/>
          <w:numId w:val="20"/>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28">
        <w:r>
          <w:rPr>
            <w:rFonts w:eastAsia="source sans 3" w:cs="source sans 3" w:ascii="source sans 3" w:hAnsi="source sans 3"/>
            <w:color w:val="#000"/>
            <w:sz w:val="21"/>
            <w:u w:val="single"/>
          </w:rPr>
          <w:t xml:space="preserve">10.1055/a-2269-0995</w:t>
        </w:r>
      </w:hyperlink>
    </w:p>
    <w:p>
      <w:pPr>
        <w:numPr>
          <w:ilvl w:val="0"/>
          <w:numId w:val="20"/>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Conventional patient timelines have problems with event recognition (merged events obscure data), access ambiguity (overlaid data points), inefficient interaction (excessive zooming/panning), and scalability (visualizing lifelong data causes performance degradation).</w:t>
      </w:r>
    </w:p>
    <w:p>
      <w:pPr>
        <w:numPr>
          <w:ilvl w:val="0"/>
          <w:numId w:val="20"/>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HistoriView — an interactive, scalable, space-efficient timeline for reviewing an individual patient's complete longitudinal history. Uses nonstacking event representation, overlay detection algorithm, y-shift visualization, and popup-based interaction.</w:t>
      </w:r>
    </w:p>
    <w:p>
      <w:pPr>
        <w:numPr>
          <w:ilvl w:val="0"/>
          <w:numId w:val="20"/>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EHR data from i2b2 platform; deployed as an i2b2 plugin.</w:t>
      </w:r>
    </w:p>
    <w:p>
      <w:pPr>
        <w:numPr>
          <w:ilvl w:val="0"/>
          <w:numId w:val="20"/>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Nonstacking event representation, overlay detection algorithm, y-shift visualization, popup-based interaction, split query and event reduction approaches, i2b2 plugin deployment.</w:t>
      </w:r>
    </w:p>
    <w:p>
      <w:pPr>
        <w:numPr>
          <w:ilvl w:val="0"/>
          <w:numId w:val="20"/>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Most participants found HistoriView easy to use and learn, delivering information clearly without zooming. Handles large patient data preserving original information in reasonable time. Built on LifeLines.</w:t>
      </w:r>
    </w:p>
    <w:p>
      <w:pPr>
        <w:numPr>
          <w:ilvl w:val="0"/>
          <w:numId w:val="20"/>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Issues in exploring subconcept records reported; focused on visualization, not on AI-powered analysis, trend detection, or clinical alerts. No medical knowledge base QA.</w:t>
      </w:r>
    </w:p>
    <w:p>
      <w:pPr>
        <w:numPr>
          <w:ilvl w:val="0"/>
          <w:numId w:val="20"/>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Existing timeline visualizations suffer from event recognition, access ambiguity, inefficient interaction, and scalability problems when handling dense patient data.</w:t>
      </w:r>
    </w:p>
    <w:p>
      <w:pPr>
        <w:numPr>
          <w:ilvl w:val="0"/>
          <w:numId w:val="20"/>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HistoriView addresses the visualization challenges of patient timelines, which DocBot AI incorporates. DocBot AI extends this with AI-powered trend detection, evidence-grounded QA, and clinical review alerts.</w:t>
      </w:r>
    </w:p>
    <w:p>
      <w:pPr>
        <w:spacing w:line="360" w:before="315" w:after="105" w:lineRule="auto"/>
        <w:ind w:left="-30"/>
        <w:jc w:val="left"/>
      </w:pPr>
      <w:bookmarkStart w:id="30" w:name="f5_patientexplorer_glicksberg_et_al_2019"/>
      <w:r>
        <w:rPr>
          <w:rFonts w:eastAsia="source serif 4" w:cs="source serif 4" w:ascii="source serif 4" w:hAnsi="source serif 4"/>
          <w:b/>
          <w:color w:val="000000"/>
          <w:sz w:val="24"/>
        </w:rPr>
        <w:t xml:space="preserve">F5. PatientExploreR — Glicksberg et al. (2019)</w:t>
      </w:r>
      <w:bookmarkEnd w:id="30"/>
    </w:p>
    <w:p>
      <w:pPr>
        <w:numPr>
          <w:ilvl w:val="0"/>
          <w:numId w:val="21"/>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PatientExploreR: an extensible application for dynamic visualization of patient clinical history from electronic health records in the OMOP common data model</w:t>
      </w:r>
    </w:p>
    <w:p>
      <w:pPr>
        <w:numPr>
          <w:ilvl w:val="0"/>
          <w:numId w:val="21"/>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Benjamin S. Glicksberg, Boris Oskotsky, Phyllis M. Thangaraj, Nicholas Giangreco, Marcus A. Badgeley, Kipp W. Johnson, Debajyoti Datta, Vivek A. Rudrapatna, Nadav Rappoport, Mark M. Shervey, Riccardo Miotto, Theodore C. Goldstein, Eugenia Rutenberg, Remi Frazier, Nelson Lee, Sharat Israni, Rick Larsen, Bethany Percha, Li Li, Joel T. Dudley, Nicholas P. Tatonetti, Atul J. Butte</w:t>
      </w:r>
    </w:p>
    <w:p>
      <w:pPr>
        <w:numPr>
          <w:ilvl w:val="0"/>
          <w:numId w:val="21"/>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2019</w:t>
      </w:r>
    </w:p>
    <w:p>
      <w:pPr>
        <w:numPr>
          <w:ilvl w:val="0"/>
          <w:numId w:val="21"/>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Bioinformatics, 35(21), 4515–4518</w:t>
      </w:r>
    </w:p>
    <w:p>
      <w:pPr>
        <w:numPr>
          <w:ilvl w:val="0"/>
          <w:numId w:val="21"/>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29">
        <w:r>
          <w:rPr>
            <w:rFonts w:eastAsia="source sans 3" w:cs="source sans 3" w:ascii="source sans 3" w:hAnsi="source sans 3"/>
            <w:color w:val="#000"/>
            <w:sz w:val="21"/>
            <w:u w:val="single"/>
          </w:rPr>
          <w:t xml:space="preserve">10.1093/bioinformatics/btz409</w:t>
        </w:r>
      </w:hyperlink>
    </w:p>
    <w:p>
      <w:pPr>
        <w:numPr>
          <w:ilvl w:val="0"/>
          <w:numId w:val="21"/>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EHR research is hindered by incompatible data frameworks, lack of programming expertise, and lack of familiarity with EHR database structure. Existing visualization tools did not provide all desired functionality in a single application.</w:t>
      </w:r>
    </w:p>
    <w:p>
      <w:pPr>
        <w:numPr>
          <w:ilvl w:val="0"/>
          <w:numId w:val="21"/>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PatientExploreR — an open-source R/Shiny application for exploring and visualizing patient-level EHR data in the OMOP common data model. Provides interactive patient reports, encounter timelines, and multi-domain data exploration.</w:t>
      </w:r>
    </w:p>
    <w:p>
      <w:pPr>
        <w:numPr>
          <w:ilvl w:val="0"/>
          <w:numId w:val="21"/>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OMOP CDM-formatted EHR data; verified across UCSF, Columbia University, and Icahn School of Medicine at Mount Sinai.</w:t>
      </w:r>
    </w:p>
    <w:p>
      <w:pPr>
        <w:numPr>
          <w:ilvl w:val="0"/>
          <w:numId w:val="21"/>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R/Shiny framework, Plotly, Timevis, OMOP concept table and ontology mapping, MIT-licensed open-source software.</w:t>
      </w:r>
    </w:p>
    <w:p>
      <w:pPr>
        <w:numPr>
          <w:ilvl w:val="0"/>
          <w:numId w:val="21"/>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PatientExploreR provided interactive patient-level reports, timeline visualizations, multi-domain linked graphs, and visualization of categorical and numeric longitudinal data. Verified across three institutions.</w:t>
      </w:r>
    </w:p>
    <w:p>
      <w:pPr>
        <w:numPr>
          <w:ilvl w:val="0"/>
          <w:numId w:val="21"/>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Not all OMOP data displayed (e.g., clinical notes excluded); requires OMOP-formatted data; conversion is non-trivial. No AI/LLM, no trend detection, no clinical alerts.</w:t>
      </w:r>
    </w:p>
    <w:p>
      <w:pPr>
        <w:numPr>
          <w:ilvl w:val="0"/>
          <w:numId w:val="21"/>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Existing tools did not provide combined browsing, graphical patient representation, longitudinal visualization, and data export in one application.</w:t>
      </w:r>
    </w:p>
    <w:p>
      <w:pPr>
        <w:numPr>
          <w:ilvl w:val="0"/>
          <w:numId w:val="21"/>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PatientExploreR demonstrates the value of integrated patient timeline visualization. DocBot AI incorporates timeline visualization and extends it with AI-powered trend detection, evidence-grounded QA, and clinical review alerts.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g_clinical_laboratory_trend_detec_5b954f"/>
      <w:r>
        <w:rPr>
          <w:rFonts w:eastAsia="source serif 4" w:cs="source serif 4" w:ascii="source serif 4" w:hAnsi="source serif 4"/>
          <w:b/>
          <w:color w:val="000000"/>
          <w:sz w:val="24"/>
        </w:rPr>
        <w:t xml:space="preserve">G. Clinical Laboratory Trend Detection and Lab-Result Alerting</w:t>
      </w:r>
      <w:bookmarkEnd w:id="31"/>
    </w:p>
    <w:p>
      <w:pPr>
        <w:spacing w:line="360" w:before="315" w:after="105" w:lineRule="auto"/>
        <w:ind w:left="-30"/>
        <w:jc w:val="left"/>
      </w:pPr>
      <w:bookmarkStart w:id="32" w:name="g1_temporal_pattern_detection_for_70b612"/>
      <w:r>
        <w:rPr>
          <w:rFonts w:eastAsia="source serif 4" w:cs="source serif 4" w:ascii="source serif 4" w:hAnsi="source serif 4"/>
          <w:b/>
          <w:color w:val="000000"/>
          <w:sz w:val="24"/>
        </w:rPr>
        <w:t xml:space="preserve">G1. Temporal Pattern Detection for AKI — Morid et al. (2020)</w:t>
      </w:r>
      <w:bookmarkEnd w:id="32"/>
    </w:p>
    <w:p>
      <w:pPr>
        <w:numPr>
          <w:ilvl w:val="0"/>
          <w:numId w:val="22"/>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Temporal Pattern Detection to Predict Adverse Events in Critical Care: Case Study With Acute Kidney Injury</w:t>
      </w:r>
    </w:p>
    <w:p>
      <w:pPr>
        <w:numPr>
          <w:ilvl w:val="0"/>
          <w:numId w:val="22"/>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Mohammad Amin Morid, Olivia R. Liu Sheng, Guilherme Del Fiol, Julio C. Facelli, Bruce E. Bray, Samir Abdelrahman</w:t>
      </w:r>
    </w:p>
    <w:p>
      <w:pPr>
        <w:numPr>
          <w:ilvl w:val="0"/>
          <w:numId w:val="22"/>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2020</w:t>
      </w:r>
    </w:p>
    <w:p>
      <w:pPr>
        <w:numPr>
          <w:ilvl w:val="0"/>
          <w:numId w:val="22"/>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JMIR Medical Informatics, 8(3), e14272</w:t>
      </w:r>
    </w:p>
    <w:p>
      <w:pPr>
        <w:numPr>
          <w:ilvl w:val="0"/>
          <w:numId w:val="22"/>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30">
        <w:r>
          <w:rPr>
            <w:rFonts w:eastAsia="source sans 3" w:cs="source sans 3" w:ascii="source sans 3" w:hAnsi="source sans 3"/>
            <w:color w:val="#000"/>
            <w:sz w:val="21"/>
            <w:u w:val="single"/>
          </w:rPr>
          <w:t xml:space="preserve">10.2196/14272</w:t>
        </w:r>
      </w:hyperlink>
    </w:p>
    <w:p>
      <w:pPr>
        <w:numPr>
          <w:ilvl w:val="0"/>
          <w:numId w:val="22"/>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Static transformations of time series data (mean, first/last value) lose temporal information. Symbolic temporal pattern detection loses accuracy due to discretization. No previous study had leveraged structural temporal patterns (trends) for adverse-event prediction in critical care.</w:t>
      </w:r>
    </w:p>
    <w:p>
      <w:pPr>
        <w:numPr>
          <w:ilvl w:val="0"/>
          <w:numId w:val="22"/>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Improving adverse-event prediction using structural temporal pattern detection that captures both local temporal trends (within time windows) and global temporal trends (across time windows). Case study: acute kidney injury (AKI) prediction in ICU patients.</w:t>
      </w:r>
    </w:p>
    <w:p>
      <w:pPr>
        <w:numPr>
          <w:ilvl w:val="0"/>
          <w:numId w:val="22"/>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MIMIC-III ICU patient data; vital signs and laboratory results as time series.</w:t>
      </w:r>
    </w:p>
    <w:p>
      <w:pPr>
        <w:numPr>
          <w:ilvl w:val="0"/>
          <w:numId w:val="22"/>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Structural temporal pattern detection (trend extraction), symbolic temporal pattern detection, comparison with static value approaches.</w:t>
      </w:r>
    </w:p>
    <w:p>
      <w:pPr>
        <w:numPr>
          <w:ilvl w:val="0"/>
          <w:numId w:val="22"/>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Structural temporal pattern detection improved AKI prediction compared to static and symbolic approaches. Captured both local and global temporal trends. The authors stated no previous attempt had been made to predict AKI in all ICU patients using the entire time series.</w:t>
      </w:r>
    </w:p>
    <w:p>
      <w:pPr>
        <w:numPr>
          <w:ilvl w:val="0"/>
          <w:numId w:val="22"/>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Focused on ICU AKI prediction; no medical knowledge base QA, no RAG, no LLM integration, no patient timeline visualization, no clinical review alert system.</w:t>
      </w:r>
    </w:p>
    <w:p>
      <w:pPr>
        <w:numPr>
          <w:ilvl w:val="0"/>
          <w:numId w:val="22"/>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"No previous study had leveraged patients' data to extract temporal features using structural temporal patterns, specifically trends." "No previous attempt had been made to predict AKI in all patients admitted to the ICU using the entire time series."</w:t>
      </w:r>
    </w:p>
    <w:p>
      <w:pPr>
        <w:numPr>
          <w:ilvl w:val="0"/>
          <w:numId w:val="22"/>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study directly informs DocBot AI's longitudinal trend detection module. DocBot AI's approach to detecting changes in laboratory values over time aligns with the structural temporal pattern detection methodology. DocBot AI extends this by combining trend detection with evidence-grounded QA and clinical review alerts.</w:t>
      </w:r>
    </w:p>
    <w:p>
      <w:pPr>
        <w:spacing w:line="360" w:before="315" w:after="105" w:lineRule="auto"/>
        <w:ind w:left="-30"/>
        <w:jc w:val="left"/>
      </w:pPr>
      <w:bookmarkStart w:id="33" w:name="g2_abnormal_lab_result_notificati_efd2f3"/>
      <w:r>
        <w:rPr>
          <w:rFonts w:eastAsia="source serif 4" w:cs="source serif 4" w:ascii="source serif 4" w:hAnsi="source serif 4"/>
          <w:b/>
          <w:color w:val="000000"/>
          <w:sz w:val="24"/>
        </w:rPr>
        <w:t xml:space="preserve">G2. Abnormal Lab Result Notification — Singh et al. (2010)</w:t>
      </w:r>
      <w:bookmarkEnd w:id="33"/>
    </w:p>
    <w:p>
      <w:pPr>
        <w:numPr>
          <w:ilvl w:val="0"/>
          <w:numId w:val="23"/>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Notification of Abnormal Lab Test Results in an Electronic Medical Record: Do Any Safety Concerns Remain?</w:t>
      </w:r>
    </w:p>
    <w:p>
      <w:pPr>
        <w:numPr>
          <w:ilvl w:val="0"/>
          <w:numId w:val="23"/>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Hardeep Singh, Eric J. Thomas, Dean F. Sittig, Lindsey Wilson, Donna Espadas, Myrna M. Khan, Laura A. Petersen</w:t>
      </w:r>
    </w:p>
    <w:p>
      <w:pPr>
        <w:numPr>
          <w:ilvl w:val="0"/>
          <w:numId w:val="23"/>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2010</w:t>
      </w:r>
    </w:p>
    <w:p>
      <w:pPr>
        <w:numPr>
          <w:ilvl w:val="0"/>
          <w:numId w:val="23"/>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The American Journal of Medicine, 123(3), 238–244</w:t>
      </w:r>
    </w:p>
    <w:p>
      <w:pPr>
        <w:numPr>
          <w:ilvl w:val="0"/>
          <w:numId w:val="23"/>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31">
        <w:r>
          <w:rPr>
            <w:rFonts w:eastAsia="source sans 3" w:cs="source sans 3" w:ascii="source sans 3" w:hAnsi="source sans 3"/>
            <w:color w:val="#000"/>
            <w:sz w:val="21"/>
            <w:u w:val="single"/>
          </w:rPr>
          <w:t xml:space="preserve">10.1016/j.amjmed.2009.07.027</w:t>
        </w:r>
      </w:hyperlink>
    </w:p>
    <w:p>
      <w:pPr>
        <w:numPr>
          <w:ilvl w:val="0"/>
          <w:numId w:val="23"/>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Follow-up of abnormal outpatient laboratory test results is a major patient safety concern. Electronic medical records can potentially address this through automated notification, but it is unclear whether automated alerts result in timely follow-up. (Note: This study addresses lab-result alerting/follow-up rather than temporal trend detection.)</w:t>
      </w:r>
    </w:p>
    <w:p>
      <w:pPr>
        <w:numPr>
          <w:ilvl w:val="0"/>
          <w:numId w:val="23"/>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Examination of whether automated notifications of abnormal laboratory results in an integrated EMR resulted in timely follow-up actions. Studied 4 alert types: HbA1c ≥15%, positive hepatitis C antibody, PSA ≥15 ng/mL, and TSH ≥15 mIU/L.</w:t>
      </w:r>
    </w:p>
    <w:p>
      <w:pPr>
        <w:numPr>
          <w:ilvl w:val="0"/>
          <w:numId w:val="23"/>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78,158 tests performed (May–December 2008) in a Veterans Affairs setting; 1,163 (1.48%) triggered alerts.</w:t>
      </w:r>
    </w:p>
    <w:p>
      <w:pPr>
        <w:numPr>
          <w:ilvl w:val="0"/>
          <w:numId w:val="23"/>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EMR automated alert system; alert tracking system; multivariable logistic regression models for predictors of lack of timely follow-up.</w:t>
      </w:r>
    </w:p>
    <w:p>
      <w:pPr>
        <w:numPr>
          <w:ilvl w:val="0"/>
          <w:numId w:val="23"/>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10.2% of alerts were unacknowledged within 2 weeks. Timely follow-up was lacking in 6.8% of alerts. Acknowledged and unacknowledged alerts showed no statistically significant difference in follow-up (6.4% vs. 10.1%, p=0.13). Alerts for new diagnoses were more likely to lack timely follow-up (OR 7.35). Safety concerns remain despite automated notification.</w:t>
      </w:r>
    </w:p>
    <w:p>
      <w:pPr>
        <w:numPr>
          <w:ilvl w:val="0"/>
          <w:numId w:val="23"/>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Single-site study (VA setting); limited to 4 lab test types; no integration with medical QA, RAG, or LLM systems; no longitudinal trend detection beyond threshold-based alerts.</w:t>
      </w:r>
    </w:p>
    <w:p>
      <w:pPr>
        <w:numPr>
          <w:ilvl w:val="0"/>
          <w:numId w:val="23"/>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Safety concerns related to timely patient follow-up remain despite automated notification of abnormal laboratory results.</w:t>
      </w:r>
    </w:p>
    <w:p>
      <w:pPr>
        <w:numPr>
          <w:ilvl w:val="0"/>
          <w:numId w:val="23"/>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study highlights that simple threshold-based lab alerts are insufficient — a key lesson for DocBot AI's clinical review alert design. DocBot AI's approach of combining trend detection (not just threshold alerts) with evidence-grounded QA and longitudinal patient context addresses the limitation of standalone alert systems.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 w:name="h_clinical_alerts_clinical_decisi_9e4dbd"/>
      <w:r>
        <w:rPr>
          <w:rFonts w:eastAsia="source serif 4" w:cs="source serif 4" w:ascii="source serif 4" w:hAnsi="source serif 4"/>
          <w:b/>
          <w:color w:val="000000"/>
          <w:sz w:val="24"/>
        </w:rPr>
        <w:t xml:space="preserve">H. Clinical Alerts / Clinical Decision Support Systems</w:t>
      </w:r>
      <w:bookmarkEnd w:id="34"/>
    </w:p>
    <w:p>
      <w:pPr>
        <w:spacing w:line="360" w:before="315" w:after="105" w:lineRule="auto"/>
        <w:ind w:left="-30"/>
        <w:jc w:val="left"/>
      </w:pPr>
      <w:bookmarkStart w:id="35" w:name="h1_cdss_effectiveness_meta_analys_c7006c"/>
      <w:r>
        <w:rPr>
          <w:rFonts w:eastAsia="source serif 4" w:cs="source serif 4" w:ascii="source serif 4" w:hAnsi="source serif 4"/>
          <w:b/>
          <w:color w:val="000000"/>
          <w:sz w:val="24"/>
        </w:rPr>
        <w:t xml:space="preserve">H1. CDSS Effectiveness Meta-Analysis — Kwan et al. (2020)</w:t>
      </w:r>
      <w:bookmarkEnd w:id="35"/>
    </w:p>
    <w:p>
      <w:pPr>
        <w:numPr>
          <w:ilvl w:val="0"/>
          <w:numId w:val="24"/>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Computerised clinical decision support systems and absolute improvements in care: meta-analysis of controlled clinical trials</w:t>
      </w:r>
    </w:p>
    <w:p>
      <w:pPr>
        <w:numPr>
          <w:ilvl w:val="0"/>
          <w:numId w:val="24"/>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Janice L. Kwan, Lisha Lo, Jacob Ferguson, Hanna Goldberg, Juan Pablo Diaz-Martinez, George Tomlinson, Jeremy M. Grimshaw, Kaveh G. Shojania</w:t>
      </w:r>
    </w:p>
    <w:p>
      <w:pPr>
        <w:numPr>
          <w:ilvl w:val="0"/>
          <w:numId w:val="24"/>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2020</w:t>
      </w:r>
    </w:p>
    <w:p>
      <w:pPr>
        <w:numPr>
          <w:ilvl w:val="0"/>
          <w:numId w:val="24"/>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BMJ, 370, m3216</w:t>
      </w:r>
    </w:p>
    <w:p>
      <w:pPr>
        <w:numPr>
          <w:ilvl w:val="0"/>
          <w:numId w:val="24"/>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32">
        <w:r>
          <w:rPr>
            <w:rFonts w:eastAsia="source sans 3" w:cs="source sans 3" w:ascii="source sans 3" w:hAnsi="source sans 3"/>
            <w:color w:val="#000"/>
            <w:sz w:val="21"/>
            <w:u w:val="single"/>
          </w:rPr>
          <w:t xml:space="preserve">10.1136/bmj.m3216</w:t>
        </w:r>
      </w:hyperlink>
    </w:p>
    <w:p>
      <w:pPr>
        <w:numPr>
          <w:ilvl w:val="0"/>
          <w:numId w:val="24"/>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CDSS embedded in EHRs are intended to prompt evidence-based care, but previous reviews found typical improvements of less than 5%. Subsequent reviews reported odds ratios but did not quantify absolute sizes of improvements achieved.</w:t>
      </w:r>
    </w:p>
    <w:p>
      <w:pPr>
        <w:numPr>
          <w:ilvl w:val="0"/>
          <w:numId w:val="24"/>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Meta-analysis of 122 controlled trials (1,203,053 patients, 10,790 providers) estimating absolute improvements in processes of care from CDSS. Examined features associated with larger effects and whether process improvements translated to clinical endpoints.</w:t>
      </w:r>
    </w:p>
    <w:p>
      <w:pPr>
        <w:numPr>
          <w:ilvl w:val="0"/>
          <w:numId w:val="24"/>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Medline (through August 2019); 122 analysable trials from 115 studies.</w:t>
      </w:r>
    </w:p>
    <w:p>
      <w:pPr>
        <w:numPr>
          <w:ilvl w:val="0"/>
          <w:numId w:val="24"/>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Systematic review and meta-analysis; multilevel meta-analysis model; meta-regression; PRISMA reporting; Cochrane methods.</w:t>
      </w:r>
    </w:p>
    <w:p>
      <w:pPr>
        <w:numPr>
          <w:ilvl w:val="0"/>
          <w:numId w:val="24"/>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CDSS increased the proportion of patients receiving desired care by 5.8% (95% CI 4.0–7.6%). Substantial heterogeneity (I²=76%). Only 14% of trials considered alert fatigue. Clinical endpoint improvements were minimal (median 0.3%). Features associated with larger effects: requiring acknowledgement of non-adherence (+4.8%) and ability to execute desired action (+4.4%).</w:t>
      </w:r>
    </w:p>
    <w:p>
      <w:pPr>
        <w:numPr>
          <w:ilvl w:val="0"/>
          <w:numId w:val="24"/>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Substantial heterogeneity (I²=76%); predictors of meaningful improvements remain undefined; predominantly US outpatient settings; did not search Embase/CINAHL/Cochrane; clinical endpoints reported in only 30 trials.</w:t>
      </w:r>
    </w:p>
    <w:p>
      <w:pPr>
        <w:numPr>
          <w:ilvl w:val="0"/>
          <w:numId w:val="24"/>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"The circumstances under which clinical decision support systems produce worthwhile improvements in care remain unidentified." "New ways of designing clinical decision support systems are needed to reliably produce larger improvements in care while balancing alert fatigue." "Achieving worthwhile improvements currently remains largely a matter of trial and error."</w:t>
      </w:r>
    </w:p>
    <w:p>
      <w:pPr>
        <w:numPr>
          <w:ilvl w:val="0"/>
          <w:numId w:val="24"/>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meta-analysis provides the evidence base for DocBot AI's clinical review alert design. DocBot AI addresses the identified gaps by: (a) generating alerts based on longitudinal trend analysis rather than simple thresholds, (b) integrating alerts with evidence-grounded QA context, and (c) designing alerts as review-support flags to minimize alert fatigue.</w:t>
      </w:r>
    </w:p>
    <w:p>
      <w:pPr>
        <w:spacing w:line="360" w:before="315" w:after="105" w:lineRule="auto"/>
        <w:ind w:left="-30"/>
        <w:jc w:val="left"/>
      </w:pPr>
      <w:bookmarkStart w:id="36" w:name="h2_alert_fatigue_systematic_revie_f136a8"/>
      <w:r>
        <w:rPr>
          <w:rFonts w:eastAsia="source serif 4" w:cs="source serif 4" w:ascii="source serif 4" w:hAnsi="source serif 4"/>
          <w:b/>
          <w:color w:val="000000"/>
          <w:sz w:val="24"/>
        </w:rPr>
        <w:t xml:space="preserve">H2. Alert Fatigue Systematic Review — Ray et al. (2026)</w:t>
      </w:r>
      <w:bookmarkEnd w:id="36"/>
    </w:p>
    <w:p>
      <w:pPr>
        <w:numPr>
          <w:ilvl w:val="0"/>
          <w:numId w:val="25"/>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Alert fatigue measurement in clinical decision support: a systematic review</w:t>
      </w:r>
    </w:p>
    <w:p>
      <w:pPr>
        <w:numPr>
          <w:ilvl w:val="0"/>
          <w:numId w:val="25"/>
        </w:numPr>
        <w:spacing w:line="360" w:before="105" w:after="105" w:lineRule="auto"/>
      </w:pPr>
      <w:r>
        <w:rPr>
          <w:rFonts w:eastAsia="source serif 4" w:cs="source serif 4" w:ascii="source serif 4" w:hAnsi="source serif 4"/>
          <w:b/>
          <w:color w:val="000000"/>
          <w:sz w:val="21"/>
        </w:rPr>
        <w:t xml:space="preserve">Authors:</w:t>
      </w:r>
      <w:r>
        <w:rPr>
          <w:rFonts w:eastAsia="source serif 4" w:cs="source serif 4" w:ascii="source serif 4" w:hAnsi="source serif 4"/>
          <w:color w:val="000000"/>
          <w:sz w:val="21"/>
        </w:rPr>
        <w:t xml:space="preserve"> Cara E. Ray, Geneva M. Wilson, Ashley M. Hughes, Cassie Cunningham Goedken, Eric Ping-Fei Liu, Margaret A. Fitzpatrick, Katie J. Suda, Satya Manasa Kota, Chinonyerem Nwankpa, Charlesnika T. Evans</w:t>
      </w:r>
    </w:p>
    <w:p>
      <w:pPr>
        <w:numPr>
          <w:ilvl w:val="0"/>
          <w:numId w:val="25"/>
        </w:numPr>
        <w:spacing w:line="360" w:before="105" w:after="105" w:lineRule="auto"/>
      </w:pPr>
      <w:r>
        <w:rPr>
          <w:rFonts w:eastAsia="source serif 4" w:cs="source serif 4" w:ascii="source serif 4" w:hAnsi="source serif 4"/>
          <w:b/>
          <w:color w:val="000000"/>
          <w:sz w:val="21"/>
        </w:rPr>
        <w:t xml:space="preserve">Year:</w:t>
      </w:r>
      <w:r>
        <w:rPr>
          <w:rFonts w:eastAsia="source serif 4" w:cs="source serif 4" w:ascii="source serif 4" w:hAnsi="source serif 4"/>
          <w:color w:val="000000"/>
          <w:sz w:val="21"/>
        </w:rPr>
        <w:t xml:space="preserve"> 2026</w:t>
      </w:r>
    </w:p>
    <w:p>
      <w:pPr>
        <w:numPr>
          <w:ilvl w:val="0"/>
          <w:numId w:val="25"/>
        </w:numPr>
        <w:spacing w:line="360" w:before="105" w:after="105" w:lineRule="auto"/>
      </w:pPr>
      <w:r>
        <w:rPr>
          <w:rFonts w:eastAsia="source serif 4" w:cs="source serif 4" w:ascii="source serif 4" w:hAnsi="source serif 4"/>
          <w:b/>
          <w:color w:val="000000"/>
          <w:sz w:val="21"/>
        </w:rPr>
        <w:t xml:space="preserve">Journal/Conference:</w:t>
      </w:r>
      <w:r>
        <w:rPr>
          <w:rFonts w:eastAsia="source serif 4" w:cs="source serif 4" w:ascii="source serif 4" w:hAnsi="source serif 4"/>
          <w:color w:val="000000"/>
          <w:sz w:val="21"/>
        </w:rPr>
        <w:t xml:space="preserve"> Journal of the American Medical Informatics Association, 33(8), 1523–1531</w:t>
      </w:r>
    </w:p>
    <w:p>
      <w:pPr>
        <w:numPr>
          <w:ilvl w:val="0"/>
          <w:numId w:val="25"/>
        </w:numPr>
        <w:spacing w:line="360" w:before="105" w:after="105" w:lineRule="auto"/>
      </w:pPr>
      <w:r>
        <w:rPr>
          <w:rFonts w:eastAsia="source serif 4" w:cs="source serif 4" w:ascii="source serif 4" w:hAnsi="source serif 4"/>
          <w:b/>
          <w:color w:val="000000"/>
          <w:sz w:val="21"/>
        </w:rPr>
        <w:t xml:space="preserve">DOI:</w:t>
      </w:r>
      <w:r>
        <w:rPr>
          <w:rFonts w:eastAsia="source serif 4" w:cs="source serif 4" w:ascii="source serif 4" w:hAnsi="source serif 4"/>
          <w:color w:val="000000"/>
          <w:sz w:val="21"/>
        </w:rPr>
        <w:t xml:space="preserve"> </w:t>
      </w:r>
      <w:hyperlink r:id="rId33">
        <w:r>
          <w:rPr>
            <w:rFonts w:eastAsia="source sans 3" w:cs="source sans 3" w:ascii="source sans 3" w:hAnsi="source sans 3"/>
            <w:color w:val="#000"/>
            <w:sz w:val="21"/>
            <w:u w:val="single"/>
          </w:rPr>
          <w:t xml:space="preserve">10.1093/jamia/ocag064</w:t>
        </w:r>
      </w:hyperlink>
    </w:p>
    <w:p>
      <w:pPr>
        <w:numPr>
          <w:ilvl w:val="0"/>
          <w:numId w:val="25"/>
        </w:numPr>
        <w:spacing w:line="360" w:before="105" w:after="105" w:lineRule="auto"/>
      </w:pPr>
      <w:r>
        <w:rPr>
          <w:rFonts w:eastAsia="source serif 4" w:cs="source serif 4" w:ascii="source serif 4" w:hAnsi="source serif 4"/>
          <w:b/>
          <w:color w:val="000000"/>
          <w:sz w:val="21"/>
        </w:rPr>
        <w:t xml:space="preserve">Research problem:</w:t>
      </w:r>
      <w:r>
        <w:rPr>
          <w:rFonts w:eastAsia="source serif 4" w:cs="source serif 4" w:ascii="source serif 4" w:hAnsi="source serif 4"/>
          <w:color w:val="000000"/>
          <w:sz w:val="21"/>
        </w:rPr>
        <w:t xml:space="preserve"> Alert fatigue — alert dismissals due to excessive or irrelevant alerts — is frequently cited as a barrier to CDSS use and impact. The criteria for determining the presence or absence of alert fatigue are poorly defined.</w:t>
      </w:r>
    </w:p>
    <w:p>
      <w:pPr>
        <w:numPr>
          <w:ilvl w:val="0"/>
          <w:numId w:val="25"/>
        </w:numPr>
        <w:spacing w:line="360" w:before="105" w:after="105" w:lineRule="auto"/>
      </w:pPr>
      <w:r>
        <w:rPr>
          <w:rFonts w:eastAsia="source serif 4" w:cs="source serif 4" w:ascii="source serif 4" w:hAnsi="source serif 4"/>
          <w:b/>
          <w:color w:val="000000"/>
          <w:sz w:val="21"/>
        </w:rPr>
        <w:t xml:space="preserve">Main focus:</w:t>
      </w:r>
      <w:r>
        <w:rPr>
          <w:rFonts w:eastAsia="source serif 4" w:cs="source serif 4" w:ascii="source serif 4" w:hAnsi="source serif 4"/>
          <w:color w:val="000000"/>
          <w:sz w:val="21"/>
        </w:rPr>
        <w:t xml:space="preserve"> Systematic review identifying operationalized definitions and measures of alert fatigue or alert-related metrics for physician-directed electronic alerts. Examined 22 systematic reviews.</w:t>
      </w:r>
    </w:p>
    <w:p>
      <w:pPr>
        <w:numPr>
          <w:ilvl w:val="0"/>
          <w:numId w:val="25"/>
        </w:numPr>
        <w:spacing w:line="360" w:before="105" w:after="105" w:lineRule="auto"/>
      </w:pPr>
      <w:r>
        <w:rPr>
          <w:rFonts w:eastAsia="source serif 4" w:cs="source serif 4" w:ascii="source serif 4" w:hAnsi="source serif 4"/>
          <w:b/>
          <w:color w:val="000000"/>
          <w:sz w:val="21"/>
        </w:rPr>
        <w:t xml:space="preserve">Dataset/data source:</w:t>
      </w:r>
      <w:r>
        <w:rPr>
          <w:rFonts w:eastAsia="source serif 4" w:cs="source serif 4" w:ascii="source serif 4" w:hAnsi="source serif 4"/>
          <w:color w:val="000000"/>
          <w:sz w:val="21"/>
        </w:rPr>
        <w:t xml:space="preserve"> Cochrane Library, Embase, PubMed (through 2024); 22 systematic reviews included.</w:t>
      </w:r>
    </w:p>
    <w:p>
      <w:pPr>
        <w:numPr>
          <w:ilvl w:val="0"/>
          <w:numId w:val="25"/>
        </w:numPr>
        <w:spacing w:line="360" w:before="105" w:after="105" w:lineRule="auto"/>
      </w:pPr>
      <w:r>
        <w:rPr>
          <w:rFonts w:eastAsia="source serif 4" w:cs="source serif 4" w:ascii="source serif 4" w:hAnsi="source serif 4"/>
          <w:b/>
          <w:color w:val="000000"/>
          <w:sz w:val="21"/>
        </w:rPr>
        <w:t xml:space="preserve">Techniques/models used:</w:t>
      </w:r>
      <w:r>
        <w:rPr>
          <w:rFonts w:eastAsia="source serif 4" w:cs="source serif 4" w:ascii="source serif 4" w:hAnsi="source serif 4"/>
          <w:color w:val="000000"/>
          <w:sz w:val="21"/>
        </w:rPr>
        <w:t xml:space="preserve"> Systematic review of systematic reviews; Revised Assessment of Multiple Systematic Reviews (ROBIS) for quality assessment; narrative synthesis and descriptive statistics.</w:t>
      </w:r>
    </w:p>
    <w:p>
      <w:pPr>
        <w:numPr>
          <w:ilvl w:val="0"/>
          <w:numId w:val="25"/>
        </w:numPr>
        <w:spacing w:line="360" w:before="105" w:after="105" w:lineRule="auto"/>
      </w:pPr>
      <w:r>
        <w:rPr>
          <w:rFonts w:eastAsia="source serif 4" w:cs="source serif 4" w:ascii="source serif 4" w:hAnsi="source serif 4"/>
          <w:b/>
          <w:color w:val="000000"/>
          <w:sz w:val="21"/>
        </w:rPr>
        <w:t xml:space="preserve">Main findings/results:</w:t>
      </w:r>
      <w:r>
        <w:rPr>
          <w:rFonts w:eastAsia="source serif 4" w:cs="source serif 4" w:ascii="source serif 4" w:hAnsi="source serif 4"/>
          <w:color w:val="000000"/>
          <w:sz w:val="21"/>
        </w:rPr>
        <w:t xml:space="preserve"> Only 1 of 22 articles reported an operational definition of alert fatigue. Most common alert metrics were quantity, override rate, and acceptance rate. Alert fatigue measurement methods were not clearly or consistently defined. Reporting of primary study characteristics was frequently insufficient.</w:t>
      </w:r>
    </w:p>
    <w:p>
      <w:pPr>
        <w:numPr>
          <w:ilvl w:val="0"/>
          <w:numId w:val="25"/>
        </w:numPr>
        <w:spacing w:line="360" w:before="105" w:after="105" w:lineRule="auto"/>
      </w:pPr>
      <w:r>
        <w:rPr>
          <w:rFonts w:eastAsia="source serif 4" w:cs="source serif 4" w:ascii="source serif 4" w:hAnsi="source serif 4"/>
          <w:b/>
          <w:color w:val="000000"/>
          <w:sz w:val="21"/>
        </w:rPr>
        <w:t xml:space="preserve">Limitations:</w:t>
      </w:r>
      <w:r>
        <w:rPr>
          <w:rFonts w:eastAsia="source serif 4" w:cs="source serif 4" w:ascii="source serif 4" w:hAnsi="source serif 4"/>
          <w:color w:val="000000"/>
          <w:sz w:val="21"/>
        </w:rPr>
        <w:t xml:space="preserve"> As a systematic review of reviews, it synthesizes existing work; does not propose new alert systems or solutions.</w:t>
      </w:r>
    </w:p>
    <w:p>
      <w:pPr>
        <w:numPr>
          <w:ilvl w:val="0"/>
          <w:numId w:val="25"/>
        </w:numPr>
        <w:spacing w:line="360" w:before="105" w:after="105" w:lineRule="auto"/>
      </w:pPr>
      <w:r>
        <w:rPr>
          <w:rFonts w:eastAsia="source serif 4" w:cs="source serif 4" w:ascii="source serif 4" w:hAnsi="source serif 4"/>
          <w:b/>
          <w:color w:val="000000"/>
          <w:sz w:val="21"/>
        </w:rPr>
        <w:t xml:space="preserve">Research gap stated by authors:</w:t>
      </w:r>
      <w:r>
        <w:rPr>
          <w:rFonts w:eastAsia="source serif 4" w:cs="source serif 4" w:ascii="source serif 4" w:hAnsi="source serif 4"/>
          <w:color w:val="000000"/>
          <w:sz w:val="21"/>
        </w:rPr>
        <w:t xml:space="preserve"> Alert fatigue measurement methods are not clearly or consistently defined. Only one article reported an operational definition of alert fatigue. This inconsistency hinders CDSS improvement.</w:t>
      </w:r>
    </w:p>
    <w:p>
      <w:pPr>
        <w:numPr>
          <w:ilvl w:val="0"/>
          <w:numId w:val="25"/>
        </w:numPr>
        <w:spacing w:line="360" w:before="105" w:after="105" w:lineRule="auto"/>
      </w:pPr>
      <w:r>
        <w:rPr>
          <w:rFonts w:eastAsia="source serif 4" w:cs="source serif 4" w:ascii="source serif 4" w:hAnsi="source serif 4"/>
          <w:b/>
          <w:color w:val="000000"/>
          <w:sz w:val="21"/>
        </w:rPr>
        <w:t xml:space="preserve">Relation to DocBot AI:</w:t>
      </w:r>
      <w:r>
        <w:rPr>
          <w:rFonts w:eastAsia="source serif 4" w:cs="source serif 4" w:ascii="source serif 4" w:hAnsi="source serif 4"/>
          <w:color w:val="000000"/>
          <w:sz w:val="21"/>
        </w:rPr>
        <w:t xml:space="preserve"> This review highlights the challenge of alert fatigue that DocBot AI must address. DocBot AI's clinical review alerts are designed as professional review-support flags (not autonomous decisions), and the system should be designed to minimize alert fatigue by generating alerts only when predefined or validated criteria indicate meaningful trends.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i_systems_combining_llm_rag_based_7e5964"/>
      <w:r>
        <w:rPr>
          <w:rFonts w:eastAsia="source serif 4" w:cs="source serif 4" w:ascii="source serif 4" w:hAnsi="source serif 4"/>
          <w:b/>
          <w:color w:val="000000"/>
          <w:sz w:val="24"/>
        </w:rPr>
        <w:t xml:space="preserve">I. Systems Combining LLM/RAG-Based Medical QA with Longitudinal Patient Information or Monitoring</w:t>
      </w:r>
      <w:bookmarkEnd w:id="37"/>
    </w:p>
    <w:p>
      <w:pPr>
        <w:spacing w:line="360" w:before="315" w:after="105" w:lineRule="auto"/>
        <w:ind w:left="-30"/>
        <w:jc w:val="left"/>
      </w:pPr>
      <w:bookmarkStart w:id="38" w:name="i1_ehr_rag_cao_et_al_2026_also_li_a8f1b7"/>
      <w:r>
        <w:rPr>
          <w:rFonts w:eastAsia="source serif 4" w:cs="source serif 4" w:ascii="source serif 4" w:hAnsi="source serif 4"/>
          <w:b/>
          <w:color w:val="000000"/>
          <w:sz w:val="24"/>
        </w:rPr>
        <w:t xml:space="preserve">I1. EHR-RAG — Cao et al. (2026) [also listed under E]</w:t>
      </w:r>
      <w:bookmarkEnd w:id="38"/>
    </w:p>
    <w:p>
      <w:pPr>
        <w:spacing w:line="360" w:after="210" w:lineRule="auto"/>
      </w:pPr>
      <w:r>
        <w:rPr>
          <w:rFonts w:eastAsia="source serif 4" w:cs="source serif 4" w:ascii="source serif 4" w:hAnsi="source serif 4"/>
          <w:i/>
          <w:color w:val="000000"/>
        </w:rPr>
        <w:t xml:space="preserve">(See entry E2 above for full details)</w:t>
      </w:r>
    </w:p>
    <w:p>
      <w:pPr>
        <w:spacing w:line="360" w:after="210" w:lineRule="auto"/>
      </w:pPr>
      <w:r>
        <w:rPr>
          <w:rFonts w:eastAsia="source serif 4" w:cs="source serif 4" w:ascii="source serif 4" w:hAnsi="source serif 4"/>
          <w:color w:val="000000"/>
        </w:rPr>
        <w:t xml:space="preserve">This is the closest identified system that combines RAG with longitudinal EHR data. However, it focuses on structured EHR reasoning and does not incorporate: medical knowledge base QA for general clinical questions, symptom/lab trend monitoring with predefined criteria, clinical review alert generation, or evidence source display.</w:t>
      </w:r>
    </w:p>
    <w:p>
      <w:pPr>
        <w:spacing w:line="360" w:before="315" w:after="105" w:lineRule="auto"/>
        <w:ind w:left="-30"/>
        <w:jc w:val="left"/>
      </w:pPr>
      <w:bookmarkStart w:id="39" w:name="i2_almanac_copilot_zakka_et_al_20_f65e88"/>
      <w:r>
        <w:rPr>
          <w:rFonts w:eastAsia="source serif 4" w:cs="source serif 4" w:ascii="source serif 4" w:hAnsi="source serif 4"/>
          <w:b/>
          <w:color w:val="000000"/>
          <w:sz w:val="24"/>
        </w:rPr>
        <w:t xml:space="preserve">I2. Almanac Copilot — Zakka et al. (2024) [also listed under E]</w:t>
      </w:r>
      <w:bookmarkEnd w:id="39"/>
    </w:p>
    <w:p>
      <w:pPr>
        <w:spacing w:line="360" w:after="210" w:lineRule="auto"/>
      </w:pPr>
      <w:r>
        <w:rPr>
          <w:rFonts w:eastAsia="source serif 4" w:cs="source serif 4" w:ascii="source serif 4" w:hAnsi="source serif 4"/>
          <w:i/>
          <w:color w:val="000000"/>
        </w:rPr>
        <w:t xml:space="preserve">(See entry E4 above for full details)</w:t>
      </w:r>
    </w:p>
    <w:p>
      <w:pPr>
        <w:spacing w:line="360" w:after="210" w:lineRule="auto"/>
      </w:pPr>
      <w:r>
        <w:rPr>
          <w:rFonts w:eastAsia="source serif 4" w:cs="source serif 4" w:ascii="source serif 4" w:hAnsi="source serif 4"/>
          <w:color w:val="000000"/>
        </w:rPr>
        <w:t xml:space="preserve">Almanac Copilot combines LLM-based EHR navigation with retrieval but focuses on EHR-specific tasks (information retrieval, order placement) and does not integrate medical knowledge base QA, longitudinal trend detection, or clinical review alerts.</w:t>
      </w:r>
    </w:p>
    <w:p>
      <w:pPr>
        <w:spacing w:line="360" w:before="315" w:after="105" w:lineRule="auto"/>
        <w:ind w:left="-30"/>
        <w:jc w:val="left"/>
      </w:pPr>
      <w:bookmarkStart w:id="40" w:name="i3_real_world_clinical_qa_low_et_5b6c51"/>
      <w:r>
        <w:rPr>
          <w:rFonts w:eastAsia="source serif 4" w:cs="source serif 4" w:ascii="source serif 4" w:hAnsi="source serif 4"/>
          <w:b/>
          <w:color w:val="000000"/>
          <w:sz w:val="24"/>
        </w:rPr>
        <w:t xml:space="preserve">I3. Real-World Clinical QA — Low et al. (2025) [also listed under E]</w:t>
      </w:r>
      <w:bookmarkEnd w:id="40"/>
    </w:p>
    <w:p>
      <w:pPr>
        <w:spacing w:line="360" w:after="210" w:lineRule="auto"/>
      </w:pPr>
      <w:r>
        <w:rPr>
          <w:rFonts w:eastAsia="source serif 4" w:cs="source serif 4" w:ascii="source serif 4" w:hAnsi="source serif 4"/>
          <w:i/>
          <w:color w:val="000000"/>
        </w:rPr>
        <w:t xml:space="preserve">(See entry E3 above for full details)</w:t>
      </w:r>
    </w:p>
    <w:p>
      <w:pPr>
        <w:spacing w:line="360" w:after="210" w:lineRule="auto"/>
      </w:pPr>
      <w:r>
        <w:rPr>
          <w:rFonts w:eastAsia="source serif 4" w:cs="source serif 4" w:ascii="source serif 4" w:hAnsi="source serif 4"/>
          <w:color w:val="000000"/>
        </w:rPr>
        <w:t xml:space="preserve">This study evaluated RAG and agentic LLM systems for real-world clinical questions but did not integrate longitudinal patient monitoring, trend detection, or clinical review alerts.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3_synthesis_of_research_gaps"/>
      <w:r>
        <w:rPr>
          <w:rFonts w:eastAsia="source serif 4" w:cs="source serif 4" w:ascii="source serif 4" w:hAnsi="source serif 4"/>
          <w:b/>
          <w:color w:val="000000"/>
          <w:sz w:val="24"/>
        </w:rPr>
        <w:t xml:space="preserve">3. Synthesis of Research Gaps</w:t>
      </w:r>
      <w:bookmarkEnd w:id="41"/>
    </w:p>
    <w:p>
      <w:pPr>
        <w:spacing w:line="360" w:before="315" w:after="105" w:lineRule="auto"/>
        <w:ind w:left="-30"/>
        <w:jc w:val="left"/>
      </w:pPr>
      <w:bookmarkStart w:id="42" w:name="bm_3_1_directly_stated_gaps_by_au_9eee11"/>
      <w:r>
        <w:rPr>
          <w:rFonts w:eastAsia="source serif 4" w:cs="source serif 4" w:ascii="source serif 4" w:hAnsi="source serif 4"/>
          <w:b/>
          <w:color w:val="000000"/>
          <w:sz w:val="24"/>
        </w:rPr>
        <w:t xml:space="preserve">3.1 Directly Stated Gaps (by Authors Themselves)</w:t>
      </w:r>
      <w:bookmarkEnd w:id="42"/>
    </w:p>
    <w:p>
      <w:pPr>
        <w:spacing w:line="360" w:after="210" w:lineRule="auto"/>
      </w:pPr>
      <w:r>
        <w:rPr>
          <w:rFonts w:eastAsia="source serif 4" w:cs="source serif 4" w:ascii="source serif 4" w:hAnsi="source serif 4"/>
          <w:i/>
          <w:color w:val="000000"/>
        </w:rPr>
        <w:t xml:space="preserve">Entries with quotation marks are verbatim quotes from the source. Entries without quotation marks are close paraphrases of the authors' own stated future-research needs, based on the paper's introduction, discussion, or conclusion.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Directly Stated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Tsatsaronis et al. (2015)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Existing semantic indexing and QA methods require additional research to reach acceptable effectiveness for biomedical experts.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Jin et al. (2019)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"Much room for improvement" — model performance substantially below human performance.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Singhal et al. (2023, Med-PaLM)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Grounding responses in authoritative medical sources is needed. Methods for retrieving information from evolving medical corpora are needed. Benchmark tasks reflecting real-world clinical workflows, including EMR-based questions, are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Singhal et al. (2025, Med-PaLM 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Real-world clinical workflow integration remains unstudied; grounding in authoritative sources and patient-specific data are identified needs.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Basu &amp; Huynh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Lack of standardized healthcare-specific evaluation metrics; insufficient real-world deployment studies; need for clinical escalation pathways; gaps in interoperability.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Ray et al.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Alert fatigue measurement methods are not clearly or consistently defined; only 1 of 22 reviews reported an operational definition.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Morid et al. (2020)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previous study had leveraged structural temporal patterns (trends) for adverse-event prediction in critical 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Kwan et al. (2020)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"The circumstances under which CDSS produce worthwhile improvements in care remain unidentified." "New ways of designing CDSS are needed to reliably produce larger improvements while balancing alert fatigue."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Cao et al.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 the authors' knowledge, no existing RAG framework was explicitly designed to handle the longitudinal, multi-event nature of long-horizon structured EHRs."</w:t>
            </w:r>
          </w:p>
        </w:tc>
      </w:tr>
    </w:tbl>
    <w:p>
      <w:pPr>
        <w:spacing w:lineRule="auto"/>
      </w:pPr>
    </w:p>
    <w:p>
      <w:pPr>
        <w:spacing w:line="360" w:before="315" w:after="105" w:lineRule="auto"/>
        <w:ind w:left="-30"/>
        <w:jc w:val="left"/>
      </w:pPr>
      <w:bookmarkStart w:id="43" w:name="bm_3_1b_author_stated_motivations_ade87c"/>
      <w:r>
        <w:rPr>
          <w:rFonts w:eastAsia="source serif 4" w:cs="source serif 4" w:ascii="source serif 4" w:hAnsi="source serif 4"/>
          <w:b/>
          <w:color w:val="000000"/>
          <w:sz w:val="24"/>
        </w:rPr>
        <w:t xml:space="preserve">3.1b Author-Stated Motivations and Conclusions (Not Explicit Future-Research Gaps)</w:t>
      </w:r>
      <w:bookmarkEnd w:id="43"/>
    </w:p>
    <w:p>
      <w:pPr>
        <w:spacing w:line="360" w:after="210" w:lineRule="auto"/>
      </w:pPr>
      <w:r>
        <w:rPr>
          <w:rFonts w:eastAsia="source serif 4" w:cs="source serif 4" w:ascii="source serif 4" w:hAnsi="source serif 4"/>
          <w:i/>
          <w:color w:val="000000"/>
        </w:rPr>
        <w:t xml:space="preserve">The following entries are drawn from the authors' own language (introduction motivation, study conclusions) but are not explicit future-research recommendations. They are included for completeness and to distinguish them from Section 3.1.</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Author-Stated Motivation / Conclusion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Singh et al. (2010)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Safety concerns related to timely patient follow-up remain despite automated notification of abnormal laboratory results. (Study conclusion)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Yada &amp; Aramaki (2023)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Authors note no practical end-to-end system existed for visualising medical histories from natural-language EHR text. (Study motivation)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Park et al. (2024)</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Authors identify problems in existing timeline visualizations (event recognition, access ambiguity, inefficient interaction, scalability). (Study motivation)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 et al. (2025)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Authors find no single LLM-based system is sufficient for all clinical question types; general-purpose LLMs may hallucinate references and treatment guidelines. (Study conclusion)</w:t>
            </w:r>
          </w:p>
        </w:tc>
      </w:tr>
    </w:tbl>
    <w:p>
      <w:pPr>
        <w:spacing w:lineRule="auto"/>
      </w:pPr>
    </w:p>
    <w:p>
      <w:pPr>
        <w:spacing w:line="360" w:before="315" w:after="105" w:lineRule="auto"/>
        <w:ind w:left="-30"/>
        <w:jc w:val="left"/>
      </w:pPr>
      <w:bookmarkStart w:id="44" w:name="bm_3_2_study_level_limitations_in_f99bde"/>
      <w:r>
        <w:rPr>
          <w:rFonts w:eastAsia="source serif 4" w:cs="source serif 4" w:ascii="source serif 4" w:hAnsi="source serif 4"/>
          <w:b/>
          <w:color w:val="000000"/>
          <w:sz w:val="24"/>
        </w:rPr>
        <w:t xml:space="preserve">3.2 Study-Level Limitations (Inferred from Scope/Results)</w:t>
      </w:r>
      <w:bookmarkEnd w:id="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Lewis et al. (2020)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Non-medical domain; no patient-specific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Zakka et al. (2024, Almanac)</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patient-specific longitudinal data; no lab trend monitoring; no clinical alerts; not deployed in real clinical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Sohn et al. (2025)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patient-specific data; no longitudinal monitoring; no clinical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Zhang et al. (2026)</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longitudinal patient data; no trend monitoring; no clinical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Nanua et al. (2025)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Limited to laboratory regulatory QA; no patient-specific data or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Lee et al. (2020, BioBERT)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Does not address QA generation or patient-specific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Liu et al. (2021, SapBERT)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Focused on entity linking; no QA or patient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Plaisant et al. (1996/1998)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Early work; no AI/LLM; no automated trend detection or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Ledesma et al. (2019)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Focused on mental health data; no AI/LLM; no trend detection or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Glicksberg et al. (2019)</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AI/LLM; no trend detection; no clinical alerts; requires OMOP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Xie et al. (2022)</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Review only; does not propose integrated QA + monitoring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Singh et al. (2010)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Single-site VA study; 4 lab types; no QA, no RAG, no trend detection beyond thresholds.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Kwan et al. (2020)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Meta-analysis shows modest CDSS improvements with high heterogeneity; predictors undefined; no QA or monitoring integration.</w:t>
            </w:r>
          </w:p>
        </w:tc>
      </w:tr>
    </w:tbl>
    <w:p>
      <w:pPr>
        <w:spacing w:lineRule="auto"/>
      </w:pPr>
    </w:p>
    <w:p>
      <w:pPr>
        <w:spacing w:line="360" w:before="315" w:after="105" w:lineRule="auto"/>
        <w:ind w:left="-30"/>
        <w:jc w:val="left"/>
      </w:pPr>
      <w:bookmarkStart w:id="45" w:name="bm_3_3_synthesized_gap_from_multi_10ea96"/>
      <w:r>
        <w:rPr>
          <w:rFonts w:eastAsia="source serif 4" w:cs="source serif 4" w:ascii="source serif 4" w:hAnsi="source serif 4"/>
          <w:b/>
          <w:color w:val="000000"/>
          <w:sz w:val="24"/>
        </w:rPr>
        <w:t xml:space="preserve">3.3 Synthesized Gap (from Multiple Studies)</w:t>
      </w:r>
      <w:bookmarkEnd w:id="45"/>
    </w:p>
    <w:p>
      <w:pPr>
        <w:spacing w:line="360" w:after="210" w:lineRule="auto"/>
      </w:pPr>
      <w:r>
        <w:rPr>
          <w:rFonts w:eastAsia="source serif 4" w:cs="source serif 4" w:ascii="source serif 4" w:hAnsi="source serif 4"/>
          <w:color w:val="000000"/>
        </w:rPr>
        <w:t xml:space="preserve">When the literature is examined collectively, a clear pattern emerges:</w:t>
      </w:r>
    </w:p>
    <w:p>
      <w:pPr>
        <w:numPr>
          <w:ilvl w:val="0"/>
          <w:numId w:val="26"/>
        </w:numPr>
        <w:spacing w:line="360" w:after="210" w:lineRule="auto"/>
      </w:pPr>
      <w:r>
        <w:rPr>
          <w:rFonts w:eastAsia="source serif 4" w:cs="source serif 4" w:ascii="source serif 4" w:hAnsi="source serif 4"/>
          <w:b/>
          <w:color w:val="000000"/>
          <w:sz w:val="21"/>
        </w:rPr>
        <w:t xml:space="preserve">Medical QA / LLMs</w:t>
      </w:r>
      <w:r>
        <w:rPr>
          <w:rFonts w:eastAsia="source serif 4" w:cs="source serif 4" w:ascii="source serif 4" w:hAnsi="source serif 4"/>
          <w:color w:val="000000"/>
          <w:sz w:val="21"/>
        </w:rPr>
        <w:t xml:space="preserve"> (Med-PaLM, Med-PaLM 2, PubMedQA, BioASQ): These systems demonstrate impressive medical knowledge but lack evidence grounding in real-time retrieval, patient-specific data integration, and longitudinal monitoring. The authors themselves identify grounding in authoritative sources and real-world clinical workflow integration as gaps.</w:t>
      </w:r>
    </w:p>
    <w:p>
      <w:pPr>
        <w:numPr>
          <w:ilvl w:val="0"/>
          <w:numId w:val="26"/>
        </w:numPr>
        <w:spacing w:line="360" w:after="210" w:lineRule="auto"/>
      </w:pPr>
      <w:r>
        <w:rPr>
          <w:rFonts w:eastAsia="source serif 4" w:cs="source serif 4" w:ascii="source serif 4" w:hAnsi="source serif 4"/>
          <w:b/>
          <w:color w:val="000000"/>
          <w:sz w:val="21"/>
        </w:rPr>
        <w:t xml:space="preserve">RAG for medical QA</w:t>
      </w:r>
      <w:r>
        <w:rPr>
          <w:rFonts w:eastAsia="source serif 4" w:cs="source serif 4" w:ascii="source serif 4" w:hAnsi="source serif 4"/>
          <w:color w:val="000000"/>
          <w:sz w:val="21"/>
        </w:rPr>
        <w:t xml:space="preserve"> (Almanac, RAG², Zhang et al.): These systems demonstrate that RAG improves factuality and evidence grounding, but they focus on general medical knowledge QA and do not incorporate patient-specific longitudinal data, lab trend monitoring, or clinical review alerts.</w:t>
      </w:r>
    </w:p>
    <w:p>
      <w:pPr>
        <w:numPr>
          <w:ilvl w:val="0"/>
          <w:numId w:val="26"/>
        </w:numPr>
        <w:spacing w:line="360" w:after="210" w:lineRule="auto"/>
      </w:pPr>
      <w:r>
        <w:rPr>
          <w:rFonts w:eastAsia="source serif 4" w:cs="source serif 4" w:ascii="source serif 4" w:hAnsi="source serif 4"/>
          <w:b/>
          <w:color w:val="000000"/>
          <w:sz w:val="21"/>
        </w:rPr>
        <w:t xml:space="preserve">Longitudinal EHR / patient monitoring</w:t>
      </w:r>
      <w:r>
        <w:rPr>
          <w:rFonts w:eastAsia="source serif 4" w:cs="source serif 4" w:ascii="source serif 4" w:hAnsi="source serif 4"/>
          <w:color w:val="000000"/>
          <w:sz w:val="21"/>
        </w:rPr>
        <w:t xml:space="preserve"> (Xie et al., EHR-RAG, Almanac Copilot): These systems address temporal EHR modeling and EHR navigation, but they do not combine medical knowledge base QA, evidence-grounded responses with source display, or clinical review alert generation. EHR-RAG (Cao et al., 2026) is the closest to combining RAG with longitudinal EHR data, but it focuses on structured EHR reasoning and does not include medical knowledge QA, symptom/lab trend monitoring, or clinical review alerts.</w:t>
      </w:r>
    </w:p>
    <w:p>
      <w:pPr>
        <w:numPr>
          <w:ilvl w:val="0"/>
          <w:numId w:val="26"/>
        </w:numPr>
        <w:spacing w:line="360" w:after="210" w:lineRule="auto"/>
      </w:pPr>
      <w:r>
        <w:rPr>
          <w:rFonts w:eastAsia="source serif 4" w:cs="source serif 4" w:ascii="source serif 4" w:hAnsi="source serif 4"/>
          <w:b/>
          <w:color w:val="000000"/>
          <w:sz w:val="21"/>
        </w:rPr>
        <w:t xml:space="preserve">Patient timeline visualization</w:t>
      </w:r>
      <w:r>
        <w:rPr>
          <w:rFonts w:eastAsia="source serif 4" w:cs="source serif 4" w:ascii="source serif 4" w:hAnsi="source serif 4"/>
          <w:color w:val="000000"/>
          <w:sz w:val="21"/>
        </w:rPr>
        <w:t xml:space="preserve"> (LifeLines, Health Timeline, HeaRT, HistoriView, PatientExploreR): These systems demonstrate the value of timeline visualization but lack AI-powered analysis, trend detection, evidence-grounded QA, and clinical alert generation.</w:t>
      </w:r>
    </w:p>
    <w:p>
      <w:pPr>
        <w:numPr>
          <w:ilvl w:val="0"/>
          <w:numId w:val="26"/>
        </w:numPr>
        <w:spacing w:line="360" w:after="210" w:lineRule="auto"/>
      </w:pPr>
      <w:r>
        <w:rPr>
          <w:rFonts w:eastAsia="source serif 4" w:cs="source serif 4" w:ascii="source serif 4" w:hAnsi="source serif 4"/>
          <w:b/>
          <w:color w:val="000000"/>
          <w:sz w:val="21"/>
        </w:rPr>
        <w:t xml:space="preserve">Lab trend detection and lab-result alerting</w:t>
      </w:r>
      <w:r>
        <w:rPr>
          <w:rFonts w:eastAsia="source serif 4" w:cs="source serif 4" w:ascii="source serif 4" w:hAnsi="source serif 4"/>
          <w:color w:val="000000"/>
          <w:sz w:val="21"/>
        </w:rPr>
        <w:t xml:space="preserve"> (Morid et al. [trend detection], Singh et al. [result alerting]): Morid et al. demonstrate temporal pattern detection for ICU AKI; Singh et al. demonstrate lab-result alerting/follow-up in VA outpatient settings. Neither integrates medical QA, RAG, patient timeline visualization, or evidence-grounded clinical review alerts.</w:t>
      </w:r>
    </w:p>
    <w:p>
      <w:pPr>
        <w:numPr>
          <w:ilvl w:val="0"/>
          <w:numId w:val="26"/>
        </w:numPr>
        <w:spacing w:line="360" w:after="210" w:lineRule="auto"/>
      </w:pPr>
      <w:r>
        <w:rPr>
          <w:rFonts w:eastAsia="source serif 4" w:cs="source serif 4" w:ascii="source serif 4" w:hAnsi="source serif 4"/>
          <w:b/>
          <w:color w:val="000000"/>
          <w:sz w:val="21"/>
        </w:rPr>
        <w:t xml:space="preserve">Clinical alerts / CDSS</w:t>
      </w:r>
      <w:r>
        <w:rPr>
          <w:rFonts w:eastAsia="source serif 4" w:cs="source serif 4" w:ascii="source serif 4" w:hAnsi="source serif 4"/>
          <w:color w:val="000000"/>
          <w:sz w:val="21"/>
        </w:rPr>
        <w:t xml:space="preserve"> (Kwan et al., Ray et al.): The CDSS meta-analysis shows modest average improvements with high heterogeneity, and the alert fatigue review highlights inconsistent measurement. Neither proposes integrated systems combining QA, monitoring, and alerting.</w:t>
      </w:r>
    </w:p>
    <w:p>
      <w:pPr>
        <w:spacing w:line="360" w:after="210" w:lineRule="auto"/>
      </w:pPr>
      <w:r>
        <w:rPr>
          <w:rFonts w:eastAsia="source serif 4" w:cs="source serif 4" w:ascii="source serif 4" w:hAnsi="source serif 4"/>
          <w:b/>
          <w:color w:val="000000"/>
        </w:rPr>
        <w:t xml:space="preserve">The synthesized gap is clear:</w:t>
      </w:r>
      <w:r>
        <w:rPr>
          <w:rFonts w:eastAsia="source serif 4" w:cs="source serif 4" w:ascii="source serif 4" w:hAnsi="source serif 4"/>
          <w:color w:val="000000"/>
        </w:rPr>
        <w:t xml:space="preserve"> In the reviewed peer-reviewed literature and selected recent preprints, I did not find a single system that explicitly integrates all five elements — (1) evidence-grounded clinical QA using RAG, (2) medical knowledge retrieval via embeddings/vector search, (3) longitudinal patient information/timeline, (4) laboratory/symptom trend detection, and (5) clinical review alerts — into a single clinical information-support platform. Each element has been studied individually or in pairs, but the full integration has not been demonstrated in the reviewed literature.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4_combination_gap_finding"/>
      <w:r>
        <w:rPr>
          <w:rFonts w:eastAsia="source serif 4" w:cs="source serif 4" w:ascii="source serif 4" w:hAnsi="source serif 4"/>
          <w:b/>
          <w:color w:val="000000"/>
          <w:sz w:val="24"/>
        </w:rPr>
        <w:t xml:space="preserve">4. Combination-Gap Finding</w:t>
      </w:r>
      <w:bookmarkEnd w:id="46"/>
    </w:p>
    <w:p>
      <w:pPr>
        <w:spacing w:line="360" w:before="315" w:after="105" w:lineRule="auto"/>
        <w:ind w:left="-30"/>
        <w:jc w:val="left"/>
      </w:pPr>
      <w:bookmarkStart w:id="47" w:name="does_a_research_gap_exist_around_60bdf4"/>
      <w:r>
        <w:rPr>
          <w:rFonts w:eastAsia="source serif 4" w:cs="source serif 4" w:ascii="source serif 4" w:hAnsi="source serif 4"/>
          <w:b/>
          <w:color w:val="000000"/>
          <w:sz w:val="24"/>
        </w:rPr>
        <w:t xml:space="preserve">Does a research gap exist around integrating "evidence-grounded clinical QA + medical knowledge retrieval/RAG + longitudinal patient information + lab/symptom trend monitoring + clinical review alerts"?</w:t>
      </w:r>
      <w:bookmarkEnd w:id="47"/>
    </w:p>
    <w:p>
      <w:pPr>
        <w:spacing w:line="360" w:after="210" w:lineRule="auto"/>
      </w:pPr>
      <w:r>
        <w:rPr>
          <w:rFonts w:eastAsia="source serif 4" w:cs="source serif 4" w:ascii="source serif 4" w:hAnsi="source serif 4"/>
          <w:b/>
          <w:color w:val="000000"/>
        </w:rPr>
        <w:t xml:space="preserve">Evidence-based assessment:</w:t>
      </w:r>
    </w:p>
    <w:p>
      <w:pPr>
        <w:spacing w:line="360" w:after="210" w:lineRule="auto"/>
      </w:pPr>
      <w:r>
        <w:rPr>
          <w:rFonts w:eastAsia="source serif 4" w:cs="source serif 4" w:ascii="source serif 4" w:hAnsi="source serif 4"/>
          <w:color w:val="000000"/>
        </w:rPr>
        <w:t xml:space="preserve">The reviewed literature supports the conclusion that this specific five-way integration has not been demonstrated in a single peer-reviewed system. However, this should be stated carefully:</w:t>
      </w:r>
    </w:p>
    <w:p>
      <w:pPr>
        <w:spacing w:line="360" w:after="210" w:lineRule="auto"/>
      </w:pPr>
      <w:r>
        <w:rPr>
          <w:rFonts w:eastAsia="source serif 4" w:cs="source serif 4" w:ascii="source serif 4" w:hAnsi="source serif 4"/>
          <w:b/>
          <w:color w:val="000000"/>
        </w:rPr>
        <w:t xml:space="preserve">What the literature DOES show:</w:t>
      </w:r>
    </w:p>
    <w:p>
      <w:pPr>
        <w:numPr>
          <w:ilvl w:val="0"/>
          <w:numId w:val="27"/>
        </w:numPr>
        <w:spacing w:line="360" w:before="105" w:after="105" w:lineRule="auto"/>
      </w:pPr>
      <w:r>
        <w:rPr>
          <w:rFonts w:eastAsia="source serif 4" w:cs="source serif 4" w:ascii="source serif 4" w:hAnsi="source serif 4"/>
          <w:color w:val="000000"/>
          <w:sz w:val="21"/>
        </w:rPr>
        <w:t xml:space="preserve">RAG + medical QA (Almanac, RAG², Zhang et al.) — evidence grounding is validated but without longitudinal patient data</w:t>
      </w:r>
    </w:p>
    <w:p>
      <w:pPr>
        <w:numPr>
          <w:ilvl w:val="0"/>
          <w:numId w:val="27"/>
        </w:numPr>
        <w:spacing w:line="360" w:before="105" w:after="105" w:lineRule="auto"/>
      </w:pPr>
      <w:r>
        <w:rPr>
          <w:rFonts w:eastAsia="source serif 4" w:cs="source serif 4" w:ascii="source serif 4" w:hAnsi="source serif 4"/>
          <w:color w:val="000000"/>
          <w:sz w:val="21"/>
        </w:rPr>
        <w:t xml:space="preserve">RAG + longitudinal EHR (EHR-RAG, Almanac Copilot) — RAG over patient EHRs is emerging but without medical knowledge base QA, trend monitoring, or clinical alerts</w:t>
      </w:r>
    </w:p>
    <w:p>
      <w:pPr>
        <w:numPr>
          <w:ilvl w:val="0"/>
          <w:numId w:val="27"/>
        </w:numPr>
        <w:spacing w:line="360" w:before="105" w:after="105" w:lineRule="auto"/>
      </w:pPr>
      <w:r>
        <w:rPr>
          <w:rFonts w:eastAsia="source serif 4" w:cs="source serif 4" w:ascii="source serif 4" w:hAnsi="source serif 4"/>
          <w:color w:val="000000"/>
          <w:sz w:val="21"/>
        </w:rPr>
        <w:t xml:space="preserve">LLM + medical QA (Med-PaLM, Med-PaLM 2) — strong medical knowledge but without evidence grounding, patient data, or alerts</w:t>
      </w:r>
    </w:p>
    <w:p>
      <w:pPr>
        <w:numPr>
          <w:ilvl w:val="0"/>
          <w:numId w:val="27"/>
        </w:numPr>
        <w:spacing w:line="360" w:before="105" w:after="105" w:lineRule="auto"/>
      </w:pPr>
      <w:r>
        <w:rPr>
          <w:rFonts w:eastAsia="source serif 4" w:cs="source serif 4" w:ascii="source serif 4" w:hAnsi="source serif 4"/>
          <w:color w:val="000000"/>
          <w:sz w:val="21"/>
        </w:rPr>
        <w:t xml:space="preserve">Timeline visualization + longitudinal data (LifeLines, HistoriView, HeaRT, PatientExploreR) — visualization is mature but without AI-powered trend detection or alerts</w:t>
      </w:r>
    </w:p>
    <w:p>
      <w:pPr>
        <w:numPr>
          <w:ilvl w:val="0"/>
          <w:numId w:val="27"/>
        </w:numPr>
        <w:spacing w:line="360" w:before="105" w:after="105" w:lineRule="auto"/>
      </w:pPr>
      <w:r>
        <w:rPr>
          <w:rFonts w:eastAsia="source serif 4" w:cs="source serif 4" w:ascii="source serif 4" w:hAnsi="source serif 4"/>
          <w:color w:val="000000"/>
          <w:sz w:val="21"/>
        </w:rPr>
        <w:t xml:space="preserve">Lab trend detection and lab-result alerting (Morid et al. [trends], Singh et al. [alerts]) — temporal analysis and lab-result alerting are demonstrated but without QA, RAG, or integrated alerts</w:t>
      </w:r>
    </w:p>
    <w:p>
      <w:pPr>
        <w:numPr>
          <w:ilvl w:val="0"/>
          <w:numId w:val="27"/>
        </w:numPr>
        <w:spacing w:line="360" w:before="105" w:after="105" w:lineRule="auto"/>
      </w:pPr>
      <w:r>
        <w:rPr>
          <w:rFonts w:eastAsia="source serif 4" w:cs="source serif 4" w:ascii="source serif 4" w:hAnsi="source serif 4"/>
          <w:color w:val="000000"/>
          <w:sz w:val="21"/>
        </w:rPr>
        <w:t xml:space="preserve">Clinical alert systems (Kwan et al., Ray et al.) — CDSS effectiveness is modest and alert challenges are well-studied but not integrated with QA or monitoring</w:t>
      </w:r>
    </w:p>
    <w:p>
      <w:pPr>
        <w:spacing w:line="360" w:after="210" w:lineRule="auto"/>
      </w:pPr>
      <w:r>
        <w:rPr>
          <w:rFonts w:eastAsia="source serif 4" w:cs="source serif 4" w:ascii="source serif 4" w:hAnsi="source serif 4"/>
          <w:b/>
          <w:color w:val="000000"/>
        </w:rPr>
        <w:t xml:space="preserve">What the literature does NOT show:</w:t>
      </w:r>
    </w:p>
    <w:p>
      <w:pPr>
        <w:numPr>
          <w:ilvl w:val="0"/>
          <w:numId w:val="28"/>
        </w:numPr>
        <w:spacing w:line="360" w:before="105" w:after="105" w:lineRule="auto"/>
      </w:pPr>
      <w:r>
        <w:rPr>
          <w:rFonts w:eastAsia="source serif 4" w:cs="source serif 4" w:ascii="source serif 4" w:hAnsi="source serif 4"/>
          <w:color w:val="000000"/>
          <w:sz w:val="21"/>
        </w:rPr>
        <w:t xml:space="preserve">In the reviewed literature, no single system combines medical knowledge base QA (via RAG/embeddings) with patient-specific longitudinal monitoring (timeline + trend detection + clinical review alerts) in a single platform.</w:t>
      </w:r>
    </w:p>
    <w:p>
      <w:pPr>
        <w:numPr>
          <w:ilvl w:val="0"/>
          <w:numId w:val="28"/>
        </w:numPr>
        <w:spacing w:line="360" w:before="105" w:after="105" w:lineRule="auto"/>
      </w:pPr>
      <w:r>
        <w:rPr>
          <w:rFonts w:eastAsia="source serif 4" w:cs="source serif 4" w:ascii="source serif 4" w:hAnsi="source serif 4"/>
          <w:color w:val="000000"/>
          <w:sz w:val="21"/>
        </w:rPr>
        <w:t xml:space="preserve">The closest system, EHR-RAG (Cao et al., 2026), combines RAG with longitudinal EHR data but focuses on structured EHR reasoning and explicitly does not include medical knowledge QA, symptom/lab trend monitoring with predefined criteria, or clinical review alert generation.</w:t>
      </w:r>
    </w:p>
    <w:p>
      <w:pPr>
        <w:numPr>
          <w:ilvl w:val="0"/>
          <w:numId w:val="28"/>
        </w:numPr>
        <w:spacing w:line="360" w:before="105" w:after="105" w:lineRule="auto"/>
      </w:pPr>
      <w:r>
        <w:rPr>
          <w:rFonts w:eastAsia="source serif 4" w:cs="source serif 4" w:ascii="source serif 4" w:hAnsi="source serif 4"/>
          <w:color w:val="000000"/>
          <w:sz w:val="21"/>
        </w:rPr>
        <w:t xml:space="preserve">Almanac Copilot combines LLM-based EHR navigation with retrieval but focuses on EHR-specific tasks and does not include medical knowledge QA, trend detection, or clinical alerts.</w:t>
      </w:r>
    </w:p>
    <w:p>
      <w:pPr>
        <w:spacing w:line="360" w:after="210" w:lineRule="auto"/>
      </w:pPr>
      <w:r>
        <w:rPr>
          <w:rFonts w:eastAsia="source serif 4" w:cs="source serif 4" w:ascii="source serif 4" w:hAnsi="source serif 4"/>
          <w:b/>
          <w:color w:val="000000"/>
        </w:rPr>
        <w:t xml:space="preserve">Careful distinction:</w:t>
      </w:r>
    </w:p>
    <w:p>
      <w:pPr>
        <w:numPr>
          <w:ilvl w:val="0"/>
          <w:numId w:val="29"/>
        </w:numPr>
        <w:spacing w:line="360" w:before="105" w:after="105" w:lineRule="auto"/>
      </w:pPr>
      <w:r>
        <w:rPr>
          <w:rFonts w:eastAsia="source serif 4" w:cs="source serif 4" w:ascii="source serif 4" w:hAnsi="source serif 4"/>
          <w:color w:val="000000"/>
          <w:sz w:val="21"/>
        </w:rPr>
        <w:t xml:space="preserve">This is a </w:t>
      </w:r>
      <w:r>
        <w:rPr>
          <w:rFonts w:eastAsia="source serif 4" w:cs="source serif 4" w:ascii="source serif 4" w:hAnsi="source serif 4"/>
          <w:b/>
          <w:color w:val="000000"/>
          <w:sz w:val="21"/>
        </w:rPr>
        <w:t xml:space="preserve">synthesized gap</w:t>
      </w:r>
      <w:r>
        <w:rPr>
          <w:rFonts w:eastAsia="source serif 4" w:cs="source serif 4" w:ascii="source serif 4" w:hAnsi="source serif 4"/>
          <w:color w:val="000000"/>
          <w:sz w:val="21"/>
        </w:rPr>
        <w:t xml:space="preserve"> — it is not claimed that any single paper states "no system combines all five elements." Rather, each component has been validated individually or in pairs, and no reviewed system integrates all five.</w:t>
      </w:r>
    </w:p>
    <w:p>
      <w:pPr>
        <w:numPr>
          <w:ilvl w:val="0"/>
          <w:numId w:val="29"/>
        </w:numPr>
        <w:spacing w:line="360" w:before="105" w:after="105" w:lineRule="auto"/>
      </w:pPr>
      <w:r>
        <w:rPr>
          <w:rFonts w:eastAsia="source serif 4" w:cs="source serif 4" w:ascii="source serif 4" w:hAnsi="source serif 4"/>
          <w:color w:val="000000"/>
          <w:sz w:val="21"/>
        </w:rPr>
        <w:t xml:space="preserve">The gap is </w:t>
      </w:r>
      <w:r>
        <w:rPr>
          <w:rFonts w:eastAsia="source serif 4" w:cs="source serif 4" w:ascii="source serif 4" w:hAnsi="source serif 4"/>
          <w:b/>
          <w:color w:val="000000"/>
          <w:sz w:val="21"/>
        </w:rPr>
        <w:t xml:space="preserve">defensible</w:t>
      </w:r>
      <w:r>
        <w:rPr>
          <w:rFonts w:eastAsia="source serif 4" w:cs="source serif 4" w:ascii="source serif 4" w:hAnsi="source serif 4"/>
          <w:color w:val="000000"/>
          <w:sz w:val="21"/>
        </w:rPr>
        <w:t xml:space="preserve"> because: (a) Med-PaLM/Med-PaLM 2 authors explicitly identify grounding in authoritative sources and real-world clinical workflow integration as needed; (b) EHR-RAG authors state no existing RAG framework was designed for longitudinal, multi-event EHRs; (c) the hallucination review (Basu &amp; Huynh, 2026) calls for integration of mitigation strategies into clinical workflows; (d) no reviewed timeline or trend detection system integrates evidence-grounded QA or clinical review alerts.</w:t>
      </w:r>
    </w:p>
    <w:p>
      <w:pPr>
        <w:spacing w:line="360" w:after="210" w:lineRule="auto"/>
      </w:pPr>
      <w:r>
        <w:rPr>
          <w:rFonts w:eastAsia="source serif 4" w:cs="source serif 4" w:ascii="source serif 4" w:hAnsi="source serif 4"/>
          <w:b/>
          <w:color w:val="000000"/>
        </w:rPr>
        <w:t xml:space="preserve">Conclusion:</w:t>
      </w:r>
      <w:r>
        <w:rPr>
          <w:rFonts w:eastAsia="source serif 4" w:cs="source serif 4" w:ascii="source serif 4" w:hAnsi="source serif 4"/>
          <w:color w:val="000000"/>
        </w:rPr>
        <w:t xml:space="preserve"> DocBot AI's defensible contribution is the </w:t>
      </w:r>
      <w:r>
        <w:rPr>
          <w:rFonts w:eastAsia="source serif 4" w:cs="source serif 4" w:ascii="source serif 4" w:hAnsi="source serif 4"/>
          <w:b/>
          <w:color w:val="000000"/>
        </w:rPr>
        <w:t xml:space="preserve">integration</w:t>
      </w:r>
      <w:r>
        <w:rPr>
          <w:rFonts w:eastAsia="source serif 4" w:cs="source serif 4" w:ascii="source serif 4" w:hAnsi="source serif 4"/>
          <w:color w:val="000000"/>
        </w:rPr>
        <w:t xml:space="preserve"> of evidence-grounded clinical QA (RAG + LLM + source display) with longitudinal patient monitoring (timeline + trend detection + clinical review alerts) into a single clinical information-support platform. This is not a claim of inventing any individual technique, but rather of synthesizing validated approaches from separate research areas into an integrated system — a gap that is supported by the reviewed literature.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 w:name="bm_5_final_comparison_table"/>
      <w:r>
        <w:rPr>
          <w:rFonts w:eastAsia="source serif 4" w:cs="source serif 4" w:ascii="source serif 4" w:hAnsi="source serif 4"/>
          <w:b/>
          <w:color w:val="000000"/>
          <w:sz w:val="24"/>
        </w:rPr>
        <w:t xml:space="preserve">5. Final Comparison Table</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Previous Work / Study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 Focus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Techniques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Proposed/Reported Result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Gap / Limitation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How DocBot AI Addresses the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BioASQ</w:t>
            </w:r>
            <w:r>
              <w:rPr>
                <w:rFonts w:eastAsia="source sans 3" w:cs="source sans 3" w:ascii="source sans 3" w:hAnsi="source sans 3"/>
                <w:color w:val="000000"/>
                <w:sz w:val="17"/>
              </w:rPr>
              <w:t xml:space="preserve"> (Tsatsaronis et al., 2015)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Biomedical semantic indexing and QA competition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classification, ontology-based indexing, passage retrieval, NLG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Established standardized biomedical QA evaluation framework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address patient-specific data, longitudinal monitoring, or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extends biomedical QA with patient-specific longitudinal data and clinical review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PubMedQA</w:t>
            </w:r>
            <w:r>
              <w:rPr>
                <w:rFonts w:eastAsia="source sans 3" w:cs="source sans 3" w:ascii="source sans 3" w:hAnsi="source sans 3"/>
                <w:color w:val="000000"/>
                <w:sz w:val="17"/>
              </w:rPr>
              <w:t xml:space="preserve"> (Jin et al., 2019)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Biomedical research QA dataset from PubMed abstracts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BioBERT, multi-phase fine-tuning, bag-of-word supervision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68.1% accuracy (vs. 78.0% human); first dataset requiring reasoning over biomedical research texts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 performance below human; no patient-specific data; no longitudinal monitoring; no RAG or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evidence-grounded QA with RAG and extends to longitudinal patient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Med-PaLM</w:t>
            </w:r>
            <w:r>
              <w:rPr>
                <w:rFonts w:eastAsia="source sans 3" w:cs="source sans 3" w:ascii="source sans 3" w:hAnsi="source sans 3"/>
                <w:color w:val="000000"/>
                <w:sz w:val="17"/>
              </w:rPr>
              <w:t xml:space="preserve"> (Singhal et al., 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Medical LLM evaluation via MultiMedQA benchmark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PaLM, Flan-PaLM, instruction prompt tuning, chain-of-thought, self-consistency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67.6% on MedQA; Med-PaLM achieved 92.6% scientific consensus alignment but 18.7% inappropriate content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evidence grounding in real-time retrieval; no patient-specific data; no longitudinal monitoring; no clinical alerts; authors identify grounding and workflow integration as gaps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uses RAG for evidence grounding, integrates longitudinal patient data, and generates clinical review alerts — directly addressing the identified gaps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Med-PaLM 2</w:t>
            </w:r>
            <w:r>
              <w:rPr>
                <w:rFonts w:eastAsia="source sans 3" w:cs="source sans 3" w:ascii="source sans 3" w:hAnsi="source sans 3"/>
                <w:color w:val="000000"/>
                <w:sz w:val="17"/>
              </w:rPr>
              <w:t xml:space="preserve"> (Singhal et al., 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Expert-level medical QA with improved LLM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Medical fine-tuning, ensemble refinement prompting, adversarial testing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86.5% on MedQA; preferred over physician answers on 8/9 axes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real-time evidence retrieval; no patient-specific longitudinal data; no trend detection; no clinical alerts; authors identify clinical workflow integration as needed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integrates RAG-based evidence retrieval, longitudinal patient monitoring, trend detection, and clinical review alerts into a clinical information-support platform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RAG</w:t>
            </w:r>
            <w:r>
              <w:rPr>
                <w:rFonts w:eastAsia="source sans 3" w:cs="source sans 3" w:ascii="source sans 3" w:hAnsi="source sans 3"/>
                <w:color w:val="000000"/>
                <w:sz w:val="17"/>
              </w:rPr>
              <w:t xml:space="preserve"> (Lewis et al.,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Foundational RAG for knowledge-intensive NLP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Seq2seq model + dense vector index + neural retriever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State-of-the-art on knowledge tasks; provides provenance; allows knowledge updates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Non-medical domain; no patient-specific data; foundational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adapts RAG to the medical domain with curated knowledge bases and extends it with patient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Almanac</w:t>
            </w:r>
            <w:r>
              <w:rPr>
                <w:rFonts w:eastAsia="source sans 3" w:cs="source sans 3" w:ascii="source sans 3" w:hAnsi="source sans 3"/>
                <w:color w:val="000000"/>
                <w:sz w:val="17"/>
              </w:rPr>
              <w:t xml:space="preserve"> (Zakka et al.,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RAG-based clinical medicine LLM for guideline/treatment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 + retrieval from curated medical resources; clinician evaluation panel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Significant improvement over ChatGPT-4, Bing, Bard on factuality, completeness, safety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patient-specific longitudinal data; no lab trend monitoring; no clinical alerts; not deployed in clinical workflow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adopts RAG for evidence grounding and adds longitudinal patient monitoring, trend detection, and clinical review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RAG²</w:t>
            </w:r>
            <w:r>
              <w:rPr>
                <w:rFonts w:eastAsia="source sans 3" w:cs="source sans 3" w:ascii="source sans 3" w:hAnsi="source sans 3"/>
                <w:color w:val="000000"/>
                <w:sz w:val="17"/>
              </w:rPr>
              <w:t xml:space="preserve"> (Sohn et al., 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Rationale-guided RAG for biomedical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LLM-generated rationales as queries; filtering model; multi-corpus retrieval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medical QA performance by improving retrieval 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patient-specific data; no longitudinal monitoring; no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improved retrieval and extends to patient monitoring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RAG for Medical QA</w:t>
            </w:r>
            <w:r>
              <w:rPr>
                <w:rFonts w:eastAsia="source sans 3" w:cs="source sans 3" w:ascii="source sans 3" w:hAnsi="source sans 3"/>
                <w:color w:val="000000"/>
                <w:sz w:val="17"/>
              </w:rPr>
              <w:t xml:space="preserve"> (Zhang et al.,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Safer medical QA with risk classification and evidence grounding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pipeline, query risk classification, response verification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safety by grounding answers and deferring high-risk questions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longitudinal patient data; no trend monitoring; no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adopts risk-aware evidence grounding and adds longitudinal monitoring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RAG for Lab Regulations</w:t>
            </w:r>
            <w:r>
              <w:rPr>
                <w:rFonts w:eastAsia="source sans 3" w:cs="source sans 3" w:ascii="source sans 3" w:hAnsi="source sans 3"/>
                <w:color w:val="000000"/>
                <w:sz w:val="17"/>
              </w:rPr>
              <w:t xml:space="preserve"> (Nanua et al., 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for clinical laboratory regulatory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with authoritative regulatory source; source display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Accurately answered lab regulatory questions using 42 CFR Part 493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to regulatory QA; no patient-specific data; no longitudinal monitoring or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evidence source display and extends to lab result monitoring and trend detection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BioBERT</w:t>
            </w:r>
            <w:r>
              <w:rPr>
                <w:rFonts w:eastAsia="source sans 3" w:cs="source sans 3" w:ascii="source sans 3" w:hAnsi="source sans 3"/>
                <w:color w:val="000000"/>
                <w:sz w:val="17"/>
              </w:rPr>
              <w:t xml:space="preserve"> (Lee et al.,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Domain-specific biomedical language 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BERT pre-trained on biomedical corpora; fine-tuning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Outperformed BERT and prior SOTA on biomedical NER, RE, and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address QA generation or patient-specific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uses biomedical embeddings for semantic search and extends to QA generation and patient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SapBERT</w:t>
            </w:r>
            <w:r>
              <w:rPr>
                <w:rFonts w:eastAsia="source sans 3" w:cs="source sans 3" w:ascii="source sans 3" w:hAnsi="source sans 3"/>
                <w:color w:val="000000"/>
                <w:sz w:val="17"/>
              </w:rPr>
              <w:t xml:space="preserve"> (Liu et al., 2021)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Self-aligned biomedical entity representations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 learning on UMLS; self-alignment pretraining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State-of-the-art medical entity linking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Focused on entity linking; no QA or patient data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leverages domain-specific embeddings for vector search and extends to QA and monitoring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EHR-RAG</w:t>
            </w:r>
            <w:r>
              <w:rPr>
                <w:rFonts w:eastAsia="source sans 3" w:cs="source sans 3" w:ascii="source sans 3" w:hAnsi="source sans 3"/>
                <w:color w:val="000000"/>
                <w:sz w:val="17"/>
              </w:rPr>
              <w:t xml:space="preserve"> (Cao et al.,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over longitudinal structured EHRs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Type-aware retrieval, multi-path evidence aggregation, numerical-temporal reasoning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reasoning over long-horizon EHRs vs. vanilla RAG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medical knowledge base QA; no symptom/lab trend monitoring with criteria; no clinical review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combines medical knowledge QA with patient EHR data, trend detection, and clinical alerts — the full integration EHR-RAG lacks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Almanac Copilot</w:t>
            </w:r>
            <w:r>
              <w:rPr>
                <w:rFonts w:eastAsia="source sans 3" w:cs="source sans 3" w:ascii="source sans 3" w:hAnsi="source sans 3"/>
                <w:color w:val="000000"/>
                <w:sz w:val="17"/>
              </w:rPr>
              <w:t xml:space="preserve"> (Zakka et al.,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Autonomous EHR navigation agent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LLM-based EHR navigation, information retrieval, order placement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Demonstrated EHR-specific task 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medical knowledge QA; no trend detection; no clinical alerts; working paper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addresses broader scope: evidence-grounded QA + monitoring + trend detection +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Real-World Clinical QA</w:t>
            </w:r>
            <w:r>
              <w:rPr>
                <w:rFonts w:eastAsia="source sans 3" w:cs="source sans 3" w:ascii="source sans 3" w:hAnsi="source sans 3"/>
                <w:color w:val="000000"/>
                <w:sz w:val="17"/>
              </w:rPr>
              <w:t xml:space="preserve"> (Low et al., 2025)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and agentic LLM systems for real-world clinical questions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(OpenEvidence), agentic LLMs, RWD-based systems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improved evidence grounding; no single system sufficient for all question types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longitudinal patient monitoring; no trend detection; no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AI's integrated approach addresses the "no single system sufficient" gap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Hallucination Review</w:t>
            </w:r>
            <w:r>
              <w:rPr>
                <w:rFonts w:eastAsia="source sans 3" w:cs="source sans 3" w:ascii="source sans 3" w:hAnsi="source sans 3"/>
                <w:color w:val="000000"/>
                <w:sz w:val="17"/>
              </w:rPr>
              <w:t xml:space="preserve"> (Basu &amp; Huynh,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Systematic review of hallucination mitigation in healthcare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PRISMA review; 7 strategy categories including RAG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most frequently evaluated; FT+RAG outperformed individual approaches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Calls for clinical workflow integration; lacks standardized metrics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implements RAG (most effective strategy) within an integrated clinical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Temporal EHR Review</w:t>
            </w:r>
            <w:r>
              <w:rPr>
                <w:rFonts w:eastAsia="source sans 3" w:cs="source sans 3" w:ascii="source sans 3" w:hAnsi="source sans 3"/>
                <w:color w:val="000000"/>
                <w:sz w:val="17"/>
              </w:rPr>
              <w:t xml:space="preserve"> (Xie et al., 2022)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Deep learning for temporal EHR data representation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RNNs, LSTMs, CNNs, Transformers, temporal attention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Identified challenges: irregular sampling, missing data, temporal heterogeneity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 only; no integrated QA + monitoring system proposed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builds on temporal modeling concepts and integrates them with QA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AKI Temporal Patterns</w:t>
            </w:r>
            <w:r>
              <w:rPr>
                <w:rFonts w:eastAsia="source sans 3" w:cs="source sans 3" w:ascii="source sans 3" w:hAnsi="source sans 3"/>
                <w:color w:val="000000"/>
                <w:sz w:val="17"/>
              </w:rPr>
              <w:t xml:space="preserve"> (Morid et al.,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Temporal pattern detection for adverse event prediction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Structural temporal pattern detection (local + global trends)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Improved AKI prediction vs. static and symbolic approaches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Limited to ICU AKI; no QA, no RAG, no timeline visualization, no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adopts trend detection methodology and integrates with QA, timeline,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Abnormal Lab Notification</w:t>
            </w:r>
            <w:r>
              <w:rPr>
                <w:rFonts w:eastAsia="source sans 3" w:cs="source sans 3" w:ascii="source sans 3" w:hAnsi="source sans 3"/>
                <w:color w:val="000000"/>
                <w:sz w:val="17"/>
              </w:rPr>
              <w:t xml:space="preserve"> (Singh et al., 2010)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Automated notification of abnormal lab results in EMR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EMR alert system; alert tracking; multivariable logistic regression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10.2% alerts unacknowledged; 6.8% lacked timely follow-up; safety concerns remain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Single-site VA study; 4 lab types only; no QA, no RAG, no trend detection, no longitudinal monitoring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combines trend detection (not just thresholds) with evidence-grounded QA and longitudinal context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LifeLines</w:t>
            </w:r>
            <w:r>
              <w:rPr>
                <w:rFonts w:eastAsia="source sans 3" w:cs="source sans 3" w:ascii="source sans 3" w:hAnsi="source sans 3"/>
                <w:color w:val="000000"/>
                <w:sz w:val="17"/>
              </w:rPr>
              <w:t xml:space="preserve"> (Plaisant et al., 1996/1998)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 history timeline 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Graphical timeline, faceted event display, interactive exploration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Intuitive visual overview of patient histories; foundational work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AI/LLM; no automated trend detection; no clinical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timeline visualization and adds AI-powered trend detection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Health Timeline</w:t>
            </w:r>
            <w:r>
              <w:rPr>
                <w:rFonts w:eastAsia="source sans 3" w:cs="source sans 3" w:ascii="source sans 3" w:hAnsi="source sans 3"/>
                <w:color w:val="000000"/>
                <w:sz w:val="17"/>
              </w:rPr>
              <w:t xml:space="preserve"> (Ledesma et al., 2019)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Insight-based evaluation of clinical timeline 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Time-based visualization, insight-based methodology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Higher insight value with timeline vs. textual representation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AI/LLM; no trend detection; no alerts; mental health data only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adopts timeline visualization and adds AI-powered analysis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HeaRT</w:t>
            </w:r>
            <w:r>
              <w:rPr>
                <w:rFonts w:eastAsia="source sans 3" w:cs="source sans 3" w:ascii="source sans 3" w:hAnsi="source sans 3"/>
                <w:color w:val="000000"/>
                <w:sz w:val="17"/>
              </w:rPr>
              <w:t xml:space="preserve"> (Yada &amp; Aramaki, 2023)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Timeline generation from unstructured EHR 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NLP entity extraction, temporal relation extraction, Gantt chart 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Feasible text-to-timeline generation from EHR 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LLM/RAG; no medical knowledge QA; no trend detection; no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text-to-timeline and adds RAG-based QA, trend detection,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HistoriView</w:t>
            </w:r>
            <w:r>
              <w:rPr>
                <w:rFonts w:eastAsia="source sans 3" w:cs="source sans 3" w:ascii="source sans 3" w:hAnsi="source sans 3"/>
                <w:color w:val="000000"/>
                <w:sz w:val="17"/>
              </w:rPr>
              <w:t xml:space="preserve"> (Park et al., 2024)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Scalable patient timeline 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Nonstacking events, overlay detection, y-shift, popup interaction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Easy to use; handles large patient data efficiently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AI/LLM; no trend detection; no medical QA; no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scalable timeline and adds AI-powered analysis, QA,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PatientExploreR</w:t>
            </w:r>
            <w:r>
              <w:rPr>
                <w:rFonts w:eastAsia="source sans 3" w:cs="source sans 3" w:ascii="source sans 3" w:hAnsi="source sans 3"/>
                <w:color w:val="000000"/>
                <w:sz w:val="17"/>
              </w:rPr>
              <w:t xml:space="preserve"> (Glicksberg et al., 2019)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Dynamic EHR visualization in OMOP CDM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R/Shiny, Plotly, Timevis, OMOP ontology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Interactive patient reports, timelines, multi-domain graphs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AI/LLM; no trend detection; no alerts; requires OMOP format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incorporates timeline visualization and adds AI-powered trend detection, QA, and alerts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CDSS Meta-Analysis</w:t>
            </w:r>
            <w:r>
              <w:rPr>
                <w:rFonts w:eastAsia="source sans 3" w:cs="source sans 3" w:ascii="source sans 3" w:hAnsi="source sans 3"/>
                <w:color w:val="000000"/>
                <w:sz w:val="17"/>
              </w:rPr>
              <w:t xml:space="preserve"> (Kwan et al., 2020)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Meta-analysis of CDSS effectiveness across 122 trials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Multilevel meta-analysis; meta-regression; PRISMA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CDSS improved care by 5.8% (95% CI 4.0–7.6%); minimal clinical endpoint improvement; I²=76%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Heterogeneity high; predictors of improvement undefined; only 14% considered alert fatigue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 addresses gaps with trend-based alerts, evidence-grounded QA context, and review-support flag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Alert Fatigue Review</w:t>
            </w:r>
            <w:r>
              <w:rPr>
                <w:rFonts w:eastAsia="source sans 3" w:cs="source sans 3" w:ascii="source sans 3" w:hAnsi="source sans 3"/>
                <w:color w:val="000000"/>
                <w:sz w:val="17"/>
              </w:rPr>
              <w:t xml:space="preserve"> (Ray et al.,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Systematic review of alert fatigue measurement in CDSS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Systematic review of reviews; ROBIS quality 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Only 1/22 reviews defined alert fatigue operationally; inconsistent measurement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Does not propose new alert systems; focuses on measurement gaps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DocBot AI's clinical review alerts are designed as review-support flags, with attention to minimizing alert fatigue through meaningful, criteria-based alerts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6_summary_of_key_findings"/>
      <w:r>
        <w:rPr>
          <w:rFonts w:eastAsia="source serif 4" w:cs="source serif 4" w:ascii="source serif 4" w:hAnsi="source serif 4"/>
          <w:b/>
          <w:color w:val="000000"/>
          <w:sz w:val="24"/>
        </w:rPr>
        <w:t xml:space="preserve">6. Summary of Key Findings</w:t>
      </w:r>
      <w:bookmarkEnd w:id="49"/>
    </w:p>
    <w:p>
      <w:pPr>
        <w:spacing w:line="360" w:before="315" w:after="105" w:lineRule="auto"/>
        <w:ind w:left="-30"/>
        <w:jc w:val="left"/>
      </w:pPr>
      <w:bookmarkStart w:id="50" w:name="bm_6_1_what_existing_studies_cove_d22091"/>
      <w:r>
        <w:rPr>
          <w:rFonts w:eastAsia="source serif 4" w:cs="source serif 4" w:ascii="source serif 4" w:hAnsi="source serif 4"/>
          <w:b/>
          <w:color w:val="000000"/>
          <w:sz w:val="24"/>
        </w:rPr>
        <w:t xml:space="preserve">6.1 What Existing Studies Cover Individually</w:t>
      </w:r>
      <w:bookmarkEnd w:id="5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Capability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Key Papers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Medical QA with LLMs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Med-PaLM, Med-PaLM 2, PubMedQA, BioASQ</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Well-studied; strong benchmarks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RAG for medical QA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Almanac, RAG², Zhang et al., Nanua et 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Validated; improves factuality and evidence grounding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Hallucination mitigation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Basu &amp; Huynh (systematic review)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RAG is the most effective strategy; clinical workflow integration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Biomedical embeddings/vector search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BioBERT, SapBERT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Domain-specific embeddings outperform general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EHR temporal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Xie et al., EHR-RAG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Emerging; challenges in temporal representation remain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Patient timeline visualization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LifeLines, Health Timeline, HeaRT, HistoriView, PatientExploreR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Mature visualization field; no AI-powered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Lab trend detection and lab-result alerting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Morid et al. (trends), Singh et al. (alerts)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Demonstrated for ICU AKI and VA outpatient; not integrated with QA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Clinical alerts / CDSS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Kwan et al., Ray et 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CDSS show modest improvements; alert fatigue is a recognized challenge; measurement inconsistent</w:t>
            </w:r>
          </w:p>
        </w:tc>
      </w:tr>
    </w:tbl>
    <w:p>
      <w:pPr>
        <w:spacing w:lineRule="auto"/>
      </w:pPr>
    </w:p>
    <w:p>
      <w:pPr>
        <w:spacing w:line="360" w:before="315" w:after="105" w:lineRule="auto"/>
        <w:ind w:left="-30"/>
        <w:jc w:val="left"/>
      </w:pPr>
      <w:bookmarkStart w:id="51" w:name="bm_6_2_what_existing_studies_do_n_5121c5"/>
      <w:r>
        <w:rPr>
          <w:rFonts w:eastAsia="source serif 4" w:cs="source serif 4" w:ascii="source serif 4" w:hAnsi="source serif 4"/>
          <w:b/>
          <w:color w:val="000000"/>
          <w:sz w:val="24"/>
        </w:rPr>
        <w:t xml:space="preserve">6.2 What Existing Studies Do NOT Combine</w:t>
      </w:r>
      <w:bookmarkEnd w:id="51"/>
    </w:p>
    <w:p>
      <w:pPr>
        <w:spacing w:line="360" w:after="210" w:lineRule="auto"/>
      </w:pPr>
      <w:r>
        <w:rPr>
          <w:rFonts w:eastAsia="source serif 4" w:cs="source serif 4" w:ascii="source serif 4" w:hAnsi="source serif 4"/>
          <w:color w:val="000000"/>
        </w:rPr>
        <w:t xml:space="preserve">No single reviewed system integrates all of the following:</w:t>
      </w:r>
    </w:p>
    <w:p>
      <w:pPr>
        <w:numPr>
          <w:ilvl w:val="0"/>
          <w:numId w:val="30"/>
        </w:numPr>
        <w:spacing w:line="360" w:before="105" w:after="105" w:lineRule="auto"/>
      </w:pPr>
      <w:r>
        <w:rPr>
          <w:rFonts w:eastAsia="source serif 4" w:cs="source serif 4" w:ascii="source serif 4" w:hAnsi="source serif 4"/>
          <w:color w:val="000000"/>
          <w:sz w:val="21"/>
        </w:rPr>
        <w:t xml:space="preserve">Evidence-grounded clinical question answering using RAG + LLM + source display</w:t>
      </w:r>
    </w:p>
    <w:p>
      <w:pPr>
        <w:numPr>
          <w:ilvl w:val="0"/>
          <w:numId w:val="30"/>
        </w:numPr>
        <w:spacing w:line="360" w:before="105" w:after="105" w:lineRule="auto"/>
      </w:pPr>
      <w:r>
        <w:rPr>
          <w:rFonts w:eastAsia="source serif 4" w:cs="source serif 4" w:ascii="source serif 4" w:hAnsi="source serif 4"/>
          <w:color w:val="000000"/>
          <w:sz w:val="21"/>
        </w:rPr>
        <w:t xml:space="preserve">Medical knowledge retrieval via text embeddings and vector search</w:t>
      </w:r>
    </w:p>
    <w:p>
      <w:pPr>
        <w:numPr>
          <w:ilvl w:val="0"/>
          <w:numId w:val="30"/>
        </w:numPr>
        <w:spacing w:line="360" w:before="105" w:after="105" w:lineRule="auto"/>
      </w:pPr>
      <w:r>
        <w:rPr>
          <w:rFonts w:eastAsia="source serif 4" w:cs="source serif 4" w:ascii="source serif 4" w:hAnsi="source serif 4"/>
          <w:color w:val="000000"/>
          <w:sz w:val="21"/>
        </w:rPr>
        <w:t xml:space="preserve">Longitudinal patient information (symptoms, lab results, medical reports) organized as a chronological timeline</w:t>
      </w:r>
    </w:p>
    <w:p>
      <w:pPr>
        <w:numPr>
          <w:ilvl w:val="0"/>
          <w:numId w:val="30"/>
        </w:numPr>
        <w:spacing w:line="360" w:before="105" w:after="105" w:lineRule="auto"/>
      </w:pPr>
      <w:r>
        <w:rPr>
          <w:rFonts w:eastAsia="source serif 4" w:cs="source serif 4" w:ascii="source serif 4" w:hAnsi="source serif 4"/>
          <w:color w:val="000000"/>
          <w:sz w:val="21"/>
        </w:rPr>
        <w:t xml:space="preserve">Laboratory/symptom trend detection with predefined criteria</w:t>
      </w:r>
    </w:p>
    <w:p>
      <w:pPr>
        <w:numPr>
          <w:ilvl w:val="0"/>
          <w:numId w:val="30"/>
        </w:numPr>
        <w:spacing w:line="360" w:before="105" w:after="105" w:lineRule="auto"/>
      </w:pPr>
      <w:r>
        <w:rPr>
          <w:rFonts w:eastAsia="source serif 4" w:cs="source serif 4" w:ascii="source serif 4" w:hAnsi="source serif 4"/>
          <w:color w:val="000000"/>
          <w:sz w:val="21"/>
        </w:rPr>
        <w:t xml:space="preserve">Clinical review alert generation for healthcare professionals</w:t>
      </w:r>
    </w:p>
    <w:p>
      <w:pPr>
        <w:spacing w:line="360" w:after="210" w:lineRule="auto"/>
      </w:pPr>
      <w:r>
        <w:rPr>
          <w:rFonts w:eastAsia="source serif 4" w:cs="source serif 4" w:ascii="source serif 4" w:hAnsi="source serif 4"/>
          <w:color w:val="000000"/>
        </w:rPr>
        <w:t xml:space="preserve">The closest systems (EHR-RAG, Almanac Copilot) combine RAG with EHR data but do not include medical knowledge base QA, symptom/lab trend monitoring with criteria, or clinical review alert generation. The gap is therefore an </w:t>
      </w:r>
      <w:r>
        <w:rPr>
          <w:rFonts w:eastAsia="source serif 4" w:cs="source serif 4" w:ascii="source serif 4" w:hAnsi="source serif 4"/>
          <w:b/>
          <w:color w:val="000000"/>
        </w:rPr>
        <w:t xml:space="preserve">integration gap</w:t>
      </w:r>
      <w:r>
        <w:rPr>
          <w:rFonts w:eastAsia="source serif 4" w:cs="source serif 4" w:ascii="source serif 4" w:hAnsi="source serif 4"/>
          <w:color w:val="000000"/>
        </w:rPr>
        <w:t xml:space="preserve"> — each component is validated individually, but the full combination has not been demonstrated.</w:t>
      </w:r>
    </w:p>
    <w:p>
      <w:pPr>
        <w:spacing w:line="360" w:before="315" w:after="105" w:lineRule="auto"/>
        <w:ind w:left="-30"/>
        <w:jc w:val="left"/>
      </w:pPr>
      <w:bookmarkStart w:id="52" w:name="bm_6_3_docbot_ai_s_defensible_con_235a85"/>
      <w:r>
        <w:rPr>
          <w:rFonts w:eastAsia="source serif 4" w:cs="source serif 4" w:ascii="source serif 4" w:hAnsi="source serif 4"/>
          <w:b/>
          <w:color w:val="000000"/>
          <w:sz w:val="24"/>
        </w:rPr>
        <w:t xml:space="preserve">6.3 DocBot AI's Defensible Contribution</w:t>
      </w:r>
      <w:bookmarkEnd w:id="52"/>
    </w:p>
    <w:p>
      <w:pPr>
        <w:spacing w:line="360" w:after="210" w:lineRule="auto"/>
      </w:pPr>
      <w:r>
        <w:rPr>
          <w:rFonts w:eastAsia="source serif 4" w:cs="source serif 4" w:ascii="source serif 4" w:hAnsi="source serif 4"/>
          <w:color w:val="000000"/>
        </w:rPr>
        <w:t xml:space="preserve">DocBot AI's contribution is not the invention of any single technique but the </w:t>
      </w:r>
      <w:r>
        <w:rPr>
          <w:rFonts w:eastAsia="source serif 4" w:cs="source serif 4" w:ascii="source serif 4" w:hAnsi="source serif 4"/>
          <w:b/>
          <w:color w:val="000000"/>
        </w:rPr>
        <w:t xml:space="preserve">integration</w:t>
      </w:r>
      <w:r>
        <w:rPr>
          <w:rFonts w:eastAsia="source serif 4" w:cs="source serif 4" w:ascii="source serif 4" w:hAnsi="source serif 4"/>
          <w:color w:val="000000"/>
        </w:rPr>
        <w:t xml:space="preserve"> of validated approaches from separate research areas into a unified clinical information-support platform. This is supported by:</w:t>
      </w:r>
    </w:p>
    <w:p>
      <w:pPr>
        <w:numPr>
          <w:ilvl w:val="0"/>
          <w:numId w:val="31"/>
        </w:numPr>
        <w:spacing w:line="360" w:before="105" w:after="105" w:lineRule="auto"/>
      </w:pPr>
      <w:r>
        <w:rPr>
          <w:rFonts w:eastAsia="source serif 4" w:cs="source serif 4" w:ascii="source serif 4" w:hAnsi="source serif 4"/>
          <w:color w:val="000000"/>
          <w:sz w:val="21"/>
        </w:rPr>
        <w:t xml:space="preserve">Med-PaLM/Med-PaLM 2 authors explicitly identifying grounding in authoritative sources and real-world clinical workflow integration as needed research directions.</w:t>
      </w:r>
    </w:p>
    <w:p>
      <w:pPr>
        <w:numPr>
          <w:ilvl w:val="0"/>
          <w:numId w:val="31"/>
        </w:numPr>
        <w:spacing w:line="360" w:before="105" w:after="105" w:lineRule="auto"/>
      </w:pPr>
      <w:r>
        <w:rPr>
          <w:rFonts w:eastAsia="source serif 4" w:cs="source serif 4" w:ascii="source serif 4" w:hAnsi="source serif 4"/>
          <w:color w:val="000000"/>
          <w:sz w:val="21"/>
        </w:rPr>
        <w:t xml:space="preserve">EHR-RAG authors stating no existing RAG framework was designed for longitudinal, multi-event EHRs.</w:t>
      </w:r>
    </w:p>
    <w:p>
      <w:pPr>
        <w:numPr>
          <w:ilvl w:val="0"/>
          <w:numId w:val="31"/>
        </w:numPr>
        <w:spacing w:line="360" w:before="105" w:after="105" w:lineRule="auto"/>
      </w:pPr>
      <w:r>
        <w:rPr>
          <w:rFonts w:eastAsia="source serif 4" w:cs="source serif 4" w:ascii="source serif 4" w:hAnsi="source serif 4"/>
          <w:color w:val="000000"/>
          <w:sz w:val="21"/>
        </w:rPr>
        <w:t xml:space="preserve">The hallucination review (Basu &amp; Huynh, 2026) calling for integration of mitigation strategies into clinical workflows.</w:t>
      </w:r>
    </w:p>
    <w:p>
      <w:pPr>
        <w:numPr>
          <w:ilvl w:val="0"/>
          <w:numId w:val="31"/>
        </w:numPr>
        <w:spacing w:line="360" w:before="105" w:after="105" w:lineRule="auto"/>
      </w:pPr>
      <w:r>
        <w:rPr>
          <w:rFonts w:eastAsia="source serif 4" w:cs="source serif 4" w:ascii="source serif 4" w:hAnsi="source serif 4"/>
          <w:color w:val="000000"/>
          <w:sz w:val="21"/>
        </w:rPr>
        <w:t xml:space="preserve">No reviewed system combining all five elements (evidence-grounded QA + knowledge retrieval + longitudinal monitoring + trend detection + clinical alerts).</w:t>
      </w:r>
    </w:p>
    <w:p>
      <w:pPr>
        <w:numPr>
          <w:ilvl w:val="0"/>
          <w:numId w:val="31"/>
        </w:numPr>
        <w:spacing w:line="360" w:before="105" w:after="105" w:lineRule="auto"/>
      </w:pPr>
      <w:r>
        <w:rPr>
          <w:rFonts w:eastAsia="source serif 4" w:cs="source serif 4" w:ascii="source serif 4" w:hAnsi="source serif 4"/>
          <w:color w:val="000000"/>
          <w:sz w:val="21"/>
        </w:rPr>
        <w:t xml:space="preserve">The CDSS meta-analysis (Kwan et al., 2020) showing that CDSS typically achieve only modest improvements (5.8%) with high heterogeneity, and explicitly calling for "new ways of designing clinical decision support systems."</w:t>
      </w:r>
    </w:p>
    <w:p>
      <w:pPr>
        <w:spacing w:line="360" w:after="210" w:lineRule="auto"/>
      </w:pPr>
      <w:r>
        <w:rPr>
          <w:rFonts w:eastAsia="source serif 4" w:cs="source serif 4" w:ascii="source serif 4" w:hAnsi="source serif 4"/>
          <w:color w:val="000000"/>
        </w:rPr>
        <w:t xml:space="preserve">This gap should be framed as a </w:t>
      </w:r>
      <w:r>
        <w:rPr>
          <w:rFonts w:eastAsia="source serif 4" w:cs="source serif 4" w:ascii="source serif 4" w:hAnsi="source serif 4"/>
          <w:b/>
          <w:color w:val="000000"/>
        </w:rPr>
        <w:t xml:space="preserve">synthesized integration gap</w:t>
      </w:r>
      <w:r>
        <w:rPr>
          <w:rFonts w:eastAsia="source serif 4" w:cs="source serif 4" w:ascii="source serif 4" w:hAnsi="source serif 4"/>
          <w:color w:val="000000"/>
        </w:rPr>
        <w:t xml:space="preserve"> rather than a claim of complete novelty for any individual component.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7_references_with_dois_urls"/>
      <w:r>
        <w:rPr>
          <w:rFonts w:eastAsia="source serif 4" w:cs="source serif 4" w:ascii="source serif 4" w:hAnsi="source serif 4"/>
          <w:b/>
          <w:color w:val="000000"/>
          <w:sz w:val="24"/>
        </w:rPr>
        <w:t xml:space="preserve">7. References (with DOIs/URLs)</w:t>
      </w:r>
      <w:bookmarkEnd w:id="53"/>
    </w:p>
    <w:p>
      <w:pPr>
        <w:numPr>
          <w:ilvl w:val="0"/>
          <w:numId w:val="32"/>
        </w:numPr>
        <w:spacing w:line="360" w:after="210" w:lineRule="auto"/>
      </w:pPr>
      <w:r>
        <w:rPr>
          <w:rFonts w:eastAsia="source serif 4" w:cs="source serif 4" w:ascii="source serif 4" w:hAnsi="source serif 4"/>
          <w:color w:val="000000"/>
          <w:sz w:val="21"/>
        </w:rPr>
        <w:t xml:space="preserve">Tsatsaronis, G., et al. (2015). An overview of the BIOASQ large-scale biomedical semantic indexing and question answering competition. </w:t>
      </w:r>
      <w:r>
        <w:rPr>
          <w:rFonts w:eastAsia="source serif 4" w:cs="source serif 4" w:ascii="source serif 4" w:hAnsi="source serif 4"/>
          <w:i/>
          <w:color w:val="000000"/>
          <w:sz w:val="21"/>
        </w:rPr>
        <w:t xml:space="preserve">BMC Bioinformatics</w:t>
      </w:r>
      <w:r>
        <w:rPr>
          <w:rFonts w:eastAsia="source serif 4" w:cs="source serif 4" w:ascii="source serif 4" w:hAnsi="source serif 4"/>
          <w:color w:val="000000"/>
          <w:sz w:val="21"/>
        </w:rPr>
        <w:t xml:space="preserve">, 16, 138. </w:t>
      </w:r>
      <w:hyperlink r:id="rId34">
        <w:r>
          <w:rPr>
            <w:rFonts w:eastAsia="source sans 3" w:cs="source sans 3" w:ascii="source sans 3" w:hAnsi="source sans 3"/>
            <w:color w:val="#000"/>
            <w:sz w:val="21"/>
            <w:u w:val="single"/>
          </w:rPr>
          <w:t xml:space="preserve">https://doi.org/10.1186/s12859-015-0564-6</w:t>
        </w:r>
      </w:hyperlink>
    </w:p>
    <w:p>
      <w:pPr>
        <w:numPr>
          <w:ilvl w:val="0"/>
          <w:numId w:val="32"/>
        </w:numPr>
        <w:spacing w:line="360" w:after="210" w:lineRule="auto"/>
      </w:pPr>
      <w:r>
        <w:rPr>
          <w:rFonts w:eastAsia="source serif 4" w:cs="source serif 4" w:ascii="source serif 4" w:hAnsi="source serif 4"/>
          <w:color w:val="000000"/>
          <w:sz w:val="21"/>
        </w:rPr>
        <w:t xml:space="preserve">Jin, Q., Dhingra, B., Liu, Z., Cohen, W. W., &amp; Lu, X. (2019). PubMedQA: A Dataset for Biomedical Research Question Answering. </w:t>
      </w:r>
      <w:r>
        <w:rPr>
          <w:rFonts w:eastAsia="source serif 4" w:cs="source serif 4" w:ascii="source serif 4" w:hAnsi="source serif 4"/>
          <w:i/>
          <w:color w:val="000000"/>
          <w:sz w:val="21"/>
        </w:rPr>
        <w:t xml:space="preserve">EMNLP 2019</w:t>
      </w:r>
      <w:r>
        <w:rPr>
          <w:rFonts w:eastAsia="source serif 4" w:cs="source serif 4" w:ascii="source serif 4" w:hAnsi="source serif 4"/>
          <w:color w:val="000000"/>
          <w:sz w:val="21"/>
        </w:rPr>
        <w:t xml:space="preserve">. </w:t>
      </w:r>
      <w:hyperlink r:id="rId35">
        <w:r>
          <w:rPr>
            <w:rFonts w:eastAsia="source sans 3" w:cs="source sans 3" w:ascii="source sans 3" w:hAnsi="source sans 3"/>
            <w:color w:val="#000"/>
            <w:sz w:val="21"/>
            <w:u w:val="single"/>
          </w:rPr>
          <w:t xml:space="preserve">https://arxiv.org/abs/1909.06146</w:t>
        </w:r>
      </w:hyperlink>
    </w:p>
    <w:p>
      <w:pPr>
        <w:numPr>
          <w:ilvl w:val="0"/>
          <w:numId w:val="32"/>
        </w:numPr>
        <w:spacing w:line="360" w:after="210" w:lineRule="auto"/>
      </w:pPr>
      <w:r>
        <w:rPr>
          <w:rFonts w:eastAsia="source serif 4" w:cs="source serif 4" w:ascii="source serif 4" w:hAnsi="source serif 4"/>
          <w:color w:val="000000"/>
          <w:sz w:val="21"/>
        </w:rPr>
        <w:t xml:space="preserve">Singhal, K., et al. (2023). Large language models encode clinical knowledge. </w:t>
      </w:r>
      <w:r>
        <w:rPr>
          <w:rFonts w:eastAsia="source serif 4" w:cs="source serif 4" w:ascii="source serif 4" w:hAnsi="source serif 4"/>
          <w:i/>
          <w:color w:val="000000"/>
          <w:sz w:val="21"/>
        </w:rPr>
        <w:t xml:space="preserve">Nature</w:t>
      </w:r>
      <w:r>
        <w:rPr>
          <w:rFonts w:eastAsia="source serif 4" w:cs="source serif 4" w:ascii="source serif 4" w:hAnsi="source serif 4"/>
          <w:color w:val="000000"/>
          <w:sz w:val="21"/>
        </w:rPr>
        <w:t xml:space="preserve">, 620, 172–180. </w:t>
      </w:r>
      <w:hyperlink r:id="rId36">
        <w:r>
          <w:rPr>
            <w:rFonts w:eastAsia="source sans 3" w:cs="source sans 3" w:ascii="source sans 3" w:hAnsi="source sans 3"/>
            <w:color w:val="#000"/>
            <w:sz w:val="21"/>
            <w:u w:val="single"/>
          </w:rPr>
          <w:t xml:space="preserve">https://doi.org/10.1038/s41586-023-06291-2</w:t>
        </w:r>
      </w:hyperlink>
    </w:p>
    <w:p>
      <w:pPr>
        <w:numPr>
          <w:ilvl w:val="0"/>
          <w:numId w:val="32"/>
        </w:numPr>
        <w:spacing w:line="360" w:after="210" w:lineRule="auto"/>
      </w:pPr>
      <w:r>
        <w:rPr>
          <w:rFonts w:eastAsia="source serif 4" w:cs="source serif 4" w:ascii="source serif 4" w:hAnsi="source serif 4"/>
          <w:color w:val="000000"/>
          <w:sz w:val="21"/>
        </w:rPr>
        <w:t xml:space="preserve">Singhal, K., et al. (2025). Toward expert-level medical question answering with large language models. </w:t>
      </w:r>
      <w:r>
        <w:rPr>
          <w:rFonts w:eastAsia="source serif 4" w:cs="source serif 4" w:ascii="source serif 4" w:hAnsi="source serif 4"/>
          <w:i/>
          <w:color w:val="000000"/>
          <w:sz w:val="21"/>
        </w:rPr>
        <w:t xml:space="preserve">Nature Medicine</w:t>
      </w:r>
      <w:r>
        <w:rPr>
          <w:rFonts w:eastAsia="source serif 4" w:cs="source serif 4" w:ascii="source serif 4" w:hAnsi="source serif 4"/>
          <w:color w:val="000000"/>
          <w:sz w:val="21"/>
        </w:rPr>
        <w:t xml:space="preserve">, 31(3), 943–950. </w:t>
      </w:r>
      <w:hyperlink r:id="rId37">
        <w:r>
          <w:rPr>
            <w:rFonts w:eastAsia="source sans 3" w:cs="source sans 3" w:ascii="source sans 3" w:hAnsi="source sans 3"/>
            <w:color w:val="#000"/>
            <w:sz w:val="21"/>
            <w:u w:val="single"/>
          </w:rPr>
          <w:t xml:space="preserve">https://doi.org/10.1038/s41591-024-03423-7</w:t>
        </w:r>
      </w:hyperlink>
    </w:p>
    <w:p>
      <w:pPr>
        <w:numPr>
          <w:ilvl w:val="0"/>
          <w:numId w:val="32"/>
        </w:numPr>
        <w:spacing w:line="360" w:after="210" w:lineRule="auto"/>
      </w:pPr>
      <w:r>
        <w:rPr>
          <w:rFonts w:eastAsia="source serif 4" w:cs="source serif 4" w:ascii="source serif 4" w:hAnsi="source serif 4"/>
          <w:color w:val="000000"/>
          <w:sz w:val="21"/>
        </w:rPr>
        <w:t xml:space="preserve">Lewis, P., et al. (2020). Retrieval-Augmented Generation for Knowledge-Intensive NLP Tasks. </w:t>
      </w:r>
      <w:r>
        <w:rPr>
          <w:rFonts w:eastAsia="source serif 4" w:cs="source serif 4" w:ascii="source serif 4" w:hAnsi="source serif 4"/>
          <w:i/>
          <w:color w:val="000000"/>
          <w:sz w:val="21"/>
        </w:rPr>
        <w:t xml:space="preserve">NeurIPS 2020</w:t>
      </w:r>
      <w:r>
        <w:rPr>
          <w:rFonts w:eastAsia="source serif 4" w:cs="source serif 4" w:ascii="source serif 4" w:hAnsi="source serif 4"/>
          <w:color w:val="000000"/>
          <w:sz w:val="21"/>
        </w:rPr>
        <w:t xml:space="preserve">. </w:t>
      </w:r>
      <w:hyperlink r:id="rId38">
        <w:r>
          <w:rPr>
            <w:rFonts w:eastAsia="source sans 3" w:cs="source sans 3" w:ascii="source sans 3" w:hAnsi="source sans 3"/>
            <w:color w:val="#000"/>
            <w:sz w:val="21"/>
            <w:u w:val="single"/>
          </w:rPr>
          <w:t xml:space="preserve">https://arxiv.org/abs/2005.11401</w:t>
        </w:r>
      </w:hyperlink>
    </w:p>
    <w:p>
      <w:pPr>
        <w:numPr>
          <w:ilvl w:val="0"/>
          <w:numId w:val="32"/>
        </w:numPr>
        <w:spacing w:line="360" w:after="210" w:lineRule="auto"/>
      </w:pPr>
      <w:r>
        <w:rPr>
          <w:rFonts w:eastAsia="source serif 4" w:cs="source serif 4" w:ascii="source serif 4" w:hAnsi="source serif 4"/>
          <w:color w:val="000000"/>
          <w:sz w:val="21"/>
        </w:rPr>
        <w:t xml:space="preserve">Zakka, C., et al. (2024). Almanac — Retrieval-Augmented Language Models for Clinical Medicine. </w:t>
      </w:r>
      <w:r>
        <w:rPr>
          <w:rFonts w:eastAsia="source serif 4" w:cs="source serif 4" w:ascii="source serif 4" w:hAnsi="source serif 4"/>
          <w:i/>
          <w:color w:val="000000"/>
          <w:sz w:val="21"/>
        </w:rPr>
        <w:t xml:space="preserve">NEJM AI</w:t>
      </w:r>
      <w:r>
        <w:rPr>
          <w:rFonts w:eastAsia="source serif 4" w:cs="source serif 4" w:ascii="source serif 4" w:hAnsi="source serif 4"/>
          <w:color w:val="000000"/>
          <w:sz w:val="21"/>
        </w:rPr>
        <w:t xml:space="preserve">. </w:t>
      </w:r>
      <w:hyperlink r:id="rId39">
        <w:r>
          <w:rPr>
            <w:rFonts w:eastAsia="source sans 3" w:cs="source sans 3" w:ascii="source sans 3" w:hAnsi="source sans 3"/>
            <w:color w:val="#000"/>
            <w:sz w:val="21"/>
            <w:u w:val="single"/>
          </w:rPr>
          <w:t xml:space="preserve">https://doi.org/10.1056/AIoa2300068</w:t>
        </w:r>
      </w:hyperlink>
    </w:p>
    <w:p>
      <w:pPr>
        <w:numPr>
          <w:ilvl w:val="0"/>
          <w:numId w:val="32"/>
        </w:numPr>
        <w:spacing w:line="360" w:after="210" w:lineRule="auto"/>
      </w:pPr>
      <w:r>
        <w:rPr>
          <w:rFonts w:eastAsia="source serif 4" w:cs="source serif 4" w:ascii="source serif 4" w:hAnsi="source serif 4"/>
          <w:color w:val="000000"/>
          <w:sz w:val="21"/>
        </w:rPr>
        <w:t xml:space="preserve">Sohn, J., et al. (2025). Rationale-Guided Retrieval Augmented Generation for Medical Question Answering. </w:t>
      </w:r>
      <w:r>
        <w:rPr>
          <w:rFonts w:eastAsia="source serif 4" w:cs="source serif 4" w:ascii="source serif 4" w:hAnsi="source serif 4"/>
          <w:i/>
          <w:color w:val="000000"/>
          <w:sz w:val="21"/>
        </w:rPr>
        <w:t xml:space="preserve">NAACL 2025</w:t>
      </w:r>
      <w:r>
        <w:rPr>
          <w:rFonts w:eastAsia="source serif 4" w:cs="source serif 4" w:ascii="source serif 4" w:hAnsi="source serif 4"/>
          <w:color w:val="000000"/>
          <w:sz w:val="21"/>
        </w:rPr>
        <w:t xml:space="preserve">. </w:t>
      </w:r>
      <w:hyperlink r:id="rId40">
        <w:r>
          <w:rPr>
            <w:rFonts w:eastAsia="source sans 3" w:cs="source sans 3" w:ascii="source sans 3" w:hAnsi="source sans 3"/>
            <w:color w:val="#000"/>
            <w:sz w:val="21"/>
            <w:u w:val="single"/>
          </w:rPr>
          <w:t xml:space="preserve">https://arxiv.org/abs/2411.00300</w:t>
        </w:r>
      </w:hyperlink>
    </w:p>
    <w:p>
      <w:pPr>
        <w:numPr>
          <w:ilvl w:val="0"/>
          <w:numId w:val="32"/>
        </w:numPr>
        <w:spacing w:line="360" w:after="210" w:lineRule="auto"/>
      </w:pPr>
      <w:r>
        <w:rPr>
          <w:rFonts w:eastAsia="source serif 4" w:cs="source serif 4" w:ascii="source serif 4" w:hAnsi="source serif 4"/>
          <w:color w:val="000000"/>
          <w:sz w:val="21"/>
        </w:rPr>
        <w:t xml:space="preserve">Zhang, S., et al. (2026). Retrieval-Augmented Generation for Medical Question Answering. </w:t>
      </w:r>
      <w:r>
        <w:rPr>
          <w:rFonts w:eastAsia="source serif 4" w:cs="source serif 4" w:ascii="source serif 4" w:hAnsi="source serif 4"/>
          <w:i/>
          <w:color w:val="000000"/>
          <w:sz w:val="21"/>
        </w:rPr>
        <w:t xml:space="preserve">JMIR Formative Research</w:t>
      </w:r>
      <w:r>
        <w:rPr>
          <w:rFonts w:eastAsia="source serif 4" w:cs="source serif 4" w:ascii="source serif 4" w:hAnsi="source serif 4"/>
          <w:color w:val="000000"/>
          <w:sz w:val="21"/>
        </w:rPr>
        <w:t xml:space="preserve">, 10, e84932. </w:t>
      </w:r>
      <w:hyperlink r:id="rId41">
        <w:r>
          <w:rPr>
            <w:rFonts w:eastAsia="source sans 3" w:cs="source sans 3" w:ascii="source sans 3" w:hAnsi="source sans 3"/>
            <w:color w:val="#000"/>
            <w:sz w:val="21"/>
            <w:u w:val="single"/>
          </w:rPr>
          <w:t xml:space="preserve">https://doi.org/10.2196/84932</w:t>
        </w:r>
      </w:hyperlink>
    </w:p>
    <w:p>
      <w:pPr>
        <w:numPr>
          <w:ilvl w:val="0"/>
          <w:numId w:val="32"/>
        </w:numPr>
        <w:spacing w:line="360" w:after="210" w:lineRule="auto"/>
      </w:pPr>
      <w:r>
        <w:rPr>
          <w:rFonts w:eastAsia="source serif 4" w:cs="source serif 4" w:ascii="source serif 4" w:hAnsi="source serif 4"/>
          <w:color w:val="000000"/>
          <w:sz w:val="21"/>
        </w:rPr>
        <w:t xml:space="preserve">Basu, S., &amp; Huynh, B. (2026). Mitigating hallucinations in healthcare AI: a systematic review of evidence-based strategies. </w:t>
      </w:r>
      <w:r>
        <w:rPr>
          <w:rFonts w:eastAsia="source serif 4" w:cs="source serif 4" w:ascii="source serif 4" w:hAnsi="source serif 4"/>
          <w:i/>
          <w:color w:val="000000"/>
          <w:sz w:val="21"/>
        </w:rPr>
        <w:t xml:space="preserve">BMC Health Services Research</w:t>
      </w:r>
      <w:r>
        <w:rPr>
          <w:rFonts w:eastAsia="source serif 4" w:cs="source serif 4" w:ascii="source serif 4" w:hAnsi="source serif 4"/>
          <w:color w:val="000000"/>
          <w:sz w:val="21"/>
        </w:rPr>
        <w:t xml:space="preserve">, 26, 1115. </w:t>
      </w:r>
      <w:hyperlink r:id="rId42">
        <w:r>
          <w:rPr>
            <w:rFonts w:eastAsia="source sans 3" w:cs="source sans 3" w:ascii="source sans 3" w:hAnsi="source sans 3"/>
            <w:color w:val="#000"/>
            <w:sz w:val="21"/>
            <w:u w:val="single"/>
          </w:rPr>
          <w:t xml:space="preserve">https://doi.org/10.1186/s12913-026-14851-1</w:t>
        </w:r>
      </w:hyperlink>
    </w:p>
    <w:p>
      <w:pPr>
        <w:numPr>
          <w:ilvl w:val="0"/>
          <w:numId w:val="32"/>
        </w:numPr>
        <w:spacing w:line="360" w:after="210" w:lineRule="auto"/>
      </w:pPr>
      <w:r>
        <w:rPr>
          <w:rFonts w:eastAsia="source serif 4" w:cs="source serif 4" w:ascii="source serif 4" w:hAnsi="source serif 4"/>
          <w:color w:val="000000"/>
          <w:sz w:val="21"/>
        </w:rPr>
        <w:t xml:space="preserve">Nanua, S., et al. (2025). Retrieval-augmented generation for interpreting clinical laboratory regulations using large language models. </w:t>
      </w:r>
      <w:r>
        <w:rPr>
          <w:rFonts w:eastAsia="source serif 4" w:cs="source serif 4" w:ascii="source serif 4" w:hAnsi="source serif 4"/>
          <w:i/>
          <w:color w:val="000000"/>
          <w:sz w:val="21"/>
        </w:rPr>
        <w:t xml:space="preserve">Journal of Pathology Informatics</w:t>
      </w:r>
      <w:r>
        <w:rPr>
          <w:rFonts w:eastAsia="source serif 4" w:cs="source serif 4" w:ascii="source serif 4" w:hAnsi="source serif 4"/>
          <w:color w:val="000000"/>
          <w:sz w:val="21"/>
        </w:rPr>
        <w:t xml:space="preserve">, 19, 100520. </w:t>
      </w:r>
      <w:hyperlink r:id="rId43">
        <w:r>
          <w:rPr>
            <w:rFonts w:eastAsia="source sans 3" w:cs="source sans 3" w:ascii="source sans 3" w:hAnsi="source sans 3"/>
            <w:color w:val="#000"/>
            <w:sz w:val="21"/>
            <w:u w:val="single"/>
          </w:rPr>
          <w:t xml:space="preserve">https://doi.org/10.1016/j.jpi.2025.100520</w:t>
        </w:r>
      </w:hyperlink>
    </w:p>
    <w:p>
      <w:pPr>
        <w:numPr>
          <w:ilvl w:val="0"/>
          <w:numId w:val="32"/>
        </w:numPr>
        <w:spacing w:line="360" w:after="210" w:lineRule="auto"/>
      </w:pPr>
      <w:r>
        <w:rPr>
          <w:rFonts w:eastAsia="source serif 4" w:cs="source serif 4" w:ascii="source serif 4" w:hAnsi="source serif 4"/>
          <w:color w:val="000000"/>
          <w:sz w:val="21"/>
        </w:rPr>
        <w:t xml:space="preserve">Lee, J., et al. (2020). BioBERT: a pre-trained biomedical language representation model for biomedical text mining. </w:t>
      </w:r>
      <w:r>
        <w:rPr>
          <w:rFonts w:eastAsia="source serif 4" w:cs="source serif 4" w:ascii="source serif 4" w:hAnsi="source serif 4"/>
          <w:i/>
          <w:color w:val="000000"/>
          <w:sz w:val="21"/>
        </w:rPr>
        <w:t xml:space="preserve">Bioinformatics</w:t>
      </w:r>
      <w:r>
        <w:rPr>
          <w:rFonts w:eastAsia="source serif 4" w:cs="source serif 4" w:ascii="source serif 4" w:hAnsi="source serif 4"/>
          <w:color w:val="000000"/>
          <w:sz w:val="21"/>
        </w:rPr>
        <w:t xml:space="preserve">, 36(4), 1234–1240. </w:t>
      </w:r>
      <w:hyperlink r:id="rId44">
        <w:r>
          <w:rPr>
            <w:rFonts w:eastAsia="source sans 3" w:cs="source sans 3" w:ascii="source sans 3" w:hAnsi="source sans 3"/>
            <w:color w:val="#000"/>
            <w:sz w:val="21"/>
            <w:u w:val="single"/>
          </w:rPr>
          <w:t xml:space="preserve">https://doi.org/10.1093/bioinformatics/btz682</w:t>
        </w:r>
      </w:hyperlink>
    </w:p>
    <w:p>
      <w:pPr>
        <w:numPr>
          <w:ilvl w:val="0"/>
          <w:numId w:val="32"/>
        </w:numPr>
        <w:spacing w:line="360" w:after="210" w:lineRule="auto"/>
      </w:pPr>
      <w:r>
        <w:rPr>
          <w:rFonts w:eastAsia="source serif 4" w:cs="source serif 4" w:ascii="source serif 4" w:hAnsi="source serif 4"/>
          <w:color w:val="000000"/>
          <w:sz w:val="21"/>
        </w:rPr>
        <w:t xml:space="preserve">Liu, F., et al. (2021). Self-Alignment Pretraining for Biomedical Entity Representations. </w:t>
      </w:r>
      <w:r>
        <w:rPr>
          <w:rFonts w:eastAsia="source serif 4" w:cs="source serif 4" w:ascii="source serif 4" w:hAnsi="source serif 4"/>
          <w:i/>
          <w:color w:val="000000"/>
          <w:sz w:val="21"/>
        </w:rPr>
        <w:t xml:space="preserve">NAACL 2021</w:t>
      </w:r>
      <w:r>
        <w:rPr>
          <w:rFonts w:eastAsia="source serif 4" w:cs="source serif 4" w:ascii="source serif 4" w:hAnsi="source serif 4"/>
          <w:color w:val="000000"/>
          <w:sz w:val="21"/>
        </w:rPr>
        <w:t xml:space="preserve">. </w:t>
      </w:r>
      <w:hyperlink r:id="rId45">
        <w:r>
          <w:rPr>
            <w:rFonts w:eastAsia="source sans 3" w:cs="source sans 3" w:ascii="source sans 3" w:hAnsi="source sans 3"/>
            <w:color w:val="#000"/>
            <w:sz w:val="21"/>
            <w:u w:val="single"/>
          </w:rPr>
          <w:t xml:space="preserve">https://arxiv.org/abs/2010.11784</w:t>
        </w:r>
      </w:hyperlink>
    </w:p>
    <w:p>
      <w:pPr>
        <w:numPr>
          <w:ilvl w:val="0"/>
          <w:numId w:val="32"/>
        </w:numPr>
        <w:spacing w:line="360" w:after="210" w:lineRule="auto"/>
      </w:pPr>
      <w:r>
        <w:rPr>
          <w:rFonts w:eastAsia="source serif 4" w:cs="source serif 4" w:ascii="source serif 4" w:hAnsi="source serif 4"/>
          <w:color w:val="000000"/>
          <w:sz w:val="21"/>
        </w:rPr>
        <w:t xml:space="preserve">Xie, F., et al. (2022). Deep learning for temporal data representation in electronic health records: A systematic review of challenges and methodologies. </w:t>
      </w:r>
      <w:r>
        <w:rPr>
          <w:rFonts w:eastAsia="source serif 4" w:cs="source serif 4" w:ascii="source serif 4" w:hAnsi="source serif 4"/>
          <w:i/>
          <w:color w:val="000000"/>
          <w:sz w:val="21"/>
        </w:rPr>
        <w:t xml:space="preserve">Journal of Biomedical Informatics</w:t>
      </w:r>
      <w:r>
        <w:rPr>
          <w:rFonts w:eastAsia="source serif 4" w:cs="source serif 4" w:ascii="source serif 4" w:hAnsi="source serif 4"/>
          <w:color w:val="000000"/>
          <w:sz w:val="21"/>
        </w:rPr>
        <w:t xml:space="preserve">. </w:t>
      </w:r>
      <w:hyperlink r:id="rId46">
        <w:r>
          <w:rPr>
            <w:rFonts w:eastAsia="source sans 3" w:cs="source sans 3" w:ascii="source sans 3" w:hAnsi="source sans 3"/>
            <w:color w:val="#000"/>
            <w:sz w:val="21"/>
            <w:u w:val="single"/>
          </w:rPr>
          <w:t xml:space="preserve">https://www.sciencedirect.com/science/article/pii/S1532046421003099</w:t>
        </w:r>
      </w:hyperlink>
    </w:p>
    <w:p>
      <w:pPr>
        <w:numPr>
          <w:ilvl w:val="0"/>
          <w:numId w:val="32"/>
        </w:numPr>
        <w:spacing w:line="360" w:after="210" w:lineRule="auto"/>
      </w:pPr>
      <w:r>
        <w:rPr>
          <w:rFonts w:eastAsia="source serif 4" w:cs="source serif 4" w:ascii="source serif 4" w:hAnsi="source serif 4"/>
          <w:color w:val="000000"/>
          <w:sz w:val="21"/>
        </w:rPr>
        <w:t xml:space="preserve">Cao, L., Chen, Q., &amp; Guo, Y. (2026). EHR-RAG: Bridging Long-Horizon Structured Electronic Health Records and Large Language Models via Enhanced Retrieval-Augmented Generation. </w:t>
      </w:r>
      <w:r>
        <w:rPr>
          <w:rFonts w:eastAsia="source serif 4" w:cs="source serif 4" w:ascii="source serif 4" w:hAnsi="source serif 4"/>
          <w:i/>
          <w:color w:val="000000"/>
          <w:sz w:val="21"/>
        </w:rPr>
        <w:t xml:space="preserve">arXiv</w:t>
      </w:r>
      <w:r>
        <w:rPr>
          <w:rFonts w:eastAsia="source serif 4" w:cs="source serif 4" w:ascii="source serif 4" w:hAnsi="source serif 4"/>
          <w:color w:val="000000"/>
          <w:sz w:val="21"/>
        </w:rPr>
        <w:t xml:space="preserve">. </w:t>
      </w:r>
      <w:hyperlink r:id="rId47">
        <w:r>
          <w:rPr>
            <w:rFonts w:eastAsia="source sans 3" w:cs="source sans 3" w:ascii="source sans 3" w:hAnsi="source sans 3"/>
            <w:color w:val="#000"/>
            <w:sz w:val="21"/>
            <w:u w:val="single"/>
          </w:rPr>
          <w:t xml:space="preserve">https://arxiv.org/abs/2601.21340</w:t>
        </w:r>
      </w:hyperlink>
    </w:p>
    <w:p>
      <w:pPr>
        <w:numPr>
          <w:ilvl w:val="0"/>
          <w:numId w:val="32"/>
        </w:numPr>
        <w:spacing w:line="360" w:after="210" w:lineRule="auto"/>
      </w:pPr>
      <w:r>
        <w:rPr>
          <w:rFonts w:eastAsia="source serif 4" w:cs="source serif 4" w:ascii="source serif 4" w:hAnsi="source serif 4"/>
          <w:color w:val="000000"/>
          <w:sz w:val="21"/>
        </w:rPr>
        <w:t xml:space="preserve">Low, Y. S., et al. (2025). Answering real-world clinical questions using large language model, retrieval-augmented generation, and agentic systems. </w:t>
      </w:r>
      <w:r>
        <w:rPr>
          <w:rFonts w:eastAsia="source serif 4" w:cs="source serif 4" w:ascii="source serif 4" w:hAnsi="source serif 4"/>
          <w:i/>
          <w:color w:val="000000"/>
          <w:sz w:val="21"/>
        </w:rPr>
        <w:t xml:space="preserve">Digital Health</w:t>
      </w:r>
      <w:r>
        <w:rPr>
          <w:rFonts w:eastAsia="source serif 4" w:cs="source serif 4" w:ascii="source serif 4" w:hAnsi="source serif 4"/>
          <w:color w:val="000000"/>
          <w:sz w:val="21"/>
        </w:rPr>
        <w:t xml:space="preserve">. </w:t>
      </w:r>
      <w:hyperlink r:id="rId48">
        <w:r>
          <w:rPr>
            <w:rFonts w:eastAsia="source sans 3" w:cs="source sans 3" w:ascii="source sans 3" w:hAnsi="source sans 3"/>
            <w:color w:val="#000"/>
            <w:sz w:val="21"/>
            <w:u w:val="single"/>
          </w:rPr>
          <w:t xml:space="preserve">https://doi.org/10.1177/20552076251348850</w:t>
        </w:r>
      </w:hyperlink>
    </w:p>
    <w:p>
      <w:pPr>
        <w:numPr>
          <w:ilvl w:val="0"/>
          <w:numId w:val="32"/>
        </w:numPr>
        <w:spacing w:line="360" w:after="210" w:lineRule="auto"/>
      </w:pPr>
      <w:r>
        <w:rPr>
          <w:rFonts w:eastAsia="source serif 4" w:cs="source serif 4" w:ascii="source serif 4" w:hAnsi="source serif 4"/>
          <w:color w:val="000000"/>
          <w:sz w:val="21"/>
        </w:rPr>
        <w:t xml:space="preserve">Zakka, C., et al. (2024). Almanac Copilot: Towards Autonomous Electronic Health Record Navigation. </w:t>
      </w:r>
      <w:r>
        <w:rPr>
          <w:rFonts w:eastAsia="source serif 4" w:cs="source serif 4" w:ascii="source serif 4" w:hAnsi="source serif 4"/>
          <w:i/>
          <w:color w:val="000000"/>
          <w:sz w:val="21"/>
        </w:rPr>
        <w:t xml:space="preserve">arXiv</w:t>
      </w:r>
      <w:r>
        <w:rPr>
          <w:rFonts w:eastAsia="source serif 4" w:cs="source serif 4" w:ascii="source serif 4" w:hAnsi="source serif 4"/>
          <w:color w:val="000000"/>
          <w:sz w:val="21"/>
        </w:rPr>
        <w:t xml:space="preserve">. </w:t>
      </w:r>
      <w:hyperlink r:id="rId49">
        <w:r>
          <w:rPr>
            <w:rFonts w:eastAsia="source sans 3" w:cs="source sans 3" w:ascii="source sans 3" w:hAnsi="source sans 3"/>
            <w:color w:val="#000"/>
            <w:sz w:val="21"/>
            <w:u w:val="single"/>
          </w:rPr>
          <w:t xml:space="preserve">https://arxiv.org/abs/2405.07896</w:t>
        </w:r>
      </w:hyperlink>
    </w:p>
    <w:p>
      <w:pPr>
        <w:numPr>
          <w:ilvl w:val="0"/>
          <w:numId w:val="32"/>
        </w:numPr>
        <w:spacing w:line="360" w:after="210" w:lineRule="auto"/>
      </w:pPr>
      <w:r>
        <w:rPr>
          <w:rFonts w:eastAsia="source serif 4" w:cs="source serif 4" w:ascii="source serif 4" w:hAnsi="source serif 4"/>
          <w:color w:val="000000"/>
          <w:sz w:val="21"/>
        </w:rPr>
        <w:t xml:space="preserve">Plaisant, C., et al. (1996). LifeLines: Visualizing Personal Histories. </w:t>
      </w:r>
      <w:r>
        <w:rPr>
          <w:rFonts w:eastAsia="source serif 4" w:cs="source serif 4" w:ascii="source serif 4" w:hAnsi="source serif 4"/>
          <w:i/>
          <w:color w:val="000000"/>
          <w:sz w:val="21"/>
        </w:rPr>
        <w:t xml:space="preserve">ACM CHI 1996</w:t>
      </w:r>
      <w:r>
        <w:rPr>
          <w:rFonts w:eastAsia="source serif 4" w:cs="source serif 4" w:ascii="source serif 4" w:hAnsi="source serif 4"/>
          <w:color w:val="000000"/>
          <w:sz w:val="21"/>
        </w:rPr>
        <w:t xml:space="preserve">. </w:t>
      </w:r>
      <w:hyperlink r:id="rId50">
        <w:r>
          <w:rPr>
            <w:rFonts w:eastAsia="source sans 3" w:cs="source sans 3" w:ascii="source sans 3" w:hAnsi="source sans 3"/>
            <w:color w:val="#000"/>
            <w:sz w:val="21"/>
            <w:u w:val="single"/>
          </w:rPr>
          <w:t xml:space="preserve">https://dl.acm.org/doi/10.1145/257089.257391</w:t>
        </w:r>
      </w:hyperlink>
    </w:p>
    <w:p>
      <w:pPr>
        <w:numPr>
          <w:ilvl w:val="0"/>
          <w:numId w:val="32"/>
        </w:numPr>
        <w:spacing w:line="360" w:after="210" w:lineRule="auto"/>
      </w:pPr>
      <w:r>
        <w:rPr>
          <w:rFonts w:eastAsia="source serif 4" w:cs="source serif 4" w:ascii="source serif 4" w:hAnsi="source serif 4"/>
          <w:color w:val="000000"/>
          <w:sz w:val="21"/>
        </w:rPr>
        <w:t xml:space="preserve">Plaisant, C., et al. (1998). LifeLines: using visualization to enhance navigation and analysis of patient records. </w:t>
      </w:r>
      <w:r>
        <w:rPr>
          <w:rFonts w:eastAsia="source serif 4" w:cs="source serif 4" w:ascii="source serif 4" w:hAnsi="source serif 4"/>
          <w:i/>
          <w:color w:val="000000"/>
          <w:sz w:val="21"/>
        </w:rPr>
        <w:t xml:space="preserve">Proc AMIA Symp</w:t>
      </w:r>
      <w:r>
        <w:rPr>
          <w:rFonts w:eastAsia="source serif 4" w:cs="source serif 4" w:ascii="source serif 4" w:hAnsi="source serif 4"/>
          <w:color w:val="000000"/>
          <w:sz w:val="21"/>
        </w:rPr>
        <w:t xml:space="preserve">. </w:t>
      </w:r>
      <w:hyperlink r:id="rId51">
        <w:r>
          <w:rPr>
            <w:rFonts w:eastAsia="source sans 3" w:cs="source sans 3" w:ascii="source sans 3" w:hAnsi="source sans 3"/>
            <w:color w:val="#000"/>
            <w:sz w:val="21"/>
            <w:u w:val="single"/>
          </w:rPr>
          <w:t xml:space="preserve">https://pubmed.ncbi.nlm.nih.gov/9929185/</w:t>
        </w:r>
      </w:hyperlink>
    </w:p>
    <w:p>
      <w:pPr>
        <w:numPr>
          <w:ilvl w:val="0"/>
          <w:numId w:val="32"/>
        </w:numPr>
        <w:spacing w:line="360" w:after="210" w:lineRule="auto"/>
      </w:pPr>
      <w:r>
        <w:rPr>
          <w:rFonts w:eastAsia="source serif 4" w:cs="source serif 4" w:ascii="source serif 4" w:hAnsi="source serif 4"/>
          <w:color w:val="000000"/>
          <w:sz w:val="21"/>
        </w:rPr>
        <w:t xml:space="preserve">Ledesma, A., et al. (2019). Health timeline: an insight-based study of a timeline visualization of clinical data. </w:t>
      </w:r>
      <w:r>
        <w:rPr>
          <w:rFonts w:eastAsia="source serif 4" w:cs="source serif 4" w:ascii="source serif 4" w:hAnsi="source serif 4"/>
          <w:i/>
          <w:color w:val="000000"/>
          <w:sz w:val="21"/>
        </w:rPr>
        <w:t xml:space="preserve">BMC Medical Informatics and Decision Making</w:t>
      </w:r>
      <w:r>
        <w:rPr>
          <w:rFonts w:eastAsia="source serif 4" w:cs="source serif 4" w:ascii="source serif 4" w:hAnsi="source serif 4"/>
          <w:color w:val="000000"/>
          <w:sz w:val="21"/>
        </w:rPr>
        <w:t xml:space="preserve">, 19, 170. </w:t>
      </w:r>
      <w:hyperlink r:id="rId52">
        <w:r>
          <w:rPr>
            <w:rFonts w:eastAsia="source sans 3" w:cs="source sans 3" w:ascii="source sans 3" w:hAnsi="source sans 3"/>
            <w:color w:val="#000"/>
            <w:sz w:val="21"/>
            <w:u w:val="single"/>
          </w:rPr>
          <w:t xml:space="preserve">https://doi.org/10.1186/s12911-019-0885-x</w:t>
        </w:r>
      </w:hyperlink>
    </w:p>
    <w:p>
      <w:pPr>
        <w:numPr>
          <w:ilvl w:val="0"/>
          <w:numId w:val="32"/>
        </w:numPr>
        <w:spacing w:line="360" w:after="210" w:lineRule="auto"/>
      </w:pPr>
      <w:r>
        <w:rPr>
          <w:rFonts w:eastAsia="source serif 4" w:cs="source serif 4" w:ascii="source serif 4" w:hAnsi="source serif 4"/>
          <w:color w:val="000000"/>
          <w:sz w:val="21"/>
        </w:rPr>
        <w:t xml:space="preserve">Yada, S., &amp; Aramaki, E. (2023). HeaRT: Health Record Timeliner to visualise patients' medical history from health record text. </w:t>
      </w:r>
      <w:r>
        <w:rPr>
          <w:rFonts w:eastAsia="source serif 4" w:cs="source serif 4" w:ascii="source serif 4" w:hAnsi="source serif 4"/>
          <w:i/>
          <w:color w:val="000000"/>
          <w:sz w:val="21"/>
        </w:rPr>
        <w:t xml:space="preserve">arXiv</w:t>
      </w:r>
      <w:r>
        <w:rPr>
          <w:rFonts w:eastAsia="source serif 4" w:cs="source serif 4" w:ascii="source serif 4" w:hAnsi="source serif 4"/>
          <w:color w:val="000000"/>
          <w:sz w:val="21"/>
        </w:rPr>
        <w:t xml:space="preserve">. </w:t>
      </w:r>
      <w:hyperlink r:id="rId53">
        <w:r>
          <w:rPr>
            <w:rFonts w:eastAsia="source sans 3" w:cs="source sans 3" w:ascii="source sans 3" w:hAnsi="source sans 3"/>
            <w:color w:val="#000"/>
            <w:sz w:val="21"/>
            <w:u w:val="single"/>
          </w:rPr>
          <w:t xml:space="preserve">https://arxiv.org/abs/2306.14379</w:t>
        </w:r>
      </w:hyperlink>
    </w:p>
    <w:p>
      <w:pPr>
        <w:numPr>
          <w:ilvl w:val="0"/>
          <w:numId w:val="32"/>
        </w:numPr>
        <w:spacing w:line="360" w:after="210" w:lineRule="auto"/>
      </w:pPr>
      <w:r>
        <w:rPr>
          <w:rFonts w:eastAsia="source serif 4" w:cs="source serif 4" w:ascii="source serif 4" w:hAnsi="source serif 4"/>
          <w:color w:val="000000"/>
          <w:sz w:val="21"/>
        </w:rPr>
        <w:t xml:space="preserve">Park, H., et al. (2024). HistoriView: Implementation and Evaluation of a Novel Approach to Review a Patient Using a Scalable Space-Efficient Timeline without Zoom Interactions. </w:t>
      </w:r>
      <w:r>
        <w:rPr>
          <w:rFonts w:eastAsia="source serif 4" w:cs="source serif 4" w:ascii="source serif 4" w:hAnsi="source serif 4"/>
          <w:i/>
          <w:color w:val="000000"/>
          <w:sz w:val="21"/>
        </w:rPr>
        <w:t xml:space="preserve">Applied Clinical Informatics</w:t>
      </w:r>
      <w:r>
        <w:rPr>
          <w:rFonts w:eastAsia="source serif 4" w:cs="source serif 4" w:ascii="source serif 4" w:hAnsi="source serif 4"/>
          <w:color w:val="000000"/>
          <w:sz w:val="21"/>
        </w:rPr>
        <w:t xml:space="preserve">, 15(2), 250–264. </w:t>
      </w:r>
      <w:hyperlink r:id="rId54">
        <w:r>
          <w:rPr>
            <w:rFonts w:eastAsia="source sans 3" w:cs="source sans 3" w:ascii="source sans 3" w:hAnsi="source sans 3"/>
            <w:color w:val="#000"/>
            <w:sz w:val="21"/>
            <w:u w:val="single"/>
          </w:rPr>
          <w:t xml:space="preserve">https://doi.org/10.1055/a-2269-0995</w:t>
        </w:r>
      </w:hyperlink>
    </w:p>
    <w:p>
      <w:pPr>
        <w:numPr>
          <w:ilvl w:val="0"/>
          <w:numId w:val="32"/>
        </w:numPr>
        <w:spacing w:line="360" w:after="210" w:lineRule="auto"/>
      </w:pPr>
      <w:r>
        <w:rPr>
          <w:rFonts w:eastAsia="source serif 4" w:cs="source serif 4" w:ascii="source serif 4" w:hAnsi="source serif 4"/>
          <w:color w:val="000000"/>
          <w:sz w:val="21"/>
        </w:rPr>
        <w:t xml:space="preserve">Glicksberg, B. S., et al. (2019). PatientExploreR: an extensible application for dynamic visualization of patient clinical history from electronic health records in the OMOP common data model. </w:t>
      </w:r>
      <w:r>
        <w:rPr>
          <w:rFonts w:eastAsia="source serif 4" w:cs="source serif 4" w:ascii="source serif 4" w:hAnsi="source serif 4"/>
          <w:i/>
          <w:color w:val="000000"/>
          <w:sz w:val="21"/>
        </w:rPr>
        <w:t xml:space="preserve">Bioinformatics</w:t>
      </w:r>
      <w:r>
        <w:rPr>
          <w:rFonts w:eastAsia="source serif 4" w:cs="source serif 4" w:ascii="source serif 4" w:hAnsi="source serif 4"/>
          <w:color w:val="000000"/>
          <w:sz w:val="21"/>
        </w:rPr>
        <w:t xml:space="preserve">, 35(21), 4515–4518. </w:t>
      </w:r>
      <w:hyperlink r:id="rId55">
        <w:r>
          <w:rPr>
            <w:rFonts w:eastAsia="source sans 3" w:cs="source sans 3" w:ascii="source sans 3" w:hAnsi="source sans 3"/>
            <w:color w:val="#000"/>
            <w:sz w:val="21"/>
            <w:u w:val="single"/>
          </w:rPr>
          <w:t xml:space="preserve">https://doi.org/10.1093/bioinformatics/btz409</w:t>
        </w:r>
      </w:hyperlink>
    </w:p>
    <w:p>
      <w:pPr>
        <w:numPr>
          <w:ilvl w:val="0"/>
          <w:numId w:val="32"/>
        </w:numPr>
        <w:spacing w:line="360" w:after="210" w:lineRule="auto"/>
      </w:pPr>
      <w:r>
        <w:rPr>
          <w:rFonts w:eastAsia="source serif 4" w:cs="source serif 4" w:ascii="source serif 4" w:hAnsi="source serif 4"/>
          <w:color w:val="000000"/>
          <w:sz w:val="21"/>
        </w:rPr>
        <w:t xml:space="preserve">Morid, M. A., et al. (2020). Temporal Pattern Detection to Predict Adverse Events in Critical Care: Case Study With Acute Kidney Injury. </w:t>
      </w:r>
      <w:r>
        <w:rPr>
          <w:rFonts w:eastAsia="source serif 4" w:cs="source serif 4" w:ascii="source serif 4" w:hAnsi="source serif 4"/>
          <w:i/>
          <w:color w:val="000000"/>
          <w:sz w:val="21"/>
        </w:rPr>
        <w:t xml:space="preserve">JMIR Medical Informatics</w:t>
      </w:r>
      <w:r>
        <w:rPr>
          <w:rFonts w:eastAsia="source serif 4" w:cs="source serif 4" w:ascii="source serif 4" w:hAnsi="source serif 4"/>
          <w:color w:val="000000"/>
          <w:sz w:val="21"/>
        </w:rPr>
        <w:t xml:space="preserve">, 8(3), e14272. </w:t>
      </w:r>
      <w:hyperlink r:id="rId56">
        <w:r>
          <w:rPr>
            <w:rFonts w:eastAsia="source sans 3" w:cs="source sans 3" w:ascii="source sans 3" w:hAnsi="source sans 3"/>
            <w:color w:val="#000"/>
            <w:sz w:val="21"/>
            <w:u w:val="single"/>
          </w:rPr>
          <w:t xml:space="preserve">https://doi.org/10.2196/14272</w:t>
        </w:r>
      </w:hyperlink>
    </w:p>
    <w:p>
      <w:pPr>
        <w:numPr>
          <w:ilvl w:val="0"/>
          <w:numId w:val="32"/>
        </w:numPr>
        <w:spacing w:line="360" w:after="210" w:lineRule="auto"/>
      </w:pPr>
      <w:r>
        <w:rPr>
          <w:rFonts w:eastAsia="source serif 4" w:cs="source serif 4" w:ascii="source serif 4" w:hAnsi="source serif 4"/>
          <w:color w:val="000000"/>
          <w:sz w:val="21"/>
        </w:rPr>
        <w:t xml:space="preserve">Ray, C. E., et al. (2026). Alert fatigue measurement in clinical decision support: a systematic review. </w:t>
      </w:r>
      <w:r>
        <w:rPr>
          <w:rFonts w:eastAsia="source serif 4" w:cs="source serif 4" w:ascii="source serif 4" w:hAnsi="source serif 4"/>
          <w:i/>
          <w:color w:val="000000"/>
          <w:sz w:val="21"/>
        </w:rPr>
        <w:t xml:space="preserve">JAMIA</w:t>
      </w:r>
      <w:r>
        <w:rPr>
          <w:rFonts w:eastAsia="source serif 4" w:cs="source serif 4" w:ascii="source serif 4" w:hAnsi="source serif 4"/>
          <w:color w:val="000000"/>
          <w:sz w:val="21"/>
        </w:rPr>
        <w:t xml:space="preserve">, 33(8), 1523–1531. </w:t>
      </w:r>
      <w:hyperlink r:id="rId57">
        <w:r>
          <w:rPr>
            <w:rFonts w:eastAsia="source sans 3" w:cs="source sans 3" w:ascii="source sans 3" w:hAnsi="source sans 3"/>
            <w:color w:val="#000"/>
            <w:sz w:val="21"/>
            <w:u w:val="single"/>
          </w:rPr>
          <w:t xml:space="preserve">https://doi.org/10.1093/jamia/ocag064</w:t>
        </w:r>
      </w:hyperlink>
    </w:p>
    <w:p>
      <w:pPr>
        <w:numPr>
          <w:ilvl w:val="0"/>
          <w:numId w:val="32"/>
        </w:numPr>
        <w:spacing w:line="360" w:after="210" w:lineRule="auto"/>
      </w:pPr>
      <w:r>
        <w:rPr>
          <w:rFonts w:eastAsia="source serif 4" w:cs="source serif 4" w:ascii="source serif 4" w:hAnsi="source serif 4"/>
          <w:color w:val="000000"/>
          <w:sz w:val="21"/>
        </w:rPr>
        <w:t xml:space="preserve">Kwan, J. L., et al. (2020). Computerised clinical decision support systems and absolute improvements in care: meta-analysis of controlled clinical trials. </w:t>
      </w:r>
      <w:r>
        <w:rPr>
          <w:rFonts w:eastAsia="source serif 4" w:cs="source serif 4" w:ascii="source serif 4" w:hAnsi="source serif 4"/>
          <w:i/>
          <w:color w:val="000000"/>
          <w:sz w:val="21"/>
        </w:rPr>
        <w:t xml:space="preserve">BMJ</w:t>
      </w:r>
      <w:r>
        <w:rPr>
          <w:rFonts w:eastAsia="source serif 4" w:cs="source serif 4" w:ascii="source serif 4" w:hAnsi="source serif 4"/>
          <w:color w:val="000000"/>
          <w:sz w:val="21"/>
        </w:rPr>
        <w:t xml:space="preserve">, 370, m3216. </w:t>
      </w:r>
      <w:hyperlink r:id="rId58">
        <w:r>
          <w:rPr>
            <w:rFonts w:eastAsia="source sans 3" w:cs="source sans 3" w:ascii="source sans 3" w:hAnsi="source sans 3"/>
            <w:color w:val="#000"/>
            <w:sz w:val="21"/>
            <w:u w:val="single"/>
          </w:rPr>
          <w:t xml:space="preserve">https://doi.org/10.1136/bmj.m3216</w:t>
        </w:r>
      </w:hyperlink>
    </w:p>
    <w:p>
      <w:pPr>
        <w:numPr>
          <w:ilvl w:val="0"/>
          <w:numId w:val="32"/>
        </w:numPr>
        <w:spacing w:line="360" w:after="210" w:lineRule="auto"/>
      </w:pPr>
      <w:r>
        <w:rPr>
          <w:rFonts w:eastAsia="source serif 4" w:cs="source serif 4" w:ascii="source serif 4" w:hAnsi="source serif 4"/>
          <w:color w:val="000000"/>
          <w:sz w:val="21"/>
        </w:rPr>
        <w:t xml:space="preserve">Singh, H., et al. (2010). Notification of Abnormal Lab Test Results in an Electronic Medical Record: Do Any Safety Concerns Remain? </w:t>
      </w:r>
      <w:r>
        <w:rPr>
          <w:rFonts w:eastAsia="source serif 4" w:cs="source serif 4" w:ascii="source serif 4" w:hAnsi="source serif 4"/>
          <w:i/>
          <w:color w:val="000000"/>
          <w:sz w:val="21"/>
        </w:rPr>
        <w:t xml:space="preserve">The American Journal of Medicine</w:t>
      </w:r>
      <w:r>
        <w:rPr>
          <w:rFonts w:eastAsia="source serif 4" w:cs="source serif 4" w:ascii="source serif 4" w:hAnsi="source serif 4"/>
          <w:color w:val="000000"/>
          <w:sz w:val="21"/>
        </w:rPr>
        <w:t xml:space="preserve">, 123(3), 238–244. </w:t>
      </w:r>
      <w:hyperlink r:id="rId59">
        <w:r>
          <w:rPr>
            <w:rFonts w:eastAsia="source sans 3" w:cs="source sans 3" w:ascii="source sans 3" w:hAnsi="source sans 3"/>
            <w:color w:val="#000"/>
            <w:sz w:val="21"/>
            <w:u w:val="single"/>
          </w:rPr>
          <w:t xml:space="preserve">https://doi.org/10.1016/j.amjmed.2009.07.027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Note: DOIs and URLs are provided where available; arXiv entries are marked as preprints. The EHR-RAG paper (arXiv:2601.21340) and Almanac Copilot (arXiv:2405.07896) are preprints/working papers and should be cited as such. Full author lists are provided where verified from official pages; where page content was incomplete, conservative "et al." forms are used with links to the original source for verification.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decimal"/>
      <w:lvlText w:val="%1."/>
      <w:lvlJc w:val="left"/>
      <w:pPr>
        <w:tabs>
          <w:tab w:val="num" w:pos="900"/>
        </w:tabs>
        <w:ind w:left="540" w:hanging="360"/>
      </w:p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decimal"/>
      <w:lvlText w:val="%1."/>
      <w:lvlJc w:val="left"/>
      <w:pPr>
        <w:tabs>
          <w:tab w:val="num" w:pos="900"/>
        </w:tabs>
        <w:ind w:left="540" w:hanging="360"/>
      </w:pPr>
    </w:lvl>
  </w:abstractNum>
  <w:abstractNum w:abstractNumId="17">
    <w:multiLevelType w:val="hybridMultilevel"/>
    <w:lvl w:ilvl="0">
      <w:start w:val="1"/>
      <w:numFmt w:val="decimal"/>
      <w:lvlText w:val="%1."/>
      <w:lvlJc w:val="left"/>
      <w:pPr>
        <w:tabs>
          <w:tab w:val="num" w:pos="900"/>
        </w:tabs>
        <w:ind w:left="540" w:hanging="360"/>
      </w:p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decimal"/>
      <w:lvlText w:val="%1."/>
      <w:lvlJc w:val="left"/>
      <w:pPr>
        <w:tabs>
          <w:tab w:val="num" w:pos="900"/>
        </w:tabs>
        <w:ind w:left="540" w:hanging="360"/>
      </w:p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decimal"/>
      <w:lvlText w:val="%1."/>
      <w:lvlJc w:val="left"/>
      <w:pPr>
        <w:tabs>
          <w:tab w:val="num" w:pos="900"/>
        </w:tabs>
        <w:ind w:left="540" w:hanging="360"/>
      </w:pPr>
    </w:lvl>
  </w:abstractNum>
  <w:abstractNum w:abstractNumId="31">
    <w:multiLevelType w:val="hybridMultilevel"/>
    <w:lvl w:ilvl="0">
      <w:start w:val="1"/>
      <w:numFmt w:val="decimal"/>
      <w:lvlText w:val="%1."/>
      <w:lvlJc w:val="left"/>
      <w:pPr>
        <w:tabs>
          <w:tab w:val="num" w:pos="900"/>
        </w:tabs>
        <w:ind w:left="540" w:hanging="360"/>
      </w:pPr>
    </w:lvl>
  </w:abstractNum>
  <w:abstractNum w:abstractNumId="3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i.org/10.1186/s12859-015-0564-6" TargetMode="External"/><Relationship Id="rId6" Type="http://schemas.openxmlformats.org/officeDocument/2006/relationships/hyperlink" Target="https://arxiv.org/abs/1909.06146" TargetMode="External"/><Relationship Id="rId7" Type="http://schemas.openxmlformats.org/officeDocument/2006/relationships/hyperlink" Target="https://doi.org/10.1038/s41586-023-06291-2" TargetMode="External"/><Relationship Id="rId8" Type="http://schemas.openxmlformats.org/officeDocument/2006/relationships/hyperlink" Target="https://www.nature.com/articles/s41591-024-03423-7" TargetMode="External"/><Relationship Id="rId9" Type="http://schemas.openxmlformats.org/officeDocument/2006/relationships/hyperlink" Target="https://doi.org/10.1038/s41591-024-03423-7" TargetMode="External"/><Relationship Id="rId10" Type="http://schemas.openxmlformats.org/officeDocument/2006/relationships/hyperlink" Target="https://arxiv.org/abs/2005.11401" TargetMode="External"/><Relationship Id="rId11" Type="http://schemas.openxmlformats.org/officeDocument/2006/relationships/hyperlink" Target="https://ai.nejm.org/doi/full/10.1056/AIoa2300068" TargetMode="External"/><Relationship Id="rId12" Type="http://schemas.openxmlformats.org/officeDocument/2006/relationships/hyperlink" Target="https://doi.org/10.1056/AIoa2300068" TargetMode="External"/><Relationship Id="rId13" Type="http://schemas.openxmlformats.org/officeDocument/2006/relationships/hyperlink" Target="https://arxiv.org/abs/2411.00300" TargetMode="External"/><Relationship Id="rId14" Type="http://schemas.openxmlformats.org/officeDocument/2006/relationships/hyperlink" Target="https://doi.org/10.2196/84932" TargetMode="External"/><Relationship Id="rId15" Type="http://schemas.openxmlformats.org/officeDocument/2006/relationships/hyperlink" Target="https://doi.org/10.1186/s12913-026-14851-1" TargetMode="External"/><Relationship Id="rId16" Type="http://schemas.openxmlformats.org/officeDocument/2006/relationships/hyperlink" Target="https://doi.org/10.1016/j.jpi.2025.100520" TargetMode="External"/><Relationship Id="rId17" Type="http://schemas.openxmlformats.org/officeDocument/2006/relationships/hyperlink" Target="https://doi.org/10.1093/bioinformatics/btz682" TargetMode="External"/><Relationship Id="rId18" Type="http://schemas.openxmlformats.org/officeDocument/2006/relationships/hyperlink" Target="https://arxiv.org/abs/2010.11784" TargetMode="External"/><Relationship Id="rId19" Type="http://schemas.openxmlformats.org/officeDocument/2006/relationships/hyperlink" Target="https://www.sciencedirect.com/science/article/pii/S1532046421003099" TargetMode="External"/><Relationship Id="rId20" Type="http://schemas.openxmlformats.org/officeDocument/2006/relationships/hyperlink" Target="https://www.sciencedirect.com/science/article/pii/S1532046421003099" TargetMode="External"/><Relationship Id="rId21" Type="http://schemas.openxmlformats.org/officeDocument/2006/relationships/hyperlink" Target="https://arxiv.org/abs/2601.21340" TargetMode="External"/><Relationship Id="rId22" Type="http://schemas.openxmlformats.org/officeDocument/2006/relationships/hyperlink" Target="https://doi.org/10.1177/20552076251348850" TargetMode="External"/><Relationship Id="rId23" Type="http://schemas.openxmlformats.org/officeDocument/2006/relationships/hyperlink" Target="https://arxiv.org/abs/2405.07896" TargetMode="External"/><Relationship Id="rId24" Type="http://schemas.openxmlformats.org/officeDocument/2006/relationships/hyperlink" Target="https://dl.acm.org/doi/10.1145/257089.257391" TargetMode="External"/><Relationship Id="rId25" Type="http://schemas.openxmlformats.org/officeDocument/2006/relationships/hyperlink" Target="https://pubmed.ncbi.nlm.nih.gov/9929185/" TargetMode="External"/><Relationship Id="rId26" Type="http://schemas.openxmlformats.org/officeDocument/2006/relationships/hyperlink" Target="https://doi.org/10.1186/s12911-019-0885-x" TargetMode="External"/><Relationship Id="rId27" Type="http://schemas.openxmlformats.org/officeDocument/2006/relationships/hyperlink" Target="https://ar5iv.labs.arxiv.org/html/2306.14379" TargetMode="External"/><Relationship Id="rId28" Type="http://schemas.openxmlformats.org/officeDocument/2006/relationships/hyperlink" Target="https://doi.org/10.1055/a-2269-0995" TargetMode="External"/><Relationship Id="rId29" Type="http://schemas.openxmlformats.org/officeDocument/2006/relationships/hyperlink" Target="https://doi.org/10.1093/bioinformatics/btz409" TargetMode="External"/><Relationship Id="rId30" Type="http://schemas.openxmlformats.org/officeDocument/2006/relationships/hyperlink" Target="https://doi.org/10.2196/14272" TargetMode="External"/><Relationship Id="rId31" Type="http://schemas.openxmlformats.org/officeDocument/2006/relationships/hyperlink" Target="https://doi.org/10.1016/j.amjmed.2009.07.027" TargetMode="External"/><Relationship Id="rId32" Type="http://schemas.openxmlformats.org/officeDocument/2006/relationships/hyperlink" Target="https://doi.org/10.1136/bmj.m3216" TargetMode="External"/><Relationship Id="rId33" Type="http://schemas.openxmlformats.org/officeDocument/2006/relationships/hyperlink" Target="https://doi.org/10.1093/jamia/ocag064" TargetMode="External"/><Relationship Id="rId34" Type="http://schemas.openxmlformats.org/officeDocument/2006/relationships/hyperlink" Target="https://doi.org/10.1186/s12859-015-0564-6" TargetMode="External"/><Relationship Id="rId35" Type="http://schemas.openxmlformats.org/officeDocument/2006/relationships/hyperlink" Target="https://arxiv.org/abs/1909.06146" TargetMode="External"/><Relationship Id="rId36" Type="http://schemas.openxmlformats.org/officeDocument/2006/relationships/hyperlink" Target="https://doi.org/10.1038/s41586-023-06291-2" TargetMode="External"/><Relationship Id="rId37" Type="http://schemas.openxmlformats.org/officeDocument/2006/relationships/hyperlink" Target="https://doi.org/10.1038/s41591-024-03423-7" TargetMode="External"/><Relationship Id="rId38" Type="http://schemas.openxmlformats.org/officeDocument/2006/relationships/hyperlink" Target="https://arxiv.org/abs/2005.11401" TargetMode="External"/><Relationship Id="rId39" Type="http://schemas.openxmlformats.org/officeDocument/2006/relationships/hyperlink" Target="https://doi.org/10.1056/AIoa2300068" TargetMode="External"/><Relationship Id="rId40" Type="http://schemas.openxmlformats.org/officeDocument/2006/relationships/hyperlink" Target="https://arxiv.org/abs/2411.00300" TargetMode="External"/><Relationship Id="rId41" Type="http://schemas.openxmlformats.org/officeDocument/2006/relationships/hyperlink" Target="https://doi.org/10.2196/84932" TargetMode="External"/><Relationship Id="rId42" Type="http://schemas.openxmlformats.org/officeDocument/2006/relationships/hyperlink" Target="https://doi.org/10.1186/s12913-026-14851-1" TargetMode="External"/><Relationship Id="rId43" Type="http://schemas.openxmlformats.org/officeDocument/2006/relationships/hyperlink" Target="https://doi.org/10.1016/j.jpi.2025.100520" TargetMode="External"/><Relationship Id="rId44" Type="http://schemas.openxmlformats.org/officeDocument/2006/relationships/hyperlink" Target="https://doi.org/10.1093/bioinformatics/btz682" TargetMode="External"/><Relationship Id="rId45" Type="http://schemas.openxmlformats.org/officeDocument/2006/relationships/hyperlink" Target="https://arxiv.org/abs/2010.11784" TargetMode="External"/><Relationship Id="rId46" Type="http://schemas.openxmlformats.org/officeDocument/2006/relationships/hyperlink" Target="https://www.sciencedirect.com/science/article/pii/S1532046421003099" TargetMode="External"/><Relationship Id="rId47" Type="http://schemas.openxmlformats.org/officeDocument/2006/relationships/hyperlink" Target="https://arxiv.org/abs/2601.21340" TargetMode="External"/><Relationship Id="rId48" Type="http://schemas.openxmlformats.org/officeDocument/2006/relationships/hyperlink" Target="https://doi.org/10.1177/20552076251348850" TargetMode="External"/><Relationship Id="rId49" Type="http://schemas.openxmlformats.org/officeDocument/2006/relationships/hyperlink" Target="https://arxiv.org/abs/2405.07896" TargetMode="External"/><Relationship Id="rId50" Type="http://schemas.openxmlformats.org/officeDocument/2006/relationships/hyperlink" Target="https://dl.acm.org/doi/10.1145/257089.257391" TargetMode="External"/><Relationship Id="rId51" Type="http://schemas.openxmlformats.org/officeDocument/2006/relationships/hyperlink" Target="https://pubmed.ncbi.nlm.nih.gov/9929185/" TargetMode="External"/><Relationship Id="rId52" Type="http://schemas.openxmlformats.org/officeDocument/2006/relationships/hyperlink" Target="https://doi.org/10.1186/s12911-019-0885-x" TargetMode="External"/><Relationship Id="rId53" Type="http://schemas.openxmlformats.org/officeDocument/2006/relationships/hyperlink" Target="https://arxiv.org/abs/2306.14379" TargetMode="External"/><Relationship Id="rId54" Type="http://schemas.openxmlformats.org/officeDocument/2006/relationships/hyperlink" Target="https://doi.org/10.1055/a-2269-0995" TargetMode="External"/><Relationship Id="rId55" Type="http://schemas.openxmlformats.org/officeDocument/2006/relationships/hyperlink" Target="https://doi.org/10.1093/bioinformatics/btz409" TargetMode="External"/><Relationship Id="rId56" Type="http://schemas.openxmlformats.org/officeDocument/2006/relationships/hyperlink" Target="https://doi.org/10.2196/14272" TargetMode="External"/><Relationship Id="rId57" Type="http://schemas.openxmlformats.org/officeDocument/2006/relationships/hyperlink" Target="https://doi.org/10.1093/jamia/ocag064" TargetMode="External"/><Relationship Id="rId58" Type="http://schemas.openxmlformats.org/officeDocument/2006/relationships/hyperlink" Target="https://doi.org/10.1136/bmj.m3216" TargetMode="External"/><Relationship Id="rId59" Type="http://schemas.openxmlformats.org/officeDocument/2006/relationships/hyperlink" Target="https://doi.org/10.1016/j.amjmed.2009.07.02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2026-09-18T09:51:53.996Z</dcterms:created>
  <dcterms:modified xsi:type="dcterms:W3CDTF">2026-09-18T09:51:53.996Z</dcterms:modified>
</cp:coreProperties>
</file>