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DocBot AI – System Flow Diagrams</w:t>
      </w:r>
    </w:p>
    <w:p>
      <w:pPr>
        <w:jc w:val="center"/>
      </w:pPr>
      <w:r>
        <w:t>Proposal diagrams based on the reviewed workflow specifications.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Figure 1 — Overall DocBot AI System Workflow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3685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685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28"/>
        </w:rPr>
        <w:t>Figure 2 — Evidence-Grounded Clinical QA / RAG Pipeline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561670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16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28"/>
        </w:rPr>
        <w:t>Figure 3 — Longitudinal Patient Monitoring Workflow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9926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92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28"/>
        </w:rPr>
        <w:t>Figure 4 — Overall System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800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0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28"/>
        </w:rPr>
        <w:t>Figure 5 — Data Flow / Information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99262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9262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