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jc w:val="center"/>
      </w:pPr>
      <w:r>
        <w:rPr>
          <w:rFonts w:ascii="Arial" w:hAnsi="Arial"/>
          <w:b/>
          <w:color w:val="D4A373"/>
          <w:sz w:val="20"/>
        </w:rPr>
        <w:t>NATIONAL PARKS INTERACTIVE PLATFORM</w:t>
      </w:r>
    </w:p>
    <w:p>
      <w:pPr>
        <w:spacing w:before="300" w:after="160"/>
        <w:jc w:val="center"/>
      </w:pPr>
      <w:r>
        <w:rPr>
          <w:rFonts w:ascii="Georgia" w:hAnsi="Georgia"/>
          <w:b/>
          <w:color w:val="111111"/>
          <w:sz w:val="76"/>
        </w:rPr>
        <w:t>WILDERNESS ECOSYSTEMS</w:t>
      </w:r>
    </w:p>
    <w:p>
      <w:pPr>
        <w:spacing w:after="800"/>
        <w:jc w:val="center"/>
      </w:pPr>
      <w:r>
        <w:rPr>
          <w:rFonts w:ascii="Arial" w:hAnsi="Arial"/>
          <w:i/>
          <w:color w:val="787878"/>
          <w:sz w:val="22"/>
        </w:rPr>
        <w:t>Advanced UI/UX Architectural Specification &amp; Content Management Manifest</w:t>
        <w:br/>
        <w:t>Redesigned Editorial Layout Standard</w:t>
      </w:r>
    </w:p>
    <w:p>
      <w:pPr>
        <w:spacing w:after="1200"/>
        <w:jc w:val="center"/>
      </w:pPr>
      <w:r>
        <w:rPr>
          <w:color w:val="E0A96D"/>
        </w:rPr>
        <w:t>—————————————————————————</w:t>
      </w:r>
    </w:p>
    <w:tbl>
      <w:tblPr>
        <w:tblW w:type="auto" w:w="0"/>
        <w:jc w:val="center"/>
        <w:tblLayout w:type="fixed"/>
        <w:tblLook w:firstColumn="1" w:firstRow="1" w:lastColumn="0" w:lastRow="0" w:noHBand="0" w:noVBand="1" w:val="04A0"/>
      </w:tblPr>
      <w:tblGrid>
        <w:gridCol w:w="4680"/>
        <w:gridCol w:w="4680"/>
      </w:tblGrid>
      <w:tr>
        <w:tc>
          <w:tcPr>
            <w:tcW w:type="dxa" w:w="3312"/>
            <w:shd w:fill="111111"/>
            <w:tcMar>
              <w:top w:w="90" w:type="dxa"/>
              <w:bottom w:w="90" w:type="dxa"/>
              <w:left w:w="140" w:type="dxa"/>
              <w:right w:w="140" w:type="dxa"/>
            </w:tcMar>
          </w:tcPr>
          <w:p>
            <w:pPr>
              <w:spacing w:after="0"/>
            </w:pPr>
            <w:r>
              <w:rPr>
                <w:rFonts w:ascii="Arial" w:hAnsi="Arial"/>
                <w:b/>
                <w:color w:val="FFFFFF"/>
                <w:sz w:val="19"/>
              </w:rPr>
              <w:t>Target Platform System</w:t>
            </w:r>
          </w:p>
        </w:tc>
        <w:tc>
          <w:tcPr>
            <w:tcW w:type="dxa" w:w="6048"/>
            <w:shd w:fill="FAF6F0"/>
            <w:tcMar>
              <w:top w:w="90" w:type="dxa"/>
              <w:bottom w:w="90" w:type="dxa"/>
              <w:left w:w="140" w:type="dxa"/>
              <w:right w:w="140" w:type="dxa"/>
            </w:tcMar>
          </w:tcPr>
          <w:p>
            <w:pPr>
              <w:spacing w:after="0"/>
            </w:pPr>
            <w:r>
              <w:rPr>
                <w:rFonts w:ascii="Arial" w:hAnsi="Arial"/>
                <w:color w:val="222222"/>
                <w:sz w:val="19"/>
              </w:rPr>
              <w:t>NATIONAL PARKS PORTAL - High-End Digital Sanctuary Hub</w:t>
            </w:r>
          </w:p>
        </w:tc>
      </w:tr>
      <w:tr>
        <w:tc>
          <w:tcPr>
            <w:tcW w:type="dxa" w:w="3312"/>
            <w:shd w:fill="111111"/>
            <w:tcMar>
              <w:top w:w="90" w:type="dxa"/>
              <w:bottom w:w="90" w:type="dxa"/>
              <w:left w:w="140" w:type="dxa"/>
              <w:right w:w="140" w:type="dxa"/>
            </w:tcMar>
          </w:tcPr>
          <w:p>
            <w:pPr>
              <w:spacing w:after="0"/>
            </w:pPr>
            <w:r>
              <w:rPr>
                <w:rFonts w:ascii="Arial" w:hAnsi="Arial"/>
                <w:b/>
                <w:color w:val="FFFFFF"/>
                <w:sz w:val="19"/>
              </w:rPr>
              <w:t>Engineering Framework</w:t>
            </w:r>
          </w:p>
        </w:tc>
        <w:tc>
          <w:tcPr>
            <w:tcW w:type="dxa" w:w="6048"/>
            <w:shd w:fill="FAF6F0"/>
            <w:tcMar>
              <w:top w:w="90" w:type="dxa"/>
              <w:bottom w:w="90" w:type="dxa"/>
              <w:left w:w="140" w:type="dxa"/>
              <w:right w:w="140" w:type="dxa"/>
            </w:tcMar>
          </w:tcPr>
          <w:p>
            <w:pPr>
              <w:spacing w:after="0"/>
            </w:pPr>
            <w:r>
              <w:rPr>
                <w:rFonts w:ascii="Arial" w:hAnsi="Arial"/>
                <w:color w:val="222222"/>
                <w:sz w:val="19"/>
              </w:rPr>
              <w:t>HTML5 Semantic Architecture, Premium CSS3 Grids, Vanilla JS ES6+ Layers</w:t>
            </w:r>
          </w:p>
        </w:tc>
      </w:tr>
      <w:tr>
        <w:tc>
          <w:tcPr>
            <w:tcW w:type="dxa" w:w="3312"/>
            <w:shd w:fill="111111"/>
            <w:tcMar>
              <w:top w:w="90" w:type="dxa"/>
              <w:bottom w:w="90" w:type="dxa"/>
              <w:left w:w="140" w:type="dxa"/>
              <w:right w:w="140" w:type="dxa"/>
            </w:tcMar>
          </w:tcPr>
          <w:p>
            <w:pPr>
              <w:spacing w:after="0"/>
            </w:pPr>
            <w:r>
              <w:rPr>
                <w:rFonts w:ascii="Arial" w:hAnsi="Arial"/>
                <w:b/>
                <w:color w:val="FFFFFF"/>
                <w:sz w:val="19"/>
              </w:rPr>
              <w:t>Core Aesthetic Philosophy</w:t>
            </w:r>
          </w:p>
        </w:tc>
        <w:tc>
          <w:tcPr>
            <w:tcW w:type="dxa" w:w="6048"/>
            <w:shd w:fill="FAF6F0"/>
            <w:tcMar>
              <w:top w:w="90" w:type="dxa"/>
              <w:bottom w:w="90" w:type="dxa"/>
              <w:left w:w="140" w:type="dxa"/>
              <w:right w:w="140" w:type="dxa"/>
            </w:tcMar>
          </w:tcPr>
          <w:p>
            <w:pPr>
              <w:spacing w:after="0"/>
            </w:pPr>
            <w:r>
              <w:rPr>
                <w:rFonts w:ascii="Arial" w:hAnsi="Arial"/>
                <w:color w:val="222222"/>
                <w:sz w:val="19"/>
              </w:rPr>
              <w:t>Luxury Editorial Minimalism, Glassmorphic UI Containers, Champagne Gold Profiles</w:t>
            </w:r>
          </w:p>
        </w:tc>
      </w:tr>
      <w:tr>
        <w:tc>
          <w:tcPr>
            <w:tcW w:type="dxa" w:w="3312"/>
            <w:shd w:fill="111111"/>
            <w:tcMar>
              <w:top w:w="90" w:type="dxa"/>
              <w:bottom w:w="90" w:type="dxa"/>
              <w:left w:w="140" w:type="dxa"/>
              <w:right w:w="140" w:type="dxa"/>
            </w:tcMar>
          </w:tcPr>
          <w:p>
            <w:pPr>
              <w:spacing w:after="0"/>
            </w:pPr>
            <w:r>
              <w:rPr>
                <w:rFonts w:ascii="Arial" w:hAnsi="Arial"/>
                <w:b/>
                <w:color w:val="FFFFFF"/>
                <w:sz w:val="19"/>
              </w:rPr>
              <w:t>Design Execution Model</w:t>
            </w:r>
          </w:p>
        </w:tc>
        <w:tc>
          <w:tcPr>
            <w:tcW w:type="dxa" w:w="6048"/>
            <w:shd w:fill="FAF6F0"/>
            <w:tcMar>
              <w:top w:w="90" w:type="dxa"/>
              <w:bottom w:w="90" w:type="dxa"/>
              <w:left w:w="140" w:type="dxa"/>
              <w:right w:w="140" w:type="dxa"/>
            </w:tcMar>
          </w:tcPr>
          <w:p>
            <w:pPr>
              <w:spacing w:after="0"/>
            </w:pPr>
            <w:r>
              <w:rPr>
                <w:rFonts w:ascii="Arial" w:hAnsi="Arial"/>
                <w:color w:val="222222"/>
                <w:sz w:val="19"/>
              </w:rPr>
              <w:t>Mobile-First Adaptive Fluid Framework with Hardware Accelerated Transitions</w:t>
            </w:r>
          </w:p>
        </w:tc>
      </w:tr>
      <w:tr>
        <w:tc>
          <w:tcPr>
            <w:tcW w:type="dxa" w:w="3312"/>
            <w:shd w:fill="111111"/>
            <w:tcMar>
              <w:top w:w="90" w:type="dxa"/>
              <w:bottom w:w="90" w:type="dxa"/>
              <w:left w:w="140" w:type="dxa"/>
              <w:right w:w="140" w:type="dxa"/>
            </w:tcMar>
          </w:tcPr>
          <w:p>
            <w:pPr>
              <w:spacing w:after="0"/>
            </w:pPr>
            <w:r>
              <w:rPr>
                <w:rFonts w:ascii="Arial" w:hAnsi="Arial"/>
                <w:b/>
                <w:color w:val="FFFFFF"/>
                <w:sz w:val="19"/>
              </w:rPr>
              <w:t>Redesign Production Standard</w:t>
            </w:r>
          </w:p>
        </w:tc>
        <w:tc>
          <w:tcPr>
            <w:tcW w:type="dxa" w:w="6048"/>
            <w:shd w:fill="FAF6F0"/>
            <w:tcMar>
              <w:top w:w="90" w:type="dxa"/>
              <w:bottom w:w="90" w:type="dxa"/>
              <w:left w:w="140" w:type="dxa"/>
              <w:right w:w="140" w:type="dxa"/>
            </w:tcMar>
          </w:tcPr>
          <w:p>
            <w:pPr>
              <w:spacing w:after="0"/>
            </w:pPr>
            <w:r>
              <w:rPr>
                <w:rFonts w:ascii="Arial" w:hAnsi="Arial"/>
                <w:color w:val="222222"/>
                <w:sz w:val="19"/>
              </w:rPr>
              <w:t>Senior Luxury Editorial Architecture Division</w:t>
            </w:r>
          </w:p>
        </w:tc>
      </w:tr>
    </w:tbl>
    <w:p>
      <w:r>
        <w:br w:type="page"/>
      </w:r>
    </w:p>
    <w:p>
      <w:pPr>
        <w:keepNext/>
        <w:spacing w:before="560" w:after="200"/>
      </w:pPr>
      <w:r>
        <w:rPr>
          <w:rFonts w:ascii="Georgia" w:hAnsi="Georgia"/>
          <w:b/>
          <w:color w:val="111111"/>
          <w:sz w:val="44"/>
        </w:rPr>
        <w:t>PAGE 01 — THE HOME LANDING PLATFORM</w:t>
      </w:r>
    </w:p>
    <w:p>
      <w:pPr>
        <w:spacing w:after="280"/>
      </w:pPr>
      <w:r>
        <w:rPr>
          <w:rFonts w:ascii="Arial" w:hAnsi="Arial"/>
          <w:sz w:val="22"/>
        </w:rPr>
        <w:t>The primary landing terminal functions as the digital storefront and ecosystem brand positioning framework. It features an advanced responsive layout overlay with immersive atmospheric backdrops, crisp typography, and fluid structural layers designed to establish deep engagement instantly upon site initialization.</w:t>
      </w:r>
    </w:p>
    <w:p>
      <w:pPr>
        <w:spacing w:after="160"/>
        <w:jc w:val="center"/>
      </w:pPr>
      <w:r>
        <w:drawing>
          <wp:inline xmlns:a="http://schemas.openxmlformats.org/drawingml/2006/main" xmlns:pic="http://schemas.openxmlformats.org/drawingml/2006/picture">
            <wp:extent cx="5486400" cy="2636044"/>
            <wp:docPr id="1" name="Picture 1"/>
            <wp:cNvGraphicFramePr>
              <a:graphicFrameLocks noChangeAspect="1"/>
            </wp:cNvGraphicFramePr>
            <a:graphic>
              <a:graphicData uri="http://schemas.openxmlformats.org/drawingml/2006/picture">
                <pic:pic>
                  <pic:nvPicPr>
                    <pic:cNvPr id="0" name="home.jpg"/>
                    <pic:cNvPicPr/>
                  </pic:nvPicPr>
                  <pic:blipFill>
                    <a:blip r:embed="rId9"/>
                    <a:stretch>
                      <a:fillRect/>
                    </a:stretch>
                  </pic:blipFill>
                  <pic:spPr>
                    <a:xfrm>
                      <a:off x="0" y="0"/>
                      <a:ext cx="5486400" cy="2636044"/>
                    </a:xfrm>
                    <a:prstGeom prst="rect"/>
                  </pic:spPr>
                </pic:pic>
              </a:graphicData>
            </a:graphic>
          </wp:inline>
        </w:drawing>
      </w:r>
    </w:p>
    <w:p>
      <w:pPr>
        <w:spacing w:after="400"/>
        <w:jc w:val="center"/>
      </w:pPr>
      <w:r>
        <w:rPr>
          <w:rFonts w:ascii="Arial" w:hAnsi="Arial"/>
          <w:i/>
          <w:color w:val="D4A373"/>
          <w:sz w:val="19"/>
        </w:rPr>
        <w:t>Figure 1.1: Premium Wilderness Portal Home Platform Layout Interface</w:t>
      </w:r>
    </w:p>
    <w:p>
      <w:pPr>
        <w:keepNext/>
        <w:spacing w:before="560" w:after="200"/>
      </w:pPr>
      <w:r>
        <w:rPr>
          <w:rFonts w:ascii="Georgia" w:hAnsi="Georgia"/>
          <w:b/>
          <w:color w:val="D4A373"/>
          <w:sz w:val="30"/>
        </w:rPr>
        <w:t>1.1 Key Technical Blueprint Modules</w:t>
      </w:r>
    </w:p>
    <w:tbl>
      <w:tblPr>
        <w:tblW w:type="auto" w:w="0"/>
        <w:jc w:val="center"/>
        <w:tblLook w:firstColumn="1" w:firstRow="1" w:lastColumn="0" w:lastRow="0" w:noHBand="0" w:noVBand="1" w:val="04A0"/>
      </w:tblPr>
      <w:tblGrid>
        <w:gridCol w:w="9360"/>
      </w:tblGrid>
      <w:tr>
        <w:tc>
          <w:tcPr>
            <w:tcW w:type="dxa" w:w="9360"/>
            <w:shd w:fill="FAF6F0"/>
            <w:tcMar>
              <w:top w:w="140" w:type="dxa"/>
              <w:bottom w:w="140" w:type="dxa"/>
              <w:left w:w="180" w:type="dxa"/>
              <w:right w:w="180" w:type="dxa"/>
            </w:tcMar>
          </w:tcPr>
          <w:p>
            <w:pPr>
              <w:spacing w:after="120"/>
            </w:pPr>
            <w:r>
              <w:rPr>
                <w:b/>
                <w:color w:val="111111"/>
              </w:rPr>
              <w:t xml:space="preserve">• Premium Glassmorphic Navigation Menu: </w:t>
            </w:r>
            <w:r>
              <w:t>Implements frosted overlay header layouts with 'backdrop-filter: blur(16px)' synchronization across active scroll views, responsive drawers, and vector icons.</w:t>
            </w:r>
          </w:p>
          <w:p>
            <w:pPr>
              <w:spacing w:after="0"/>
            </w:pPr>
            <w:r>
              <w:rPr>
                <w:b/>
                <w:color w:val="111111"/>
              </w:rPr>
              <w:t xml:space="preserve">• Hero Wilderness Presentation Canvas: </w:t>
            </w:r>
            <w:r>
              <w:t>An optimized hardware-accelerated carousel engine displaying high-fidelity natural preservation landscapes synced perfectly with serif headlines.</w:t>
            </w:r>
          </w:p>
        </w:tc>
      </w:tr>
    </w:tbl>
    <w:p>
      <w:r>
        <w:br w:type="page"/>
      </w:r>
    </w:p>
    <w:p>
      <w:pPr>
        <w:keepNext/>
        <w:spacing w:before="560" w:after="200"/>
      </w:pPr>
      <w:r>
        <w:rPr>
          <w:rFonts w:ascii="Georgia" w:hAnsi="Georgia"/>
          <w:b/>
          <w:color w:val="111111"/>
          <w:sz w:val="44"/>
        </w:rPr>
        <w:t>PAGE 02 — BRAND IDENTITY &amp; STRATEGIC MISSION</w:t>
      </w:r>
    </w:p>
    <w:p>
      <w:pPr>
        <w:spacing w:after="280"/>
      </w:pPr>
      <w:r>
        <w:rPr>
          <w:rFonts w:ascii="Arial" w:hAnsi="Arial"/>
          <w:sz w:val="22"/>
        </w:rPr>
        <w:t>The institutional identity architecture maps core natural conservancy ethos into an asymmetric layout matrix. It aligns biodiversity priorities, historical field research parameters, and modern wildlife defense infrastructure into balanced editorial spaces.</w:t>
      </w:r>
    </w:p>
    <w:p>
      <w:pPr>
        <w:spacing w:after="160"/>
        <w:jc w:val="center"/>
      </w:pPr>
      <w:r>
        <w:drawing>
          <wp:inline xmlns:a="http://schemas.openxmlformats.org/drawingml/2006/main" xmlns:pic="http://schemas.openxmlformats.org/drawingml/2006/picture">
            <wp:extent cx="5486400" cy="2544961"/>
            <wp:docPr id="2" name="Picture 2"/>
            <wp:cNvGraphicFramePr>
              <a:graphicFrameLocks noChangeAspect="1"/>
            </wp:cNvGraphicFramePr>
            <a:graphic>
              <a:graphicData uri="http://schemas.openxmlformats.org/drawingml/2006/picture">
                <pic:pic>
                  <pic:nvPicPr>
                    <pic:cNvPr id="0" name="about.jpg"/>
                    <pic:cNvPicPr/>
                  </pic:nvPicPr>
                  <pic:blipFill>
                    <a:blip r:embed="rId10"/>
                    <a:stretch>
                      <a:fillRect/>
                    </a:stretch>
                  </pic:blipFill>
                  <pic:spPr>
                    <a:xfrm>
                      <a:off x="0" y="0"/>
                      <a:ext cx="5486400" cy="2544961"/>
                    </a:xfrm>
                    <a:prstGeom prst="rect"/>
                  </pic:spPr>
                </pic:pic>
              </a:graphicData>
            </a:graphic>
          </wp:inline>
        </w:drawing>
      </w:r>
    </w:p>
    <w:p>
      <w:pPr>
        <w:spacing w:after="400"/>
        <w:jc w:val="center"/>
      </w:pPr>
      <w:r>
        <w:rPr>
          <w:rFonts w:ascii="Arial" w:hAnsi="Arial"/>
          <w:i/>
          <w:sz w:val="19"/>
        </w:rPr>
        <w:t>Figure 2.1: Guardians of Nature Dedicated Strategic Mission System</w:t>
      </w:r>
    </w:p>
    <w:p>
      <w:r>
        <w:br w:type="page"/>
      </w:r>
    </w:p>
    <w:p>
      <w:pPr>
        <w:keepNext/>
        <w:spacing w:before="560" w:after="200"/>
      </w:pPr>
      <w:r>
        <w:rPr>
          <w:rFonts w:ascii="Georgia" w:hAnsi="Georgia"/>
          <w:b/>
          <w:color w:val="111111"/>
          <w:sz w:val="44"/>
        </w:rPr>
        <w:t>PAGE 03 — INTERACTIVE PARKS CATALOGUE &amp; HUB MAPS</w:t>
      </w:r>
    </w:p>
    <w:p>
      <w:pPr>
        <w:spacing w:after="280"/>
      </w:pPr>
      <w:r>
        <w:t>The operational core of the Parks Catalogue relies on asynchronous geographic filtering algorithms. Users can seamlessly query real-time natural zone vectors directly through modern card interfaces.</w:t>
      </w:r>
    </w:p>
    <w:p>
      <w:pPr>
        <w:jc w:val="center"/>
      </w:pPr>
      <w:r>
        <w:drawing>
          <wp:inline xmlns:a="http://schemas.openxmlformats.org/drawingml/2006/main" xmlns:pic="http://schemas.openxmlformats.org/drawingml/2006/picture">
            <wp:extent cx="5303520" cy="2542996"/>
            <wp:docPr id="3" name="Picture 3"/>
            <wp:cNvGraphicFramePr>
              <a:graphicFrameLocks noChangeAspect="1"/>
            </wp:cNvGraphicFramePr>
            <a:graphic>
              <a:graphicData uri="http://schemas.openxmlformats.org/drawingml/2006/picture">
                <pic:pic>
                  <pic:nvPicPr>
                    <pic:cNvPr id="0" name="park list.jpg"/>
                    <pic:cNvPicPr/>
                  </pic:nvPicPr>
                  <pic:blipFill>
                    <a:blip r:embed="rId11"/>
                    <a:stretch>
                      <a:fillRect/>
                    </a:stretch>
                  </pic:blipFill>
                  <pic:spPr>
                    <a:xfrm>
                      <a:off x="0" y="0"/>
                      <a:ext cx="5303520" cy="2542996"/>
                    </a:xfrm>
                    <a:prstGeom prst="rect"/>
                  </pic:spPr>
                </pic:pic>
              </a:graphicData>
            </a:graphic>
          </wp:inline>
        </w:drawing>
      </w:r>
    </w:p>
    <w:p>
      <w:pPr>
        <w:spacing w:after="320"/>
        <w:jc w:val="center"/>
      </w:pPr>
      <w:r>
        <w:rPr>
          <w:i/>
        </w:rPr>
        <w:t>Figure 3.1: Interactive Explorer Hub Cataloguing Grid Layout</w:t>
      </w:r>
    </w:p>
    <w:p>
      <w:pPr>
        <w:jc w:val="center"/>
      </w:pPr>
      <w:r>
        <w:drawing>
          <wp:inline xmlns:a="http://schemas.openxmlformats.org/drawingml/2006/main" xmlns:pic="http://schemas.openxmlformats.org/drawingml/2006/picture">
            <wp:extent cx="5303520" cy="2563713"/>
            <wp:docPr id="4" name="Picture 4"/>
            <wp:cNvGraphicFramePr>
              <a:graphicFrameLocks noChangeAspect="1"/>
            </wp:cNvGraphicFramePr>
            <a:graphic>
              <a:graphicData uri="http://schemas.openxmlformats.org/drawingml/2006/picture">
                <pic:pic>
                  <pic:nvPicPr>
                    <pic:cNvPr id="0" name="map.jpg"/>
                    <pic:cNvPicPr/>
                  </pic:nvPicPr>
                  <pic:blipFill>
                    <a:blip r:embed="rId12"/>
                    <a:stretch>
                      <a:fillRect/>
                    </a:stretch>
                  </pic:blipFill>
                  <pic:spPr>
                    <a:xfrm>
                      <a:off x="0" y="0"/>
                      <a:ext cx="5303520" cy="2563713"/>
                    </a:xfrm>
                    <a:prstGeom prst="rect"/>
                  </pic:spPr>
                </pic:pic>
              </a:graphicData>
            </a:graphic>
          </wp:inline>
        </w:drawing>
      </w:r>
    </w:p>
    <w:p>
      <w:pPr>
        <w:spacing w:after="400"/>
        <w:jc w:val="center"/>
      </w:pPr>
      <w:r>
        <w:rPr>
          <w:i/>
        </w:rPr>
        <w:t>Figure 3.2: Geographic Spatial Boundary Vectors &amp; Interactive Map System</w:t>
      </w:r>
    </w:p>
    <w:p>
      <w:pPr>
        <w:keepNext/>
        <w:spacing w:before="560" w:after="200"/>
      </w:pPr>
      <w:r>
        <w:rPr>
          <w:rFonts w:ascii="Georgia" w:hAnsi="Georgia"/>
          <w:b/>
          <w:color w:val="D4A373"/>
          <w:sz w:val="30"/>
        </w:rPr>
        <w:t>3.1 Geographic Cataloguing Metrics Matrix</w:t>
      </w:r>
    </w:p>
    <w:tbl>
      <w:tblPr>
        <w:tblW w:type="auto" w:w="0"/>
        <w:jc w:val="center"/>
        <w:tblLook w:firstColumn="1" w:firstRow="1" w:lastColumn="0" w:lastRow="0" w:noHBand="0" w:noVBand="1" w:val="04A0"/>
      </w:tblPr>
      <w:tblGrid>
        <w:gridCol w:w="2340"/>
        <w:gridCol w:w="2340"/>
        <w:gridCol w:w="2340"/>
        <w:gridCol w:w="2340"/>
      </w:tblGrid>
      <w:tr>
        <w:tc>
          <w:tcPr>
            <w:tcW w:type="dxa" w:w="2160"/>
            <w:shd w:fill="111111"/>
            <w:tcMar>
              <w:top w:w="100" w:type="dxa"/>
              <w:bottom w:w="100" w:type="dxa"/>
              <w:left w:w="120" w:type="dxa"/>
              <w:right w:w="120" w:type="dxa"/>
            </w:tcMar>
          </w:tcPr>
          <w:p>
            <w:r>
              <w:rPr>
                <w:b/>
                <w:color w:val="FFFFFF"/>
                <w:sz w:val="19"/>
              </w:rPr>
              <w:t>Park Profile Class</w:t>
            </w:r>
          </w:p>
        </w:tc>
        <w:tc>
          <w:tcPr>
            <w:tcW w:type="dxa" w:w="1728"/>
            <w:shd w:fill="111111"/>
            <w:tcMar>
              <w:top w:w="100" w:type="dxa"/>
              <w:bottom w:w="100" w:type="dxa"/>
              <w:left w:w="120" w:type="dxa"/>
              <w:right w:w="120" w:type="dxa"/>
            </w:tcMar>
          </w:tcPr>
          <w:p>
            <w:r>
              <w:rPr>
                <w:b/>
                <w:color w:val="FFFFFF"/>
                <w:sz w:val="19"/>
              </w:rPr>
              <w:t>Regional Tier</w:t>
            </w:r>
          </w:p>
        </w:tc>
        <w:tc>
          <w:tcPr>
            <w:tcW w:type="dxa" w:w="1872"/>
            <w:shd w:fill="111111"/>
            <w:tcMar>
              <w:top w:w="100" w:type="dxa"/>
              <w:bottom w:w="100" w:type="dxa"/>
              <w:left w:w="120" w:type="dxa"/>
              <w:right w:w="120" w:type="dxa"/>
            </w:tcMar>
          </w:tcPr>
          <w:p>
            <w:r>
              <w:rPr>
                <w:b/>
                <w:color w:val="FFFFFF"/>
                <w:sz w:val="19"/>
              </w:rPr>
              <w:t>Base Allocation Scale</w:t>
            </w:r>
          </w:p>
        </w:tc>
        <w:tc>
          <w:tcPr>
            <w:tcW w:type="dxa" w:w="3600"/>
            <w:shd w:fill="111111"/>
            <w:tcMar>
              <w:top w:w="100" w:type="dxa"/>
              <w:bottom w:w="100" w:type="dxa"/>
              <w:left w:w="120" w:type="dxa"/>
              <w:right w:w="120" w:type="dxa"/>
            </w:tcMar>
          </w:tcPr>
          <w:p>
            <w:r>
              <w:rPr>
                <w:b/>
                <w:color w:val="FFFFFF"/>
                <w:sz w:val="19"/>
              </w:rPr>
              <w:t>Functional Architectural Traits</w:t>
            </w:r>
          </w:p>
        </w:tc>
      </w:tr>
      <w:tr>
        <w:tc>
          <w:tcPr>
            <w:tcW w:type="dxa" w:w="2160"/>
            <w:shd w:fill="FFFFFF"/>
            <w:tcMar>
              <w:top w:w="90" w:type="dxa"/>
              <w:bottom w:w="90" w:type="dxa"/>
              <w:left w:w="110" w:type="dxa"/>
              <w:right w:w="110" w:type="dxa"/>
            </w:tcMar>
          </w:tcPr>
          <w:p>
            <w:r>
              <w:rPr>
                <w:rFonts w:ascii="Arial" w:hAnsi="Arial"/>
                <w:b/>
                <w:sz w:val="18"/>
              </w:rPr>
              <w:t>Alpine / Cordillera</w:t>
            </w:r>
          </w:p>
        </w:tc>
        <w:tc>
          <w:tcPr>
            <w:tcW w:type="dxa" w:w="1728"/>
            <w:shd w:fill="FFFFFF"/>
            <w:tcMar>
              <w:top w:w="90" w:type="dxa"/>
              <w:bottom w:w="90" w:type="dxa"/>
              <w:left w:w="110" w:type="dxa"/>
              <w:right w:w="110" w:type="dxa"/>
            </w:tcMar>
          </w:tcPr>
          <w:p>
            <w:r>
              <w:rPr>
                <w:rFonts w:ascii="Arial" w:hAnsi="Arial"/>
                <w:sz w:val="18"/>
              </w:rPr>
              <w:t>Tier-1 Wilderness</w:t>
            </w:r>
          </w:p>
        </w:tc>
        <w:tc>
          <w:tcPr>
            <w:tcW w:type="dxa" w:w="1872"/>
            <w:shd w:fill="FFFFFF"/>
            <w:tcMar>
              <w:top w:w="90" w:type="dxa"/>
              <w:bottom w:w="90" w:type="dxa"/>
              <w:left w:w="110" w:type="dxa"/>
              <w:right w:w="110" w:type="dxa"/>
            </w:tcMar>
          </w:tcPr>
          <w:p>
            <w:r>
              <w:rPr>
                <w:rFonts w:ascii="Arial" w:hAnsi="Arial"/>
                <w:sz w:val="18"/>
              </w:rPr>
              <w:t>USD 4.5M Base</w:t>
            </w:r>
          </w:p>
        </w:tc>
        <w:tc>
          <w:tcPr>
            <w:tcW w:type="dxa" w:w="3600"/>
            <w:shd w:fill="FFFFFF"/>
            <w:tcMar>
              <w:top w:w="90" w:type="dxa"/>
              <w:bottom w:w="90" w:type="dxa"/>
              <w:left w:w="110" w:type="dxa"/>
              <w:right w:w="110" w:type="dxa"/>
            </w:tcMar>
          </w:tcPr>
          <w:p>
            <w:r>
              <w:rPr>
                <w:rFonts w:ascii="Arial" w:hAnsi="Arial"/>
                <w:sz w:val="18"/>
              </w:rPr>
              <w:t>High-performance tracking nodes, asset routing, responsive field logging layouts.</w:t>
            </w:r>
          </w:p>
        </w:tc>
      </w:tr>
      <w:tr>
        <w:tc>
          <w:tcPr>
            <w:tcW w:type="dxa" w:w="2160"/>
            <w:shd w:fill="FAF6F0"/>
            <w:tcMar>
              <w:top w:w="90" w:type="dxa"/>
              <w:bottom w:w="90" w:type="dxa"/>
              <w:left w:w="110" w:type="dxa"/>
              <w:right w:w="110" w:type="dxa"/>
            </w:tcMar>
          </w:tcPr>
          <w:p>
            <w:r>
              <w:rPr>
                <w:rFonts w:ascii="Arial" w:hAnsi="Arial"/>
                <w:b/>
                <w:sz w:val="18"/>
              </w:rPr>
              <w:t>Savannah Ecosystem</w:t>
            </w:r>
          </w:p>
        </w:tc>
        <w:tc>
          <w:tcPr>
            <w:tcW w:type="dxa" w:w="1728"/>
            <w:shd w:fill="FAF6F0"/>
            <w:tcMar>
              <w:top w:w="90" w:type="dxa"/>
              <w:bottom w:w="90" w:type="dxa"/>
              <w:left w:w="110" w:type="dxa"/>
              <w:right w:w="110" w:type="dxa"/>
            </w:tcMar>
          </w:tcPr>
          <w:p>
            <w:r>
              <w:rPr>
                <w:rFonts w:ascii="Arial" w:hAnsi="Arial"/>
                <w:sz w:val="18"/>
              </w:rPr>
              <w:t>Tier-1 Wildlife</w:t>
            </w:r>
          </w:p>
        </w:tc>
        <w:tc>
          <w:tcPr>
            <w:tcW w:type="dxa" w:w="1872"/>
            <w:shd w:fill="FAF6F0"/>
            <w:tcMar>
              <w:top w:w="90" w:type="dxa"/>
              <w:bottom w:w="90" w:type="dxa"/>
              <w:left w:w="110" w:type="dxa"/>
              <w:right w:w="110" w:type="dxa"/>
            </w:tcMar>
          </w:tcPr>
          <w:p>
            <w:r>
              <w:rPr>
                <w:rFonts w:ascii="Arial" w:hAnsi="Arial"/>
                <w:sz w:val="18"/>
              </w:rPr>
              <w:t>USD 6.2M Allocation</w:t>
            </w:r>
          </w:p>
        </w:tc>
        <w:tc>
          <w:tcPr>
            <w:tcW w:type="dxa" w:w="3600"/>
            <w:shd w:fill="FAF6F0"/>
            <w:tcMar>
              <w:top w:w="90" w:type="dxa"/>
              <w:bottom w:w="90" w:type="dxa"/>
              <w:left w:w="110" w:type="dxa"/>
              <w:right w:w="110" w:type="dxa"/>
            </w:tcMar>
          </w:tcPr>
          <w:p>
            <w:r>
              <w:rPr>
                <w:rFonts w:ascii="Arial" w:hAnsi="Arial"/>
                <w:sz w:val="18"/>
              </w:rPr>
              <w:t>Dynamic thermal sensor clustering, interactive migration map arrays, automated API arrays.</w:t>
            </w:r>
          </w:p>
        </w:tc>
      </w:tr>
      <w:tr>
        <w:tc>
          <w:tcPr>
            <w:tcW w:type="dxa" w:w="2160"/>
            <w:shd w:fill="FFFFFF"/>
            <w:tcMar>
              <w:top w:w="90" w:type="dxa"/>
              <w:bottom w:w="90" w:type="dxa"/>
              <w:left w:w="110" w:type="dxa"/>
              <w:right w:w="110" w:type="dxa"/>
            </w:tcMar>
          </w:tcPr>
          <w:p>
            <w:r>
              <w:rPr>
                <w:rFonts w:ascii="Arial" w:hAnsi="Arial"/>
                <w:b/>
                <w:sz w:val="18"/>
              </w:rPr>
              <w:t>Marine Preservation</w:t>
            </w:r>
          </w:p>
        </w:tc>
        <w:tc>
          <w:tcPr>
            <w:tcW w:type="dxa" w:w="1728"/>
            <w:shd w:fill="FFFFFF"/>
            <w:tcMar>
              <w:top w:w="90" w:type="dxa"/>
              <w:bottom w:w="90" w:type="dxa"/>
              <w:left w:w="110" w:type="dxa"/>
              <w:right w:w="110" w:type="dxa"/>
            </w:tcMar>
          </w:tcPr>
          <w:p>
            <w:r>
              <w:rPr>
                <w:rFonts w:ascii="Arial" w:hAnsi="Arial"/>
                <w:sz w:val="18"/>
              </w:rPr>
              <w:t>Tier-2 Sanctuary</w:t>
            </w:r>
          </w:p>
        </w:tc>
        <w:tc>
          <w:tcPr>
            <w:tcW w:type="dxa" w:w="1872"/>
            <w:shd w:fill="FFFFFF"/>
            <w:tcMar>
              <w:top w:w="90" w:type="dxa"/>
              <w:bottom w:w="90" w:type="dxa"/>
              <w:left w:w="110" w:type="dxa"/>
              <w:right w:w="110" w:type="dxa"/>
            </w:tcMar>
          </w:tcPr>
          <w:p>
            <w:r>
              <w:rPr>
                <w:rFonts w:ascii="Arial" w:hAnsi="Arial"/>
                <w:sz w:val="18"/>
              </w:rPr>
              <w:t>USD 3.1M Funding</w:t>
            </w:r>
          </w:p>
        </w:tc>
        <w:tc>
          <w:tcPr>
            <w:tcW w:type="dxa" w:w="3600"/>
            <w:shd w:fill="FFFFFF"/>
            <w:tcMar>
              <w:top w:w="90" w:type="dxa"/>
              <w:bottom w:w="90" w:type="dxa"/>
              <w:left w:w="110" w:type="dxa"/>
              <w:right w:w="110" w:type="dxa"/>
            </w:tcMar>
          </w:tcPr>
          <w:p>
            <w:r>
              <w:rPr>
                <w:rFonts w:ascii="Arial" w:hAnsi="Arial"/>
                <w:sz w:val="18"/>
              </w:rPr>
              <w:t>Asynchronous hydrology reporting grids, real-time coastal tier matrix mapping, 100% secure.</w:t>
            </w:r>
          </w:p>
        </w:tc>
      </w:tr>
    </w:tbl>
    <w:p>
      <w:r>
        <w:br w:type="page"/>
      </w:r>
    </w:p>
    <w:p>
      <w:pPr>
        <w:keepNext/>
        <w:spacing w:before="560" w:after="200"/>
      </w:pPr>
      <w:r>
        <w:rPr>
          <w:rFonts w:ascii="Georgia" w:hAnsi="Georgia"/>
          <w:b/>
          <w:color w:val="111111"/>
          <w:sz w:val="44"/>
        </w:rPr>
        <w:t>PAGE 04 — WILDLIFE ENCYCLOPEDIA &amp; ANIMAL PATHWAYS</w:t>
      </w:r>
    </w:p>
    <w:p>
      <w:pPr>
        <w:spacing w:after="280"/>
      </w:pPr>
      <w:r>
        <w:t>To ensure specialized biological validation and enhance data discovery, this subsystem maps endangered species data dynamically against categorical view arrays.</w:t>
      </w:r>
    </w:p>
    <w:p>
      <w:pPr>
        <w:jc w:val="center"/>
      </w:pPr>
      <w:r>
        <w:drawing>
          <wp:inline xmlns:a="http://schemas.openxmlformats.org/drawingml/2006/main" xmlns:pic="http://schemas.openxmlformats.org/drawingml/2006/picture">
            <wp:extent cx="4389120" cy="1423035"/>
            <wp:docPr id="5" name="Picture 5"/>
            <wp:cNvGraphicFramePr>
              <a:graphicFrameLocks noChangeAspect="1"/>
            </wp:cNvGraphicFramePr>
            <a:graphic>
              <a:graphicData uri="http://schemas.openxmlformats.org/drawingml/2006/picture">
                <pic:pic>
                  <pic:nvPicPr>
                    <pic:cNvPr id="0" name="animal info.jpg"/>
                    <pic:cNvPicPr/>
                  </pic:nvPicPr>
                  <pic:blipFill>
                    <a:blip r:embed="rId13"/>
                    <a:stretch>
                      <a:fillRect/>
                    </a:stretch>
                  </pic:blipFill>
                  <pic:spPr>
                    <a:xfrm>
                      <a:off x="0" y="0"/>
                      <a:ext cx="4389120" cy="1423035"/>
                    </a:xfrm>
                    <a:prstGeom prst="rect"/>
                  </pic:spPr>
                </pic:pic>
              </a:graphicData>
            </a:graphic>
          </wp:inline>
        </w:drawing>
      </w:r>
    </w:p>
    <w:p>
      <w:pPr>
        <w:jc w:val="center"/>
      </w:pPr>
      <w:r>
        <w:rPr>
          <w:i/>
        </w:rPr>
        <w:t>Figure 4.1: General Biosphere Animal Taxonomic Profiles</w:t>
      </w:r>
    </w:p>
    <w:p>
      <w:pPr>
        <w:jc w:val="center"/>
      </w:pPr>
      <w:r>
        <w:drawing>
          <wp:inline xmlns:a="http://schemas.openxmlformats.org/drawingml/2006/main" xmlns:pic="http://schemas.openxmlformats.org/drawingml/2006/picture">
            <wp:extent cx="4389120" cy="2010251"/>
            <wp:docPr id="6" name="Picture 6"/>
            <wp:cNvGraphicFramePr>
              <a:graphicFrameLocks noChangeAspect="1"/>
            </wp:cNvGraphicFramePr>
            <a:graphic>
              <a:graphicData uri="http://schemas.openxmlformats.org/drawingml/2006/picture">
                <pic:pic>
                  <pic:nvPicPr>
                    <pic:cNvPr id="0" name="mammals.jpg"/>
                    <pic:cNvPicPr/>
                  </pic:nvPicPr>
                  <pic:blipFill>
                    <a:blip r:embed="rId14"/>
                    <a:stretch>
                      <a:fillRect/>
                    </a:stretch>
                  </pic:blipFill>
                  <pic:spPr>
                    <a:xfrm>
                      <a:off x="0" y="0"/>
                      <a:ext cx="4389120" cy="2010251"/>
                    </a:xfrm>
                    <a:prstGeom prst="rect"/>
                  </pic:spPr>
                </pic:pic>
              </a:graphicData>
            </a:graphic>
          </wp:inline>
        </w:drawing>
      </w:r>
    </w:p>
    <w:p>
      <w:pPr>
        <w:jc w:val="center"/>
      </w:pPr>
      <w:r>
        <w:rPr>
          <w:i/>
        </w:rPr>
        <w:t>Figure 4.2: Mammalia Specialized Species Categorization Layout</w:t>
      </w:r>
    </w:p>
    <w:p>
      <w:pPr>
        <w:jc w:val="center"/>
      </w:pPr>
      <w:r>
        <w:drawing>
          <wp:inline xmlns:a="http://schemas.openxmlformats.org/drawingml/2006/main" xmlns:pic="http://schemas.openxmlformats.org/drawingml/2006/picture">
            <wp:extent cx="4389120" cy="2061686"/>
            <wp:docPr id="7" name="Picture 7"/>
            <wp:cNvGraphicFramePr>
              <a:graphicFrameLocks noChangeAspect="1"/>
            </wp:cNvGraphicFramePr>
            <a:graphic>
              <a:graphicData uri="http://schemas.openxmlformats.org/drawingml/2006/picture">
                <pic:pic>
                  <pic:nvPicPr>
                    <pic:cNvPr id="0" name="rare.jpg"/>
                    <pic:cNvPicPr/>
                  </pic:nvPicPr>
                  <pic:blipFill>
                    <a:blip r:embed="rId15"/>
                    <a:stretch>
                      <a:fillRect/>
                    </a:stretch>
                  </pic:blipFill>
                  <pic:spPr>
                    <a:xfrm>
                      <a:off x="0" y="0"/>
                      <a:ext cx="4389120" cy="2061686"/>
                    </a:xfrm>
                    <a:prstGeom prst="rect"/>
                  </pic:spPr>
                </pic:pic>
              </a:graphicData>
            </a:graphic>
          </wp:inline>
        </w:drawing>
      </w:r>
    </w:p>
    <w:p>
      <w:pPr>
        <w:jc w:val="center"/>
      </w:pPr>
      <w:r>
        <w:rPr>
          <w:i/>
        </w:rPr>
        <w:t>Figure 4.3: Vulnerable &amp; Critically Rare Organism Tracking</w:t>
      </w:r>
    </w:p>
    <w:p>
      <w:pPr>
        <w:jc w:val="center"/>
      </w:pPr>
      <w:r>
        <w:drawing>
          <wp:inline xmlns:a="http://schemas.openxmlformats.org/drawingml/2006/main" xmlns:pic="http://schemas.openxmlformats.org/drawingml/2006/picture">
            <wp:extent cx="4389120" cy="2100262"/>
            <wp:docPr id="8" name="Picture 8"/>
            <wp:cNvGraphicFramePr>
              <a:graphicFrameLocks noChangeAspect="1"/>
            </wp:cNvGraphicFramePr>
            <a:graphic>
              <a:graphicData uri="http://schemas.openxmlformats.org/drawingml/2006/picture">
                <pic:pic>
                  <pic:nvPicPr>
                    <pic:cNvPr id="0" name="birds.jpg"/>
                    <pic:cNvPicPr/>
                  </pic:nvPicPr>
                  <pic:blipFill>
                    <a:blip r:embed="rId16"/>
                    <a:stretch>
                      <a:fillRect/>
                    </a:stretch>
                  </pic:blipFill>
                  <pic:spPr>
                    <a:xfrm>
                      <a:off x="0" y="0"/>
                      <a:ext cx="4389120" cy="2100262"/>
                    </a:xfrm>
                    <a:prstGeom prst="rect"/>
                  </pic:spPr>
                </pic:pic>
              </a:graphicData>
            </a:graphic>
          </wp:inline>
        </w:drawing>
      </w:r>
    </w:p>
    <w:p>
      <w:pPr>
        <w:jc w:val="center"/>
      </w:pPr>
      <w:r>
        <w:rPr>
          <w:i/>
        </w:rPr>
        <w:t>Figure 4.4: Avian Biodiversity Information Module System</w:t>
      </w:r>
    </w:p>
    <w:p>
      <w:r>
        <w:br w:type="page"/>
      </w:r>
    </w:p>
    <w:p>
      <w:pPr>
        <w:keepNext/>
        <w:spacing w:before="560" w:after="200"/>
      </w:pPr>
      <w:r>
        <w:rPr>
          <w:rFonts w:ascii="Georgia" w:hAnsi="Georgia"/>
          <w:b/>
          <w:color w:val="111111"/>
          <w:sz w:val="44"/>
        </w:rPr>
        <w:t>PAGE 05 — COMMUNICATIONS TERMINAL &amp; CONTACT NETWORKS</w:t>
      </w:r>
    </w:p>
    <w:p>
      <w:r>
        <w:t>The communications matrix maps validated real-time input fields with high-end premium aesthetics, precise alignment grids, and beautiful focal lines.</w:t>
      </w:r>
    </w:p>
    <w:p>
      <w:pPr>
        <w:jc w:val="center"/>
      </w:pPr>
      <w:r>
        <w:drawing>
          <wp:inline xmlns:a="http://schemas.openxmlformats.org/drawingml/2006/main" xmlns:pic="http://schemas.openxmlformats.org/drawingml/2006/picture">
            <wp:extent cx="5029200" cy="2259211"/>
            <wp:docPr id="9" name="Picture 9"/>
            <wp:cNvGraphicFramePr>
              <a:graphicFrameLocks noChangeAspect="1"/>
            </wp:cNvGraphicFramePr>
            <a:graphic>
              <a:graphicData uri="http://schemas.openxmlformats.org/drawingml/2006/picture">
                <pic:pic>
                  <pic:nvPicPr>
                    <pic:cNvPr id="0" name="contact.jpg"/>
                    <pic:cNvPicPr/>
                  </pic:nvPicPr>
                  <pic:blipFill>
                    <a:blip r:embed="rId17"/>
                    <a:stretch>
                      <a:fillRect/>
                    </a:stretch>
                  </pic:blipFill>
                  <pic:spPr>
                    <a:xfrm>
                      <a:off x="0" y="0"/>
                      <a:ext cx="5029200" cy="2259211"/>
                    </a:xfrm>
                    <a:prstGeom prst="rect"/>
                  </pic:spPr>
                </pic:pic>
              </a:graphicData>
            </a:graphic>
          </wp:inline>
        </w:drawing>
      </w:r>
    </w:p>
    <w:p>
      <w:pPr>
        <w:jc w:val="center"/>
      </w:pPr>
      <w:r>
        <w:rPr>
          <w:i/>
        </w:rPr>
        <w:t>Figure 5.1: Primary Communications Gateway Interface</w:t>
      </w:r>
    </w:p>
    <w:p>
      <w:pPr>
        <w:jc w:val="center"/>
      </w:pPr>
      <w:r>
        <w:drawing>
          <wp:inline xmlns:a="http://schemas.openxmlformats.org/drawingml/2006/main" xmlns:pic="http://schemas.openxmlformats.org/drawingml/2006/picture">
            <wp:extent cx="5029200" cy="1958541"/>
            <wp:docPr id="10" name="Picture 10"/>
            <wp:cNvGraphicFramePr>
              <a:graphicFrameLocks noChangeAspect="1"/>
            </wp:cNvGraphicFramePr>
            <a:graphic>
              <a:graphicData uri="http://schemas.openxmlformats.org/drawingml/2006/picture">
                <pic:pic>
                  <pic:nvPicPr>
                    <pic:cNvPr id="0" name="contact 2.PNG"/>
                    <pic:cNvPicPr/>
                  </pic:nvPicPr>
                  <pic:blipFill>
                    <a:blip r:embed="rId18"/>
                    <a:stretch>
                      <a:fillRect/>
                    </a:stretch>
                  </pic:blipFill>
                  <pic:spPr>
                    <a:xfrm>
                      <a:off x="0" y="0"/>
                      <a:ext cx="5029200" cy="1958541"/>
                    </a:xfrm>
                    <a:prstGeom prst="rect"/>
                  </pic:spPr>
                </pic:pic>
              </a:graphicData>
            </a:graphic>
          </wp:inline>
        </w:drawing>
      </w:r>
    </w:p>
    <w:p>
      <w:pPr>
        <w:jc w:val="center"/>
      </w:pPr>
      <w:r>
        <w:rPr>
          <w:i/>
        </w:rPr>
        <w:t>Figure 5.2: Validation Matrix &amp; Responsive Fields Form Layout</w:t>
      </w:r>
    </w:p>
    <w:p>
      <w:pPr>
        <w:jc w:val="center"/>
      </w:pPr>
      <w:r>
        <w:drawing>
          <wp:inline xmlns:a="http://schemas.openxmlformats.org/drawingml/2006/main" xmlns:pic="http://schemas.openxmlformats.org/drawingml/2006/picture">
            <wp:extent cx="5029200" cy="1542632"/>
            <wp:docPr id="11" name="Picture 11"/>
            <wp:cNvGraphicFramePr>
              <a:graphicFrameLocks noChangeAspect="1"/>
            </wp:cNvGraphicFramePr>
            <a:graphic>
              <a:graphicData uri="http://schemas.openxmlformats.org/drawingml/2006/picture">
                <pic:pic>
                  <pic:nvPicPr>
                    <pic:cNvPr id="0" name="footer.PNG"/>
                    <pic:cNvPicPr/>
                  </pic:nvPicPr>
                  <pic:blipFill>
                    <a:blip r:embed="rId19"/>
                    <a:stretch>
                      <a:fillRect/>
                    </a:stretch>
                  </pic:blipFill>
                  <pic:spPr>
                    <a:xfrm>
                      <a:off x="0" y="0"/>
                      <a:ext cx="5029200" cy="1542632"/>
                    </a:xfrm>
                    <a:prstGeom prst="rect"/>
                  </pic:spPr>
                </pic:pic>
              </a:graphicData>
            </a:graphic>
          </wp:inline>
        </w:drawing>
      </w:r>
    </w:p>
    <w:p>
      <w:pPr>
        <w:jc w:val="center"/>
      </w:pPr>
      <w:r>
        <w:rPr>
          <w:i/>
        </w:rPr>
        <w:t>Figure 5.3: Translucent Global Site Navigation Footer Layout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