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B564A" w14:textId="77777777" w:rsidR="005A5ABC" w:rsidRDefault="00000000">
      <w:pPr>
        <w:spacing w:after="120"/>
        <w:jc w:val="center"/>
      </w:pPr>
      <w:r>
        <w:rPr>
          <w:b/>
          <w:bCs/>
          <w:color w:val="1F3864"/>
          <w:sz w:val="36"/>
          <w:szCs w:val="36"/>
        </w:rPr>
        <w:t>Clinical Decision Support System for Pulmonary Embolism Detection</w:t>
      </w:r>
    </w:p>
    <w:p w14:paraId="473A1F5D" w14:textId="77777777" w:rsidR="005A5ABC" w:rsidRDefault="00000000">
      <w:pPr>
        <w:spacing w:after="80"/>
        <w:jc w:val="center"/>
      </w:pPr>
      <w:r>
        <w:rPr>
          <w:b/>
          <w:bCs/>
          <w:color w:val="1F3864"/>
          <w:sz w:val="36"/>
          <w:szCs w:val="36"/>
        </w:rPr>
        <w:t>in the Emergency Department</w:t>
      </w:r>
    </w:p>
    <w:p w14:paraId="1BD1FB65" w14:textId="77777777" w:rsidR="005A5ABC" w:rsidRDefault="00000000">
      <w:pPr>
        <w:spacing w:after="120"/>
        <w:jc w:val="center"/>
      </w:pPr>
      <w:r>
        <w:rPr>
          <w:b/>
          <w:bCs/>
          <w:color w:val="2E5496"/>
          <w:sz w:val="28"/>
          <w:szCs w:val="28"/>
        </w:rPr>
        <w:t>Medical Device Regulation</w:t>
      </w:r>
    </w:p>
    <w:p w14:paraId="61A6058A" w14:textId="15B3E0D5" w:rsidR="005A5ABC" w:rsidRPr="000B6D9A" w:rsidRDefault="00000000">
      <w:pPr>
        <w:spacing w:after="80"/>
        <w:jc w:val="center"/>
      </w:pPr>
      <w:r w:rsidRPr="000B6D9A">
        <w:t xml:space="preserve">Course: Big Data Analytics </w:t>
      </w:r>
      <w:r w:rsidR="000B6D9A" w:rsidRPr="000B6D9A">
        <w:t>and</w:t>
      </w:r>
      <w:r w:rsidRPr="000B6D9A">
        <w:t xml:space="preserve"> Clinical Decision Support</w:t>
      </w:r>
    </w:p>
    <w:p w14:paraId="392F73A6" w14:textId="77777777" w:rsidR="005A5ABC" w:rsidRPr="000B6D9A" w:rsidRDefault="00000000">
      <w:pPr>
        <w:spacing w:after="80"/>
        <w:jc w:val="center"/>
      </w:pPr>
      <w:r w:rsidRPr="000B6D9A">
        <w:t>Authors: Yeji Lee, Taki Djebbar, Rebaz El-Scheich, Ahmad Khalifeh</w:t>
      </w:r>
    </w:p>
    <w:p w14:paraId="6C746C16" w14:textId="30C5000E" w:rsidR="005A5ABC" w:rsidRPr="000B6D9A" w:rsidRDefault="00000000">
      <w:pPr>
        <w:spacing w:after="80"/>
        <w:jc w:val="center"/>
      </w:pPr>
      <w:r w:rsidRPr="000B6D9A">
        <w:t>10.06.2026</w:t>
      </w:r>
    </w:p>
    <w:p w14:paraId="49637E74" w14:textId="77777777" w:rsidR="005A5ABC" w:rsidRDefault="005A5ABC">
      <w:pPr>
        <w:pBdr>
          <w:bottom w:val="single" w:sz="6" w:space="1" w:color="2E75B6"/>
        </w:pBdr>
        <w:spacing w:after="400"/>
      </w:pPr>
    </w:p>
    <w:p w14:paraId="08F708BA" w14:textId="77777777" w:rsidR="005A5ABC" w:rsidRDefault="00000000">
      <w:pPr>
        <w:pStyle w:val="Heading1"/>
      </w:pPr>
      <w:r>
        <w:t>Task 1: MDR Classification of the CDSS</w:t>
      </w:r>
    </w:p>
    <w:p w14:paraId="08168038" w14:textId="77777777" w:rsidR="005A5ABC" w:rsidRDefault="00000000">
      <w:pPr>
        <w:spacing w:after="160"/>
      </w:pPr>
      <w:r>
        <w:t>The developed system is a Clinical Decision Support System (CDSS) for Pulmonary Embolism (PE) Detection in the Emergency Department. Its purpose is to collect patient-related clinical data, guide the user through a diagnostic workflow, calculate the Wells Score, classify PE risk, and display a recommendation for further clinical action. The workflow includes: patient selection, clinical data entry, Wells Score assessment, recommendation display, physician decision documentation, and saving the assessment.</w:t>
      </w:r>
    </w:p>
    <w:p w14:paraId="6241A41B" w14:textId="77777777" w:rsidR="005A5ABC" w:rsidRDefault="00000000">
      <w:pPr>
        <w:spacing w:after="160"/>
      </w:pPr>
      <w:r>
        <w:t>Under the Medical Device Regulation (MDR), this system constitutes medical device software, because it supports clinical decision-making for diagnosis and further diagnostic management of a suspected medical condition. It is not merely an administrative tool, as it processes patient clinical data and produces risk-related recommendations.</w:t>
      </w:r>
    </w:p>
    <w:p w14:paraId="0B418FC1" w14:textId="77777777" w:rsidR="005A5ABC" w:rsidRDefault="005A5ABC">
      <w:pPr>
        <w:spacing w:after="100"/>
      </w:pPr>
    </w:p>
    <w:p w14:paraId="6D34A0D3" w14:textId="77777777" w:rsidR="005A5ABC" w:rsidRDefault="00000000">
      <w:pPr>
        <w:pStyle w:val="Heading2"/>
      </w:pPr>
      <w:r>
        <w:t>Reasoning using Rule 11 (MDR Annex VIII)</w:t>
      </w:r>
    </w:p>
    <w:p w14:paraId="170AA3F5" w14:textId="77777777" w:rsidR="005A5ABC" w:rsidRDefault="00000000">
      <w:pPr>
        <w:spacing w:after="160"/>
      </w:pPr>
      <w:r>
        <w:t>The most relevant MDR classification rule is Rule 11, because the software provides information used to make diagnostic or therapeutic decisions. The classification proceeds step-by-step as follows:</w:t>
      </w:r>
    </w:p>
    <w:p w14:paraId="0E40B7A9" w14:textId="77777777" w:rsidR="005A5ABC" w:rsidRDefault="005A5ABC">
      <w:pPr>
        <w:spacing w:after="100"/>
      </w:pPr>
    </w:p>
    <w:p w14:paraId="63D29713" w14:textId="77777777" w:rsidR="005A5ABC" w:rsidRDefault="00000000">
      <w:pPr>
        <w:spacing w:after="160"/>
      </w:pPr>
      <w:r>
        <w:rPr>
          <w:b/>
          <w:bCs/>
        </w:rPr>
        <w:t>Step 1: Does the software provide information for diagnostic or therapeutic decisions?</w:t>
      </w:r>
    </w:p>
    <w:p w14:paraId="20FA9516" w14:textId="7D8263F6" w:rsidR="005A5ABC" w:rsidRDefault="00000000">
      <w:pPr>
        <w:spacing w:after="160"/>
      </w:pPr>
      <w:r>
        <w:t>Yes. The system calculates the Wells Score based on patient-specific clinical parameters</w:t>
      </w:r>
      <w:r w:rsidR="000B6D9A">
        <w:t>, including</w:t>
      </w:r>
      <w:r>
        <w:t xml:space="preserve"> heart rate, symptoms, laboratory values, and risk factors  and outputs a PE risk level (LOW / MODERATE / HIGH) along with a concrete diagnostic recommendation such as ordering D-dimer or CTPA. The physician uses this output directly to decide on the next diagnostic step for a patient presenting in the emergency department.</w:t>
      </w:r>
    </w:p>
    <w:p w14:paraId="48363705" w14:textId="77777777" w:rsidR="005A5ABC" w:rsidRDefault="005A5ABC">
      <w:pPr>
        <w:spacing w:after="100"/>
      </w:pPr>
    </w:p>
    <w:p w14:paraId="62E9A656" w14:textId="77777777" w:rsidR="005A5ABC" w:rsidRDefault="00000000">
      <w:pPr>
        <w:spacing w:after="160"/>
      </w:pPr>
      <w:r>
        <w:rPr>
          <w:b/>
          <w:bCs/>
        </w:rPr>
        <w:t>Step 2: Can decisions lead to death or irreversible deterioration in health?</w:t>
      </w:r>
    </w:p>
    <w:p w14:paraId="389F242F" w14:textId="290DF380" w:rsidR="005A5ABC" w:rsidRDefault="00000000">
      <w:pPr>
        <w:spacing w:after="160"/>
      </w:pPr>
      <w:r>
        <w:t>A missed or delayed PE diagnosis is a life-threatening situation</w:t>
      </w:r>
      <w:r w:rsidR="000B6D9A">
        <w:t>.</w:t>
      </w:r>
      <w:r>
        <w:t xml:space="preserve"> PE is one of the leading causes of preventable in-hospital death. However, the system does not make autonomous decisions. The physician always retains the final clinical judgment; the accept/override mechanism in the implementation explicitly enforces this. The CDSS provides decision support, not a final diagnosis. Therefore, Class III does not apply.</w:t>
      </w:r>
    </w:p>
    <w:p w14:paraId="4C3BEAFA" w14:textId="77777777" w:rsidR="005A5ABC" w:rsidRDefault="005A5ABC">
      <w:pPr>
        <w:spacing w:after="100"/>
      </w:pPr>
    </w:p>
    <w:p w14:paraId="31B252BC" w14:textId="77777777" w:rsidR="005A5ABC" w:rsidRDefault="00000000">
      <w:pPr>
        <w:spacing w:after="160"/>
      </w:pPr>
      <w:r>
        <w:rPr>
          <w:b/>
          <w:bCs/>
        </w:rPr>
        <w:lastRenderedPageBreak/>
        <w:t>Step 3: Can decisions lead to serious deterioration in health or require surgical intervention?</w:t>
      </w:r>
    </w:p>
    <w:p w14:paraId="211CCEF0" w14:textId="1D4C6AA9" w:rsidR="005A5ABC" w:rsidRDefault="00000000">
      <w:pPr>
        <w:spacing w:after="160"/>
      </w:pPr>
      <w:r>
        <w:t xml:space="preserve">Yes. An incorrect Wells Score calculation or a </w:t>
      </w:r>
      <w:proofErr w:type="spellStart"/>
      <w:r>
        <w:t>miscalibrated</w:t>
      </w:r>
      <w:proofErr w:type="spellEnd"/>
      <w:r>
        <w:t xml:space="preserve"> recommendation could lead to an inappropriate diagnostic pathway. For example, a </w:t>
      </w:r>
      <w:r w:rsidR="000B6D9A">
        <w:t>HIGH-RISK</w:t>
      </w:r>
      <w:r>
        <w:t xml:space="preserve"> patient incorrectly classified as LOW RISK could result in delayed CTPA and a missed PE diagnosis, causing serious deterioration in the patient’s state of health. This threshold is clearly met given the acute emergency context.</w:t>
      </w:r>
    </w:p>
    <w:p w14:paraId="693BA274" w14:textId="77777777" w:rsidR="005A5ABC" w:rsidRDefault="005A5ABC">
      <w:pPr>
        <w:spacing w:after="100"/>
      </w:pPr>
    </w:p>
    <w:p w14:paraId="2FD4311B" w14:textId="77777777" w:rsidR="005A5ABC" w:rsidRDefault="00000000">
      <w:pPr>
        <w:spacing w:after="160"/>
      </w:pPr>
      <w:r>
        <w:rPr>
          <w:b/>
          <w:bCs/>
        </w:rPr>
        <w:t>Conclusion: Class IIb</w:t>
      </w:r>
    </w:p>
    <w:p w14:paraId="7A6CA109" w14:textId="77777777" w:rsidR="005A5ABC" w:rsidRDefault="00000000">
      <w:pPr>
        <w:spacing w:after="160"/>
      </w:pPr>
      <w:r>
        <w:t>The system provides diagnostic decision support where incorrect output could lead to serious deterioration in a patient’s state of health, placing it in Class IIb under Rule 11 of the MDR. It does not qualify for Class III because the system does not autonomously determine or execute treatment. The physician explicitly accepts or overrides every recommendation, and the output is informational, not actuating.</w:t>
      </w:r>
    </w:p>
    <w:p w14:paraId="346ADA5F" w14:textId="77777777" w:rsidR="005A5ABC" w:rsidRDefault="00000000">
      <w:pPr>
        <w:spacing w:after="160"/>
      </w:pPr>
      <w:r>
        <w:t>Note: If the system were used exclusively as a non-autonomous support tool in a controlled prototype setting, Class IIa could be argued. However, given the acute emergency context and the clinical risk of a wrong recommendation (delayed CTPA, missed PE, serious deterioration), Class IIb is the more appropriate and conservative classification for any real-world deployment.</w:t>
      </w:r>
    </w:p>
    <w:p w14:paraId="02482AFC" w14:textId="77777777" w:rsidR="005A5ABC" w:rsidRDefault="005A5ABC">
      <w:pPr>
        <w:spacing w:after="100"/>
      </w:pPr>
    </w:p>
    <w:p w14:paraId="25A5A911" w14:textId="77777777" w:rsidR="005A5ABC" w:rsidRDefault="00000000">
      <w:pPr>
        <w:pStyle w:val="Heading1"/>
      </w:pPr>
      <w:r>
        <w:t>Task 2: Data Protection Assessment</w:t>
      </w:r>
    </w:p>
    <w:p w14:paraId="5F53A866" w14:textId="77777777" w:rsidR="005A5ABC" w:rsidRDefault="00000000">
      <w:pPr>
        <w:spacing w:after="160"/>
      </w:pPr>
      <w:r>
        <w:t>A data protection policy is required for this CDSS. The system processes personal data that is particularly sensitive and requires heightened legal protection.</w:t>
      </w:r>
    </w:p>
    <w:p w14:paraId="27703CE1" w14:textId="77777777" w:rsidR="005A5ABC" w:rsidRDefault="005A5ABC">
      <w:pPr>
        <w:spacing w:after="100"/>
      </w:pPr>
    </w:p>
    <w:p w14:paraId="17DC45D4" w14:textId="77777777" w:rsidR="005A5ABC" w:rsidRDefault="00000000">
      <w:pPr>
        <w:pStyle w:val="Heading2"/>
      </w:pPr>
      <w:r>
        <w:t>Does the CDSS Process Personal Data?</w:t>
      </w:r>
    </w:p>
    <w:p w14:paraId="786F916E" w14:textId="77777777" w:rsidR="005A5ABC" w:rsidRDefault="00000000">
      <w:pPr>
        <w:spacing w:after="160"/>
      </w:pPr>
      <w:r>
        <w:t>Yes. The system processes the following data about identified natural persons (patients):</w:t>
      </w:r>
    </w:p>
    <w:p w14:paraId="6B2B2ABC" w14:textId="77777777" w:rsidR="005A5ABC" w:rsidRDefault="00000000">
      <w:pPr>
        <w:pStyle w:val="ListParagraph"/>
        <w:numPr>
          <w:ilvl w:val="0"/>
          <w:numId w:val="2"/>
        </w:numPr>
        <w:spacing w:after="100"/>
      </w:pPr>
      <w:r>
        <w:t>Demographics: name, date of birth (age), sex, MRN</w:t>
      </w:r>
    </w:p>
    <w:p w14:paraId="72135F36" w14:textId="77777777" w:rsidR="005A5ABC" w:rsidRDefault="00000000">
      <w:pPr>
        <w:pStyle w:val="ListParagraph"/>
        <w:numPr>
          <w:ilvl w:val="0"/>
          <w:numId w:val="2"/>
        </w:numPr>
        <w:spacing w:after="100"/>
      </w:pPr>
      <w:r>
        <w:t>Vital signs: heart rate, blood pressure, respiratory rate, SpO₂, temperature</w:t>
      </w:r>
    </w:p>
    <w:p w14:paraId="6C3890A0" w14:textId="77777777" w:rsidR="005A5ABC" w:rsidRDefault="00000000">
      <w:pPr>
        <w:pStyle w:val="ListParagraph"/>
        <w:numPr>
          <w:ilvl w:val="0"/>
          <w:numId w:val="2"/>
        </w:numPr>
        <w:spacing w:after="100"/>
      </w:pPr>
      <w:r>
        <w:t>Laboratory values: D-dimer, troponin, BNP, creatinine</w:t>
      </w:r>
    </w:p>
    <w:p w14:paraId="51114DA0" w14:textId="77777777" w:rsidR="005A5ABC" w:rsidRDefault="00000000">
      <w:pPr>
        <w:pStyle w:val="ListParagraph"/>
        <w:numPr>
          <w:ilvl w:val="0"/>
          <w:numId w:val="2"/>
        </w:numPr>
        <w:spacing w:after="100"/>
      </w:pPr>
      <w:r>
        <w:t xml:space="preserve">Clinical symptoms: </w:t>
      </w:r>
      <w:proofErr w:type="spellStart"/>
      <w:r>
        <w:t>dyspnoea</w:t>
      </w:r>
      <w:proofErr w:type="spellEnd"/>
      <w:r>
        <w:t xml:space="preserve">, pleuritic chest pain, </w:t>
      </w:r>
      <w:proofErr w:type="spellStart"/>
      <w:r>
        <w:t>haemoptysis</w:t>
      </w:r>
      <w:proofErr w:type="spellEnd"/>
      <w:r>
        <w:t>, leg swelling</w:t>
      </w:r>
    </w:p>
    <w:p w14:paraId="1FDBC493" w14:textId="77777777" w:rsidR="005A5ABC" w:rsidRDefault="00000000">
      <w:pPr>
        <w:pStyle w:val="ListParagraph"/>
        <w:numPr>
          <w:ilvl w:val="0"/>
          <w:numId w:val="2"/>
        </w:numPr>
        <w:spacing w:after="100"/>
      </w:pPr>
      <w:r>
        <w:t>Medical history: prior DVT/PE, hormone therapy, pregnancy, malignancy, recent surgery</w:t>
      </w:r>
    </w:p>
    <w:p w14:paraId="4D10FFE3" w14:textId="77777777" w:rsidR="005A5ABC" w:rsidRDefault="00000000">
      <w:pPr>
        <w:pStyle w:val="ListParagraph"/>
        <w:numPr>
          <w:ilvl w:val="0"/>
          <w:numId w:val="2"/>
        </w:numPr>
        <w:spacing w:after="100"/>
      </w:pPr>
      <w:r>
        <w:t>Computed clinical scores: Wells Score, risk stratification category</w:t>
      </w:r>
    </w:p>
    <w:p w14:paraId="2035820E" w14:textId="77777777" w:rsidR="005A5ABC" w:rsidRDefault="00000000">
      <w:pPr>
        <w:pStyle w:val="ListParagraph"/>
        <w:numPr>
          <w:ilvl w:val="0"/>
          <w:numId w:val="2"/>
        </w:numPr>
        <w:spacing w:after="100"/>
      </w:pPr>
      <w:r>
        <w:t>Clinical decisions: physician recommendation, override reasons, physician comments</w:t>
      </w:r>
    </w:p>
    <w:p w14:paraId="3FCB1DB7" w14:textId="77777777" w:rsidR="005A5ABC" w:rsidRDefault="00000000">
      <w:pPr>
        <w:pStyle w:val="ListParagraph"/>
        <w:numPr>
          <w:ilvl w:val="0"/>
          <w:numId w:val="2"/>
        </w:numPr>
        <w:spacing w:after="100"/>
      </w:pPr>
      <w:r>
        <w:t>Timestamps of all clinical interactions (audit log)</w:t>
      </w:r>
    </w:p>
    <w:p w14:paraId="6E3FCC05" w14:textId="77777777" w:rsidR="005A5ABC" w:rsidRDefault="00000000">
      <w:pPr>
        <w:pStyle w:val="ListParagraph"/>
        <w:numPr>
          <w:ilvl w:val="0"/>
          <w:numId w:val="2"/>
        </w:numPr>
        <w:spacing w:after="100"/>
      </w:pPr>
      <w:r>
        <w:t>Full patient data stored in JSON format</w:t>
      </w:r>
    </w:p>
    <w:p w14:paraId="2082D427" w14:textId="77777777" w:rsidR="005A5ABC" w:rsidRDefault="005A5ABC">
      <w:pPr>
        <w:spacing w:after="100"/>
      </w:pPr>
    </w:p>
    <w:p w14:paraId="5611AB37" w14:textId="77777777" w:rsidR="005A5ABC" w:rsidRDefault="00000000">
      <w:pPr>
        <w:spacing w:after="160"/>
      </w:pPr>
      <w:r>
        <w:t>All of the above constitutes personal data under GDPR Article 4(1), as it relates to identified or identifiable natural persons.</w:t>
      </w:r>
    </w:p>
    <w:p w14:paraId="7EE24F05" w14:textId="77777777" w:rsidR="005A5ABC" w:rsidRDefault="005A5ABC">
      <w:pPr>
        <w:spacing w:after="100"/>
      </w:pPr>
    </w:p>
    <w:p w14:paraId="4AFE5E30" w14:textId="77777777" w:rsidR="005A5ABC" w:rsidRDefault="00000000">
      <w:pPr>
        <w:pStyle w:val="Heading2"/>
      </w:pPr>
      <w:r>
        <w:lastRenderedPageBreak/>
        <w:t>Is This Particularly Sensitive Data?</w:t>
      </w:r>
    </w:p>
    <w:p w14:paraId="1B703C85" w14:textId="77777777" w:rsidR="005A5ABC" w:rsidRDefault="00000000">
      <w:pPr>
        <w:spacing w:after="160"/>
      </w:pPr>
      <w:r>
        <w:t>Yes. Health data — including diagnoses, vital signs, laboratory values, and clinical assessments — falls under Article 9 GDPR as a special category of personal data requiring heightened protection. Processing such data is generally prohibited unless a specific exception applies (Article 9(2)). In the clinical context, the applicable legal bases are:</w:t>
      </w:r>
    </w:p>
    <w:p w14:paraId="3BCE6F11" w14:textId="77777777" w:rsidR="005A5ABC" w:rsidRDefault="00000000">
      <w:pPr>
        <w:pStyle w:val="ListParagraph"/>
        <w:numPr>
          <w:ilvl w:val="0"/>
          <w:numId w:val="2"/>
        </w:numPr>
        <w:spacing w:after="100"/>
      </w:pPr>
      <w:r>
        <w:t>Article 9(2)(h) GDPR: processing necessary for the purposes of medical diagnosis and the provision of health care, carried out by or under the responsibility of a professional subject to the obligation of professional secrecy</w:t>
      </w:r>
    </w:p>
    <w:p w14:paraId="7987B437" w14:textId="77777777" w:rsidR="005A5ABC" w:rsidRDefault="00000000">
      <w:pPr>
        <w:pStyle w:val="ListParagraph"/>
        <w:numPr>
          <w:ilvl w:val="0"/>
          <w:numId w:val="2"/>
        </w:numPr>
        <w:spacing w:after="100"/>
      </w:pPr>
      <w:r>
        <w:t>Article 6(1)(c) and (e) GDPR: processing necessary for compliance with a legal obligation or for the performance of a task in the public interest (applicable to hospital/ED settings)</w:t>
      </w:r>
    </w:p>
    <w:p w14:paraId="6619A866" w14:textId="77777777" w:rsidR="005A5ABC" w:rsidRDefault="00000000">
      <w:pPr>
        <w:pStyle w:val="ListParagraph"/>
        <w:numPr>
          <w:ilvl w:val="0"/>
          <w:numId w:val="2"/>
        </w:numPr>
        <w:spacing w:after="100"/>
      </w:pPr>
      <w:r>
        <w:t>In Germany: §22 BDSG (Federal Data Protection Act) permits processing of health data in the medical context, alongside the relevant State Hospital Acts and medical professional confidentiality obligations</w:t>
      </w:r>
    </w:p>
    <w:p w14:paraId="015E4C2B" w14:textId="77777777" w:rsidR="005A5ABC" w:rsidRDefault="005A5ABC">
      <w:pPr>
        <w:spacing w:after="100"/>
      </w:pPr>
    </w:p>
    <w:p w14:paraId="199CAB72" w14:textId="77777777" w:rsidR="005A5ABC" w:rsidRDefault="00000000">
      <w:pPr>
        <w:pStyle w:val="Heading2"/>
      </w:pPr>
      <w:r>
        <w:t>Is a Data Protection Policy Required?</w:t>
      </w:r>
    </w:p>
    <w:p w14:paraId="2A69F322" w14:textId="77777777" w:rsidR="005A5ABC" w:rsidRDefault="00000000">
      <w:pPr>
        <w:spacing w:after="160"/>
      </w:pPr>
      <w:r>
        <w:t>Yes, for the following reasons:</w:t>
      </w:r>
    </w:p>
    <w:p w14:paraId="3DA11F9A" w14:textId="77777777" w:rsidR="005A5ABC" w:rsidRDefault="00000000">
      <w:pPr>
        <w:pStyle w:val="ListParagraph"/>
        <w:numPr>
          <w:ilvl w:val="0"/>
          <w:numId w:val="2"/>
        </w:numPr>
        <w:spacing w:after="100"/>
      </w:pPr>
      <w:r>
        <w:t>Processing of Article 9 special category health data requires documented policies per GDPR Article 5 and Article 30 (record of processing activities).</w:t>
      </w:r>
    </w:p>
    <w:p w14:paraId="69463AA3" w14:textId="77777777" w:rsidR="005A5ABC" w:rsidRDefault="00000000">
      <w:pPr>
        <w:pStyle w:val="ListParagraph"/>
        <w:numPr>
          <w:ilvl w:val="0"/>
          <w:numId w:val="2"/>
        </w:numPr>
        <w:spacing w:after="100"/>
      </w:pPr>
      <w:r>
        <w:t>A Data Protection Impact Assessment (DPIA) is very likely mandatory under GDPR Article 35, because the system processes sensitive health data in a high-risk clinical environment.</w:t>
      </w:r>
    </w:p>
    <w:p w14:paraId="46445FB9" w14:textId="77777777" w:rsidR="005A5ABC" w:rsidRDefault="005A5ABC">
      <w:pPr>
        <w:spacing w:after="100"/>
      </w:pPr>
    </w:p>
    <w:p w14:paraId="4819143F" w14:textId="77777777" w:rsidR="005A5ABC" w:rsidRDefault="00000000">
      <w:pPr>
        <w:spacing w:after="160"/>
      </w:pPr>
      <w:r>
        <w:t>The DPIA must document:</w:t>
      </w:r>
    </w:p>
    <w:p w14:paraId="052A9F24" w14:textId="77777777" w:rsidR="005A5ABC" w:rsidRDefault="00000000">
      <w:pPr>
        <w:pStyle w:val="ListParagraph"/>
        <w:numPr>
          <w:ilvl w:val="0"/>
          <w:numId w:val="2"/>
        </w:numPr>
        <w:spacing w:after="100"/>
      </w:pPr>
      <w:r>
        <w:t>The processing operations and their purposes</w:t>
      </w:r>
    </w:p>
    <w:p w14:paraId="4F27CAEB" w14:textId="77777777" w:rsidR="005A5ABC" w:rsidRDefault="00000000">
      <w:pPr>
        <w:pStyle w:val="ListParagraph"/>
        <w:numPr>
          <w:ilvl w:val="0"/>
          <w:numId w:val="2"/>
        </w:numPr>
        <w:spacing w:after="100"/>
      </w:pPr>
      <w:r>
        <w:t>A necessity and proportionality assessment</w:t>
      </w:r>
    </w:p>
    <w:p w14:paraId="44A084F8" w14:textId="77777777" w:rsidR="005A5ABC" w:rsidRDefault="00000000">
      <w:pPr>
        <w:pStyle w:val="ListParagraph"/>
        <w:numPr>
          <w:ilvl w:val="0"/>
          <w:numId w:val="2"/>
        </w:numPr>
        <w:spacing w:after="100"/>
      </w:pPr>
      <w:r>
        <w:t>A risk assessment</w:t>
      </w:r>
    </w:p>
    <w:p w14:paraId="5D19F1A3" w14:textId="77777777" w:rsidR="005A5ABC" w:rsidRDefault="00000000">
      <w:pPr>
        <w:pStyle w:val="ListParagraph"/>
        <w:numPr>
          <w:ilvl w:val="0"/>
          <w:numId w:val="2"/>
        </w:numPr>
        <w:spacing w:after="100"/>
      </w:pPr>
      <w:r>
        <w:t>Measures to address identified risks</w:t>
      </w:r>
    </w:p>
    <w:p w14:paraId="4757E85C" w14:textId="77777777" w:rsidR="005A5ABC" w:rsidRDefault="005A5ABC">
      <w:pPr>
        <w:spacing w:after="100"/>
      </w:pPr>
    </w:p>
    <w:p w14:paraId="1279EBB7" w14:textId="77777777" w:rsidR="005A5ABC" w:rsidRDefault="00000000">
      <w:pPr>
        <w:pStyle w:val="Heading2"/>
      </w:pPr>
      <w:r>
        <w:t>Required Data Protection Policy Areas</w:t>
      </w:r>
    </w:p>
    <w:p w14:paraId="6A547A3C" w14:textId="77777777" w:rsidR="005A5ABC" w:rsidRDefault="005A5AB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5A5ABC" w14:paraId="3D2A61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vAlign w:val="center"/>
          </w:tcPr>
          <w:p w14:paraId="45E236D3" w14:textId="77777777" w:rsidR="005A5ABC" w:rsidRDefault="00000000">
            <w:r>
              <w:rPr>
                <w:b/>
                <w:bCs/>
                <w:color w:val="FFFFFF"/>
              </w:rPr>
              <w:t>Area</w:t>
            </w:r>
          </w:p>
        </w:tc>
        <w:tc>
          <w:tcPr>
            <w:tcW w:w="6526" w:type="dxa"/>
            <w:tcBorders>
              <w:top w:val="single" w:sz="1" w:space="0" w:color="CCCCCC"/>
              <w:left w:val="single" w:sz="1" w:space="0" w:color="CCCCCC"/>
              <w:bottom w:val="single" w:sz="1" w:space="0" w:color="CCCCCC"/>
              <w:right w:val="single" w:sz="1" w:space="0" w:color="CCCCCC"/>
            </w:tcBorders>
            <w:shd w:val="clear" w:color="auto" w:fill="2E5496"/>
            <w:tcMar>
              <w:top w:w="80" w:type="dxa"/>
              <w:left w:w="120" w:type="dxa"/>
              <w:bottom w:w="80" w:type="dxa"/>
              <w:right w:w="120" w:type="dxa"/>
            </w:tcMar>
          </w:tcPr>
          <w:p w14:paraId="125E0D21" w14:textId="77777777" w:rsidR="005A5ABC" w:rsidRDefault="00000000">
            <w:r>
              <w:rPr>
                <w:b/>
                <w:bCs/>
                <w:color w:val="FFFFFF"/>
              </w:rPr>
              <w:t>Required Measure</w:t>
            </w:r>
          </w:p>
        </w:tc>
      </w:tr>
      <w:tr w:rsidR="005A5ABC" w14:paraId="1C683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EF8779" w14:textId="77777777" w:rsidR="005A5ABC" w:rsidRDefault="00000000">
            <w:r>
              <w:rPr>
                <w:sz w:val="20"/>
                <w:szCs w:val="20"/>
              </w:rPr>
              <w:t>Legal basis</w:t>
            </w:r>
          </w:p>
        </w:tc>
        <w:tc>
          <w:tcPr>
            <w:tcW w:w="6526"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92CF2B8" w14:textId="77777777" w:rsidR="005A5ABC" w:rsidRDefault="00000000">
            <w:r>
              <w:rPr>
                <w:sz w:val="20"/>
                <w:szCs w:val="20"/>
              </w:rPr>
              <w:t>Define why patient data may be processed (Article 9(2)(h), Article 6(1)(c)/(e) GDPR, §22 BDSG)</w:t>
            </w:r>
          </w:p>
        </w:tc>
      </w:tr>
      <w:tr w:rsidR="005A5ABC" w14:paraId="2AF178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0A459" w14:textId="1F967401" w:rsidR="005A5ABC" w:rsidRDefault="00000000">
            <w:r>
              <w:rPr>
                <w:sz w:val="20"/>
                <w:szCs w:val="20"/>
              </w:rPr>
              <w:t xml:space="preserve">Data </w:t>
            </w:r>
            <w:r w:rsidR="000B6D9A">
              <w:rPr>
                <w:sz w:val="20"/>
                <w:szCs w:val="20"/>
              </w:rPr>
              <w:t>minimization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DC73E" w14:textId="77777777" w:rsidR="005A5ABC" w:rsidRDefault="00000000">
            <w:r>
              <w:rPr>
                <w:sz w:val="20"/>
                <w:szCs w:val="20"/>
              </w:rPr>
              <w:t>Store only data necessary for the PE assessment; fields such as BNP and troponin are not used in the Wells Score itself and their necessity must be justified or they must be removed (Article 5(1)(c) GDPR)</w:t>
            </w:r>
          </w:p>
        </w:tc>
      </w:tr>
      <w:tr w:rsidR="005A5ABC" w14:paraId="7D51A8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A304F1" w14:textId="77777777" w:rsidR="005A5ABC" w:rsidRDefault="00000000">
            <w:r>
              <w:rPr>
                <w:sz w:val="20"/>
                <w:szCs w:val="20"/>
              </w:rPr>
              <w:t>Access control</w:t>
            </w:r>
          </w:p>
        </w:tc>
        <w:tc>
          <w:tcPr>
            <w:tcW w:w="6526"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0148C5" w14:textId="44938A1D" w:rsidR="005A5ABC" w:rsidRDefault="00000000">
            <w:r>
              <w:rPr>
                <w:sz w:val="20"/>
                <w:szCs w:val="20"/>
              </w:rPr>
              <w:t xml:space="preserve">Restrict access to </w:t>
            </w:r>
            <w:r w:rsidR="000B6D9A">
              <w:rPr>
                <w:sz w:val="20"/>
                <w:szCs w:val="20"/>
              </w:rPr>
              <w:t>authorized</w:t>
            </w:r>
            <w:r>
              <w:rPr>
                <w:sz w:val="20"/>
                <w:szCs w:val="20"/>
              </w:rPr>
              <w:t xml:space="preserve"> medical or project personnel only</w:t>
            </w:r>
          </w:p>
        </w:tc>
      </w:tr>
      <w:tr w:rsidR="005A5ABC" w14:paraId="30F06A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398E7" w14:textId="77777777" w:rsidR="005A5ABC" w:rsidRDefault="00000000">
            <w:r>
              <w:rPr>
                <w:sz w:val="20"/>
                <w:szCs w:val="20"/>
              </w:rPr>
              <w:t>Storage limitation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B6F4" w14:textId="77777777" w:rsidR="005A5ABC" w:rsidRDefault="00000000">
            <w:r>
              <w:rPr>
                <w:sz w:val="20"/>
                <w:szCs w:val="20"/>
              </w:rPr>
              <w:t>Define retention and deletion policy; in Germany typically 10 years per §630f BGB (§5(1)(e) GDPR). Current implementation retains all assessments indefinitely — this must be aligned with applicable requirements</w:t>
            </w:r>
          </w:p>
        </w:tc>
      </w:tr>
      <w:tr w:rsidR="005A5ABC" w14:paraId="59889D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23B7BB3" w14:textId="77777777" w:rsidR="005A5ABC" w:rsidRDefault="00000000">
            <w:r>
              <w:rPr>
                <w:sz w:val="20"/>
                <w:szCs w:val="20"/>
              </w:rPr>
              <w:lastRenderedPageBreak/>
              <w:t>Security</w:t>
            </w:r>
          </w:p>
        </w:tc>
        <w:tc>
          <w:tcPr>
            <w:tcW w:w="6526"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F054DDC" w14:textId="77777777" w:rsidR="005A5ABC" w:rsidRDefault="00000000">
            <w:r>
              <w:rPr>
                <w:sz w:val="20"/>
                <w:szCs w:val="20"/>
              </w:rPr>
              <w:t>Protect the SQLite database and log files; the current plain unencrypted SQLite file must be enhanced with database encryption and access controls for any real deployment (Article 5(1)(f) GDPR)</w:t>
            </w:r>
          </w:p>
        </w:tc>
      </w:tr>
      <w:tr w:rsidR="005A5ABC" w14:paraId="6EED4E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F3A9F" w14:textId="77777777" w:rsidR="005A5ABC" w:rsidRDefault="00000000">
            <w:r>
              <w:rPr>
                <w:sz w:val="20"/>
                <w:szCs w:val="20"/>
              </w:rPr>
              <w:t>Logging</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E106" w14:textId="77777777" w:rsidR="005A5ABC" w:rsidRDefault="00000000">
            <w:r>
              <w:rPr>
                <w:sz w:val="20"/>
                <w:szCs w:val="20"/>
              </w:rPr>
              <w:t>Ensure logs do not expose unnecessary patient-identifiable information; use rotating log files</w:t>
            </w:r>
          </w:p>
        </w:tc>
      </w:tr>
      <w:tr w:rsidR="005A5ABC" w14:paraId="6549C7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0FA2A07" w14:textId="77777777" w:rsidR="005A5ABC" w:rsidRDefault="00000000">
            <w:r>
              <w:rPr>
                <w:sz w:val="20"/>
                <w:szCs w:val="20"/>
              </w:rPr>
              <w:t>Transparency</w:t>
            </w:r>
          </w:p>
        </w:tc>
        <w:tc>
          <w:tcPr>
            <w:tcW w:w="6526"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2B041E" w14:textId="77777777" w:rsidR="005A5ABC" w:rsidRDefault="00000000">
            <w:r>
              <w:rPr>
                <w:sz w:val="20"/>
                <w:szCs w:val="20"/>
              </w:rPr>
              <w:t>Inform users and patients about data processing where applicable</w:t>
            </w:r>
          </w:p>
        </w:tc>
      </w:tr>
      <w:tr w:rsidR="005A5ABC" w14:paraId="3DF88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568BD" w14:textId="77777777" w:rsidR="005A5ABC" w:rsidRDefault="00000000">
            <w:r>
              <w:rPr>
                <w:sz w:val="20"/>
                <w:szCs w:val="20"/>
              </w:rPr>
              <w:t>Deletion/export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FF360" w14:textId="77777777" w:rsidR="005A5ABC" w:rsidRDefault="00000000">
            <w:r>
              <w:rPr>
                <w:sz w:val="20"/>
                <w:szCs w:val="20"/>
              </w:rPr>
              <w:t>Define how data can be deleted, exported, or reviewed</w:t>
            </w:r>
          </w:p>
        </w:tc>
      </w:tr>
    </w:tbl>
    <w:p w14:paraId="023DD105" w14:textId="77777777" w:rsidR="005A5ABC" w:rsidRDefault="005A5ABC">
      <w:pPr>
        <w:spacing w:after="100"/>
      </w:pPr>
    </w:p>
    <w:p w14:paraId="18884F10" w14:textId="77777777" w:rsidR="005A5ABC" w:rsidRDefault="005A5ABC">
      <w:pPr>
        <w:spacing w:after="100"/>
      </w:pPr>
    </w:p>
    <w:p w14:paraId="404DCCAA" w14:textId="77777777" w:rsidR="005A5ABC" w:rsidRDefault="00000000">
      <w:pPr>
        <w:pStyle w:val="Heading2"/>
      </w:pPr>
      <w:r>
        <w:t>Key GDPR Principles Directly Relevant to the Current Implementation</w:t>
      </w:r>
    </w:p>
    <w:p w14:paraId="03B17AEA" w14:textId="77777777" w:rsidR="005A5ABC" w:rsidRDefault="00000000">
      <w:pPr>
        <w:spacing w:after="160"/>
      </w:pPr>
      <w:r>
        <w:t>Three specific Article 5 GDPR principles require attention in the current implementation:</w:t>
      </w:r>
    </w:p>
    <w:p w14:paraId="4AC51EBA" w14:textId="77777777" w:rsidR="005A5ABC" w:rsidRDefault="005A5ABC">
      <w:pPr>
        <w:spacing w:after="100"/>
      </w:pPr>
    </w:p>
    <w:p w14:paraId="0738967F" w14:textId="374C2663" w:rsidR="005A5ABC" w:rsidRDefault="00000000">
      <w:pPr>
        <w:spacing w:after="160"/>
      </w:pPr>
      <w:r>
        <w:rPr>
          <w:b/>
          <w:bCs/>
        </w:rPr>
        <w:t xml:space="preserve">Data </w:t>
      </w:r>
      <w:r w:rsidR="000B6D9A">
        <w:rPr>
          <w:b/>
          <w:bCs/>
        </w:rPr>
        <w:t>Minimization</w:t>
      </w:r>
      <w:r>
        <w:rPr>
          <w:b/>
          <w:bCs/>
        </w:rPr>
        <w:t xml:space="preserve"> (Article 5(1)(c)):</w:t>
      </w:r>
    </w:p>
    <w:p w14:paraId="20F24035" w14:textId="77777777" w:rsidR="005A5ABC" w:rsidRDefault="00000000">
      <w:pPr>
        <w:spacing w:after="160"/>
      </w:pPr>
      <w:r>
        <w:t>The system must only collect data necessary for the Wells Score and PE assessment. Fields such as BNP and troponin are included in the current implementation but are not used in the Wells Score itself. Their necessity must be explicitly justified, or they must be removed.</w:t>
      </w:r>
    </w:p>
    <w:p w14:paraId="08960254" w14:textId="77777777" w:rsidR="005A5ABC" w:rsidRDefault="005A5ABC">
      <w:pPr>
        <w:spacing w:after="100"/>
      </w:pPr>
    </w:p>
    <w:p w14:paraId="7DE41885" w14:textId="77777777" w:rsidR="005A5ABC" w:rsidRDefault="00000000">
      <w:pPr>
        <w:spacing w:after="160"/>
      </w:pPr>
      <w:r>
        <w:rPr>
          <w:b/>
          <w:bCs/>
        </w:rPr>
        <w:t>Storage Limitation (Article 5(1)(e)):</w:t>
      </w:r>
    </w:p>
    <w:p w14:paraId="328D9583" w14:textId="77777777" w:rsidR="005A5ABC" w:rsidRDefault="00000000">
      <w:pPr>
        <w:spacing w:after="160"/>
      </w:pPr>
      <w:r>
        <w:t>A defined retention and deletion policy is required. The current implementation retains all assessments indefinitely in the SQLite database. This must be aligned with applicable medical record retention requirements — in Germany, typically 10 years per §630f BGB.</w:t>
      </w:r>
    </w:p>
    <w:p w14:paraId="7CAD8B58" w14:textId="77777777" w:rsidR="005A5ABC" w:rsidRDefault="005A5ABC">
      <w:pPr>
        <w:spacing w:after="100"/>
      </w:pPr>
    </w:p>
    <w:p w14:paraId="28C7971F" w14:textId="77777777" w:rsidR="005A5ABC" w:rsidRDefault="00000000">
      <w:pPr>
        <w:spacing w:after="160"/>
      </w:pPr>
      <w:r>
        <w:rPr>
          <w:b/>
          <w:bCs/>
        </w:rPr>
        <w:t>Integrity and Confidentiality (Article 5(1)(f)):</w:t>
      </w:r>
    </w:p>
    <w:p w14:paraId="0BFD4653" w14:textId="77777777" w:rsidR="005A5ABC" w:rsidRDefault="00000000">
      <w:pPr>
        <w:spacing w:after="160"/>
      </w:pPr>
      <w:r>
        <w:t>The plain unencrypted SQLite file used in the current implementation must be enhanced with database encryption and access controls for any real deployment.</w:t>
      </w:r>
    </w:p>
    <w:p w14:paraId="0E7F8B43" w14:textId="77777777" w:rsidR="005A5ABC" w:rsidRDefault="005A5ABC">
      <w:pPr>
        <w:spacing w:after="100"/>
      </w:pPr>
    </w:p>
    <w:p w14:paraId="4E0E4A27" w14:textId="77777777" w:rsidR="005A5ABC" w:rsidRDefault="00000000">
      <w:pPr>
        <w:pStyle w:val="Heading2"/>
      </w:pPr>
      <w:r>
        <w:t>Summary</w:t>
      </w:r>
    </w:p>
    <w:p w14:paraId="153F9895" w14:textId="2FA2AAD6" w:rsidR="005A5ABC" w:rsidRDefault="00000000">
      <w:pPr>
        <w:spacing w:after="160"/>
      </w:pPr>
      <w:r>
        <w:t xml:space="preserve">The CDSS processes personal data within the meaning of GDPR Article 4(1), specifically health data classified as a special category under Article 9 GDPR. The legal basis for processing is Article 9(2)(h) in conjunction with Article 6(1)(c) and (e) GDPR, supplemented in Germany by §22 BDSG and applicable State Hospital Acts. A data protection policy and a record of processing activities are mandatory. A DPIA under Article 35 GDPR is very likely required given the sensitive nature of the data and the clinical risk context. Technical and </w:t>
      </w:r>
      <w:r w:rsidR="000B6D9A">
        <w:t>organizational</w:t>
      </w:r>
      <w:r>
        <w:t xml:space="preserve"> measures must be implemented and documented to ensure data </w:t>
      </w:r>
      <w:r w:rsidR="000B6D9A">
        <w:t>minimization</w:t>
      </w:r>
      <w:r>
        <w:t>, storage limitation, and data security.</w:t>
      </w:r>
    </w:p>
    <w:p w14:paraId="43CD3A82" w14:textId="77777777" w:rsidR="005A5ABC" w:rsidRDefault="005A5ABC">
      <w:pPr>
        <w:spacing w:after="100"/>
      </w:pPr>
    </w:p>
    <w:p w14:paraId="334A77C7" w14:textId="77777777" w:rsidR="005A5ABC" w:rsidRDefault="005A5ABC">
      <w:pPr>
        <w:spacing w:after="100"/>
      </w:pPr>
    </w:p>
    <w:p w14:paraId="4AE1CC02" w14:textId="77777777" w:rsidR="005A5ABC" w:rsidRDefault="00000000">
      <w:pPr>
        <w:pStyle w:val="Heading1"/>
      </w:pPr>
      <w:r>
        <w:t>References</w:t>
      </w:r>
    </w:p>
    <w:p w14:paraId="535C43D7" w14:textId="77777777" w:rsidR="005A5ABC" w:rsidRDefault="00000000">
      <w:pPr>
        <w:spacing w:after="160"/>
      </w:pPr>
      <w:r>
        <w:rPr>
          <w:b/>
          <w:bCs/>
        </w:rPr>
        <w:t>General Data Protection Regulation (GDPR):</w:t>
      </w:r>
    </w:p>
    <w:p w14:paraId="15A36427" w14:textId="77777777" w:rsidR="005A5ABC" w:rsidRDefault="00000000">
      <w:pPr>
        <w:spacing w:after="160"/>
      </w:pPr>
      <w:r>
        <w:lastRenderedPageBreak/>
        <w:t>Regulation (EU) 2016/679 of the European Parliament and of the Council of 27 April 2016 on the protection of natural persons with regard to the processing of personal data and on the free movement of such data. Official Journal of the European Union, L 119, 4 May 2016, pp. 1–88. Available at: https://eur-lex.europa.eu/legal-content/EN/TXT/?uri=CELEX%3A32016R0679</w:t>
      </w:r>
    </w:p>
    <w:p w14:paraId="3845E5DD" w14:textId="77777777" w:rsidR="005A5ABC" w:rsidRDefault="005A5ABC">
      <w:pPr>
        <w:spacing w:after="100"/>
      </w:pPr>
    </w:p>
    <w:p w14:paraId="6C9023E0" w14:textId="77777777" w:rsidR="005A5ABC" w:rsidRDefault="00000000">
      <w:pPr>
        <w:spacing w:after="160"/>
      </w:pPr>
      <w:r>
        <w:rPr>
          <w:b/>
          <w:bCs/>
        </w:rPr>
        <w:t>German Federal Data Protection Act (BDSG):</w:t>
      </w:r>
    </w:p>
    <w:p w14:paraId="70BD4B59" w14:textId="77777777" w:rsidR="005A5ABC" w:rsidRDefault="00000000">
      <w:pPr>
        <w:spacing w:after="160"/>
      </w:pPr>
      <w:r w:rsidRPr="000B6D9A">
        <w:rPr>
          <w:lang w:val="de-DE"/>
        </w:rPr>
        <w:t xml:space="preserve">Bundesdatenschutzgesetz (BDSG) vom 30. Juni 2017 (BGBl. I S. 2097), zuletzt geändert durch Artikel 10 des Gesetzes vom 23. </w:t>
      </w:r>
      <w:r>
        <w:t>Juni 2021 (</w:t>
      </w:r>
      <w:proofErr w:type="spellStart"/>
      <w:r>
        <w:t>BGBl</w:t>
      </w:r>
      <w:proofErr w:type="spellEnd"/>
      <w:r>
        <w:t>. I S. 1858). Available at: https://www.gesetze-im-internet.de/bdsg_2018/</w:t>
      </w:r>
    </w:p>
    <w:sectPr w:rsidR="005A5A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5B65"/>
    <w:multiLevelType w:val="hybridMultilevel"/>
    <w:tmpl w:val="05D4DCE8"/>
    <w:lvl w:ilvl="0" w:tplc="46D24502">
      <w:start w:val="1"/>
      <w:numFmt w:val="bullet"/>
      <w:lvlText w:val="●"/>
      <w:lvlJc w:val="left"/>
      <w:pPr>
        <w:ind w:left="720" w:hanging="360"/>
      </w:pPr>
    </w:lvl>
    <w:lvl w:ilvl="1" w:tplc="DEDC1ED8">
      <w:start w:val="1"/>
      <w:numFmt w:val="bullet"/>
      <w:lvlText w:val="○"/>
      <w:lvlJc w:val="left"/>
      <w:pPr>
        <w:ind w:left="1440" w:hanging="360"/>
      </w:pPr>
    </w:lvl>
    <w:lvl w:ilvl="2" w:tplc="A844B9D4">
      <w:start w:val="1"/>
      <w:numFmt w:val="bullet"/>
      <w:lvlText w:val="■"/>
      <w:lvlJc w:val="left"/>
      <w:pPr>
        <w:ind w:left="2160" w:hanging="360"/>
      </w:pPr>
    </w:lvl>
    <w:lvl w:ilvl="3" w:tplc="960830D2">
      <w:start w:val="1"/>
      <w:numFmt w:val="bullet"/>
      <w:lvlText w:val="●"/>
      <w:lvlJc w:val="left"/>
      <w:pPr>
        <w:ind w:left="2880" w:hanging="360"/>
      </w:pPr>
    </w:lvl>
    <w:lvl w:ilvl="4" w:tplc="5F18A48E">
      <w:start w:val="1"/>
      <w:numFmt w:val="bullet"/>
      <w:lvlText w:val="○"/>
      <w:lvlJc w:val="left"/>
      <w:pPr>
        <w:ind w:left="3600" w:hanging="360"/>
      </w:pPr>
    </w:lvl>
    <w:lvl w:ilvl="5" w:tplc="7610C1FA">
      <w:start w:val="1"/>
      <w:numFmt w:val="bullet"/>
      <w:lvlText w:val="■"/>
      <w:lvlJc w:val="left"/>
      <w:pPr>
        <w:ind w:left="4320" w:hanging="360"/>
      </w:pPr>
    </w:lvl>
    <w:lvl w:ilvl="6" w:tplc="35A08330">
      <w:start w:val="1"/>
      <w:numFmt w:val="bullet"/>
      <w:lvlText w:val="●"/>
      <w:lvlJc w:val="left"/>
      <w:pPr>
        <w:ind w:left="5040" w:hanging="360"/>
      </w:pPr>
    </w:lvl>
    <w:lvl w:ilvl="7" w:tplc="68F850E2">
      <w:start w:val="1"/>
      <w:numFmt w:val="bullet"/>
      <w:lvlText w:val="●"/>
      <w:lvlJc w:val="left"/>
      <w:pPr>
        <w:ind w:left="5760" w:hanging="360"/>
      </w:pPr>
    </w:lvl>
    <w:lvl w:ilvl="8" w:tplc="6E1A654E">
      <w:start w:val="1"/>
      <w:numFmt w:val="bullet"/>
      <w:lvlText w:val="●"/>
      <w:lvlJc w:val="left"/>
      <w:pPr>
        <w:ind w:left="6480" w:hanging="360"/>
      </w:pPr>
    </w:lvl>
  </w:abstractNum>
  <w:abstractNum w:abstractNumId="1" w15:restartNumberingAfterBreak="0">
    <w:nsid w:val="76917A0A"/>
    <w:multiLevelType w:val="hybridMultilevel"/>
    <w:tmpl w:val="3D4E4514"/>
    <w:lvl w:ilvl="0" w:tplc="A44A32C6">
      <w:start w:val="1"/>
      <w:numFmt w:val="bullet"/>
      <w:lvlText w:val="•"/>
      <w:lvlJc w:val="left"/>
      <w:pPr>
        <w:ind w:left="720" w:hanging="360"/>
      </w:pPr>
    </w:lvl>
    <w:lvl w:ilvl="1" w:tplc="4434FA5A">
      <w:numFmt w:val="decimal"/>
      <w:lvlText w:val=""/>
      <w:lvlJc w:val="left"/>
    </w:lvl>
    <w:lvl w:ilvl="2" w:tplc="0CAC9F26">
      <w:numFmt w:val="decimal"/>
      <w:lvlText w:val=""/>
      <w:lvlJc w:val="left"/>
    </w:lvl>
    <w:lvl w:ilvl="3" w:tplc="EF2C0B86">
      <w:numFmt w:val="decimal"/>
      <w:lvlText w:val=""/>
      <w:lvlJc w:val="left"/>
    </w:lvl>
    <w:lvl w:ilvl="4" w:tplc="7788158A">
      <w:numFmt w:val="decimal"/>
      <w:lvlText w:val=""/>
      <w:lvlJc w:val="left"/>
    </w:lvl>
    <w:lvl w:ilvl="5" w:tplc="A5F07B4A">
      <w:numFmt w:val="decimal"/>
      <w:lvlText w:val=""/>
      <w:lvlJc w:val="left"/>
    </w:lvl>
    <w:lvl w:ilvl="6" w:tplc="49082808">
      <w:numFmt w:val="decimal"/>
      <w:lvlText w:val=""/>
      <w:lvlJc w:val="left"/>
    </w:lvl>
    <w:lvl w:ilvl="7" w:tplc="2DBE60AE">
      <w:numFmt w:val="decimal"/>
      <w:lvlText w:val=""/>
      <w:lvlJc w:val="left"/>
    </w:lvl>
    <w:lvl w:ilvl="8" w:tplc="618EF942">
      <w:numFmt w:val="decimal"/>
      <w:lvlText w:val=""/>
      <w:lvlJc w:val="left"/>
    </w:lvl>
  </w:abstractNum>
  <w:num w:numId="1" w16cid:durableId="988556333">
    <w:abstractNumId w:val="0"/>
    <w:lvlOverride w:ilvl="0">
      <w:startOverride w:val="1"/>
    </w:lvlOverride>
  </w:num>
  <w:num w:numId="2" w16cid:durableId="1321927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ABC"/>
    <w:rsid w:val="000B6D9A"/>
    <w:rsid w:val="005A5ABC"/>
    <w:rsid w:val="00A0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5A611"/>
  <w15:docId w15:val="{7D604C41-45AE-4209-AD50-5A3B1CB41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1462</Words>
  <Characters>8335</Characters>
  <Application>Microsoft Office Word</Application>
  <DocSecurity>0</DocSecurity>
  <Lines>69</Lines>
  <Paragraphs>19</Paragraphs>
  <ScaleCrop>false</ScaleCrop>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Taki Eddine Djebbar</cp:lastModifiedBy>
  <cp:revision>2</cp:revision>
  <dcterms:created xsi:type="dcterms:W3CDTF">2026-06-10T17:40:00Z</dcterms:created>
  <dcterms:modified xsi:type="dcterms:W3CDTF">2026-06-10T17:47:00Z</dcterms:modified>
</cp:coreProperties>
</file>