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rPr>
          <w:b w:val="1"/>
          <w:sz w:val="24"/>
          <w:szCs w:val="24"/>
        </w:rPr>
      </w:pPr>
      <w:r w:rsidDel="00000000" w:rsidR="00000000" w:rsidRPr="00000000">
        <w:rPr>
          <w:b w:val="1"/>
          <w:sz w:val="24"/>
          <w:szCs w:val="24"/>
          <w:rtl w:val="0"/>
        </w:rPr>
        <w:t xml:space="preserve">Data Sources</w:t>
      </w:r>
    </w:p>
    <w:p w:rsidR="00000000" w:rsidDel="00000000" w:rsidP="00000000" w:rsidRDefault="00000000" w:rsidRPr="00000000" w14:paraId="00000002">
      <w:pPr>
        <w:spacing w:line="480" w:lineRule="auto"/>
        <w:ind w:firstLine="720"/>
        <w:rPr>
          <w:sz w:val="24"/>
          <w:szCs w:val="24"/>
        </w:rPr>
      </w:pPr>
      <w:r w:rsidDel="00000000" w:rsidR="00000000" w:rsidRPr="00000000">
        <w:rPr>
          <w:sz w:val="24"/>
          <w:szCs w:val="24"/>
          <w:rtl w:val="0"/>
        </w:rPr>
        <w:t xml:space="preserve">The data on Washington state counties was obtained from </w:t>
      </w:r>
      <w:hyperlink r:id="rId6">
        <w:r w:rsidDel="00000000" w:rsidR="00000000" w:rsidRPr="00000000">
          <w:rPr>
            <w:i w:val="1"/>
            <w:color w:val="1155cc"/>
            <w:sz w:val="24"/>
            <w:szCs w:val="24"/>
            <w:u w:val="single"/>
            <w:rtl w:val="0"/>
          </w:rPr>
          <w:t xml:space="preserve">World Population Review</w:t>
        </w:r>
      </w:hyperlink>
      <w:r w:rsidDel="00000000" w:rsidR="00000000" w:rsidRPr="00000000">
        <w:rPr>
          <w:sz w:val="24"/>
          <w:szCs w:val="24"/>
          <w:rtl w:val="0"/>
        </w:rPr>
        <w:t xml:space="preserve">, which provided</w:t>
      </w:r>
      <w:r w:rsidDel="00000000" w:rsidR="00000000" w:rsidRPr="00000000">
        <w:rPr>
          <w:sz w:val="24"/>
          <w:szCs w:val="24"/>
          <w:rtl w:val="0"/>
        </w:rPr>
        <w:t xml:space="preserve"> a list of each county and their total population in 2024. To determine the percentage of the population identified as “white alone”, data for each county was gathered from the </w:t>
      </w:r>
      <w:hyperlink r:id="rId7">
        <w:r w:rsidDel="00000000" w:rsidR="00000000" w:rsidRPr="00000000">
          <w:rPr>
            <w:i w:val="1"/>
            <w:color w:val="1155cc"/>
            <w:sz w:val="24"/>
            <w:szCs w:val="24"/>
            <w:u w:val="single"/>
            <w:rtl w:val="0"/>
          </w:rPr>
          <w:t xml:space="preserve">US Census Bureau</w:t>
        </w:r>
      </w:hyperlink>
      <w:r w:rsidDel="00000000" w:rsidR="00000000" w:rsidRPr="00000000">
        <w:rPr>
          <w:sz w:val="24"/>
          <w:szCs w:val="24"/>
          <w:rtl w:val="0"/>
        </w:rPr>
        <w:t xml:space="preserve">. Finally, the </w:t>
      </w:r>
      <w:hyperlink r:id="rId8">
        <w:r w:rsidDel="00000000" w:rsidR="00000000" w:rsidRPr="00000000">
          <w:rPr>
            <w:i w:val="1"/>
            <w:color w:val="1155cc"/>
            <w:sz w:val="24"/>
            <w:szCs w:val="24"/>
            <w:u w:val="single"/>
            <w:rtl w:val="0"/>
          </w:rPr>
          <w:t xml:space="preserve">Washington Secretary of State</w:t>
        </w:r>
      </w:hyperlink>
      <w:r w:rsidDel="00000000" w:rsidR="00000000" w:rsidRPr="00000000">
        <w:rPr>
          <w:i w:val="1"/>
          <w:sz w:val="24"/>
          <w:szCs w:val="24"/>
          <w:rtl w:val="0"/>
        </w:rPr>
        <w:t xml:space="preserve"> </w:t>
      </w:r>
      <w:r w:rsidDel="00000000" w:rsidR="00000000" w:rsidRPr="00000000">
        <w:rPr>
          <w:sz w:val="24"/>
          <w:szCs w:val="24"/>
          <w:rtl w:val="0"/>
        </w:rPr>
        <w:t xml:space="preserve">website provided an export of the state’s 2024 election results. This export provided results for all elections across each county. The data was filtered to include only statewide elections for president, senator, and state governor. During data cleaning, the party column was standardized, as both “GOP” and “Republican” were present. “GOP” was replaced with “Republican” to match the assignment wording. Since the focus is on the two major US political parties, independent candidates and write-ins were removed.</w:t>
      </w:r>
    </w:p>
    <w:p w:rsidR="00000000" w:rsidDel="00000000" w:rsidP="00000000" w:rsidRDefault="00000000" w:rsidRPr="00000000" w14:paraId="00000003">
      <w:pPr>
        <w:spacing w:line="480" w:lineRule="auto"/>
        <w:ind w:firstLine="720"/>
        <w:rPr>
          <w:sz w:val="24"/>
          <w:szCs w:val="24"/>
        </w:rPr>
      </w:pPr>
      <w:r w:rsidDel="00000000" w:rsidR="00000000" w:rsidRPr="00000000">
        <w:rPr>
          <w:sz w:val="24"/>
          <w:szCs w:val="24"/>
          <w:rtl w:val="0"/>
        </w:rPr>
        <w:t xml:space="preserve">There are no concerns about the data provided by the sources above. Two of them are from official government sources and the other was provided by the assignment. </w:t>
      </w:r>
    </w:p>
    <w:p w:rsidR="00000000" w:rsidDel="00000000" w:rsidP="00000000" w:rsidRDefault="00000000" w:rsidRPr="00000000" w14:paraId="0000000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Specification</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b w:val="1"/>
          <w:sz w:val="24"/>
          <w:szCs w:val="24"/>
        </w:rPr>
      </w:pPr>
      <w:r w:rsidDel="00000000" w:rsidR="00000000" w:rsidRPr="00000000">
        <w:rPr>
          <w:b w:val="1"/>
          <w:sz w:val="24"/>
          <w:szCs w:val="24"/>
          <w:rtl w:val="0"/>
        </w:rPr>
        <w:t xml:space="preserve">Programming</w:t>
      </w:r>
    </w:p>
    <w:p w:rsidR="00000000" w:rsidDel="00000000" w:rsidP="00000000" w:rsidRDefault="00000000" w:rsidRPr="00000000" w14:paraId="00000008">
      <w:pPr>
        <w:spacing w:line="480" w:lineRule="auto"/>
        <w:rPr>
          <w:sz w:val="24"/>
          <w:szCs w:val="24"/>
        </w:rPr>
      </w:pPr>
      <w:r w:rsidDel="00000000" w:rsidR="00000000" w:rsidRPr="00000000">
        <w:rPr>
          <w:rtl w:val="0"/>
        </w:rPr>
      </w:r>
    </w:p>
    <w:p w:rsidR="00000000" w:rsidDel="00000000" w:rsidP="00000000" w:rsidRDefault="00000000" w:rsidRPr="00000000" w14:paraId="00000009">
      <w:pPr>
        <w:spacing w:line="480" w:lineRule="auto"/>
        <w:rPr>
          <w:b w:val="1"/>
          <w:sz w:val="24"/>
          <w:szCs w:val="24"/>
        </w:rPr>
      </w:pPr>
      <w:r w:rsidDel="00000000" w:rsidR="00000000" w:rsidRPr="00000000">
        <w:rPr>
          <w:b w:val="1"/>
          <w:sz w:val="24"/>
          <w:szCs w:val="24"/>
          <w:rtl w:val="0"/>
        </w:rPr>
        <w:t xml:space="preserve">Solution</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b w:val="1"/>
          <w:sz w:val="24"/>
          <w:szCs w:val="24"/>
        </w:rPr>
      </w:pPr>
      <w:r w:rsidDel="00000000" w:rsidR="00000000" w:rsidRPr="00000000">
        <w:rPr>
          <w:b w:val="1"/>
          <w:sz w:val="24"/>
          <w:szCs w:val="24"/>
          <w:rtl w:val="0"/>
        </w:rPr>
        <w:t xml:space="preserve">Maps and Discussion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orldpopulationreview.com/us-counties/washington" TargetMode="External"/><Relationship Id="rId7" Type="http://schemas.openxmlformats.org/officeDocument/2006/relationships/hyperlink" Target="https://www.census.gov/quickfacts/fact/table/WA/RHI425223" TargetMode="External"/><Relationship Id="rId8" Type="http://schemas.openxmlformats.org/officeDocument/2006/relationships/hyperlink" Target="https://results.vote.wa.gov/results/20241105/ex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