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left"/>
        <w:rPr/>
      </w:pPr>
      <w:r>
        <w:rPr/>
        <w:t>Installation</w:t>
      </w:r>
    </w:p>
    <w:p>
      <w:pPr>
        <w:pStyle w:val="BodyText"/>
        <w:bidi w:val="0"/>
        <w:jc w:val="left"/>
        <w:rPr/>
      </w:pPr>
      <w:r>
        <w:rPr/>
        <w:t>Before installing the package you must confirm the prerequisites are satisfied on the target machine. The runtime requires a recent Node release and access to the public npm registry so that the dependency tree can be fetched during the bootstrap step. Operators working behind a corporate proxy should configure the registry mirror in advance, because the installer will abort with a clear message when the registry cannot be reached within the configured window.</w:t>
      </w:r>
    </w:p>
    <w:p>
      <w:pPr>
        <w:pStyle w:val="Heading2"/>
        <w:bidi w:val="0"/>
        <w:jc w:val="left"/>
        <w:rPr/>
      </w:pPr>
      <w:r>
        <w:rPr/>
        <w:t>Configuration</w:t>
      </w:r>
    </w:p>
    <w:p>
      <w:pPr>
        <w:pStyle w:val="BodyText"/>
        <w:bidi w:val="0"/>
        <w:jc w:val="left"/>
        <w:rPr/>
      </w:pPr>
      <w:r>
        <w:rPr/>
        <w:t>The behaviour of the service is driven entirely by environment variables that are read once at startup. The most important of these selects the database path on disk, which defaults to a hidden directory inside the working tree. Additional variables toggle verbose logging, pin the cache size, and override the listening port. A malformed value is reported at boot rather than silently ignored, so a typo in a variable never reaches production unnoticed.</w:t>
      </w:r>
    </w:p>
    <w:p>
      <w:pPr>
        <w:pStyle w:val="Heading2"/>
        <w:bidi w:val="0"/>
        <w:jc w:val="left"/>
        <w:rPr/>
      </w:pPr>
      <w:r>
        <w:rPr/>
        <w:t>Troubleshooting</w:t>
      </w:r>
    </w:p>
    <w:p>
      <w:pPr>
        <w:pStyle w:val="BodyText"/>
        <w:bidi w:val="0"/>
        <w:spacing w:before="0" w:after="283"/>
        <w:jc w:val="left"/>
        <w:rPr/>
      </w:pPr>
      <w:r>
        <w:rPr/>
        <w:t>When a request fails the first place to look is the diagnostic log, which records every rejected operation together with the reason it was refused. Most incidents trace back to an expired credential or a permission that was revoked upstream. If the log does not make the cause obvious, raise the verbosity, reproduce the failure, and attach the resulting transcript when you contact the support channel so the on-call engineer can respond quickly.</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